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633730</wp:posOffset>
            </wp:positionV>
            <wp:extent cx="7150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15073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0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0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306" w:lineRule="exact"/>
        <w:rPr>
          <w:sz w:val="24"/>
          <w:szCs w:val="24"/>
          <w:color w:val="auto"/>
        </w:rPr>
      </w:pPr>
    </w:p>
    <w:p>
      <w:pPr>
        <w:ind w:left="640" w:hanging="631"/>
        <w:spacing w:after="0"/>
        <w:tabs>
          <w:tab w:leader="none" w:pos="64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9"/>
          <w:szCs w:val="19"/>
          <w:b w:val="1"/>
          <w:bCs w:val="1"/>
          <w:color w:val="auto"/>
        </w:rPr>
        <w:t>ANNUAL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640" w:hanging="631"/>
        <w:spacing w:after="0"/>
        <w:tabs>
          <w:tab w:leader="none" w:pos="64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9"/>
          <w:szCs w:val="19"/>
          <w:b w:val="1"/>
          <w:bCs w:val="1"/>
          <w:color w:val="auto"/>
        </w:rPr>
        <w:t>TRANSITION REPORT PURSUANT TO SECTION 13 OR 15(d) OF THE SECURITIES EXCHANGE ACT OF 1934</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7080" w:type="dxa"/>
            <w:vAlign w:val="bottom"/>
            <w:gridSpan w:val="3"/>
          </w:tcPr>
          <w:p>
            <w:pPr>
              <w:jc w:val="center"/>
              <w:ind w:left="4091"/>
              <w:spacing w:after="0"/>
              <w:rPr>
                <w:sz w:val="20"/>
                <w:szCs w:val="20"/>
                <w:color w:val="auto"/>
              </w:rPr>
            </w:pPr>
            <w:r>
              <w:rPr>
                <w:rFonts w:ascii="Arial" w:cs="Arial" w:eastAsia="Arial" w:hAnsi="Arial"/>
                <w:sz w:val="14"/>
                <w:szCs w:val="14"/>
                <w:b w:val="1"/>
                <w:bCs w:val="1"/>
                <w:color w:val="auto"/>
              </w:rPr>
              <w:t>Commission file number: 001-37980</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64"/>
        </w:trPr>
        <w:tc>
          <w:tcPr>
            <w:tcW w:w="6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r>
      <w:tr>
        <w:trPr>
          <w:trHeight w:val="395"/>
        </w:trPr>
        <w:tc>
          <w:tcPr>
            <w:tcW w:w="8240" w:type="dxa"/>
            <w:vAlign w:val="bottom"/>
            <w:gridSpan w:val="4"/>
          </w:tcPr>
          <w:p>
            <w:pPr>
              <w:jc w:val="center"/>
              <w:ind w:left="2951"/>
              <w:spacing w:after="0"/>
              <w:rPr>
                <w:sz w:val="20"/>
                <w:szCs w:val="20"/>
                <w:color w:val="auto"/>
              </w:rPr>
            </w:pPr>
            <w:r>
              <w:rPr>
                <w:rFonts w:ascii="Arial" w:cs="Arial" w:eastAsia="Arial" w:hAnsi="Arial"/>
                <w:sz w:val="28"/>
                <w:szCs w:val="28"/>
                <w:b w:val="1"/>
                <w:bCs w:val="1"/>
                <w:color w:val="auto"/>
              </w:rPr>
              <w:t>DigitalBridge Group,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50"/>
        </w:trPr>
        <w:tc>
          <w:tcPr>
            <w:tcW w:w="7080" w:type="dxa"/>
            <w:vAlign w:val="bottom"/>
            <w:tcBorders>
              <w:bottom w:val="single" w:sz="8" w:color="auto"/>
            </w:tcBorders>
            <w:gridSpan w:val="3"/>
          </w:tcPr>
          <w:p>
            <w:pPr>
              <w:jc w:val="center"/>
              <w:ind w:left="4091"/>
              <w:spacing w:after="0"/>
              <w:rPr>
                <w:sz w:val="20"/>
                <w:szCs w:val="20"/>
                <w:color w:val="auto"/>
              </w:rPr>
            </w:pPr>
            <w:r>
              <w:rPr>
                <w:rFonts w:ascii="Arial" w:cs="Arial" w:eastAsia="Arial" w:hAnsi="Arial"/>
                <w:sz w:val="11"/>
                <w:szCs w:val="11"/>
                <w:b w:val="1"/>
                <w:bCs w:val="1"/>
                <w:color w:val="auto"/>
                <w:w w:val="98"/>
              </w:rPr>
              <w:t>(Exact Name of Registrant as Specified in Its Charter)</w:t>
            </w: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r>
      <w:tr>
        <w:trPr>
          <w:trHeight w:val="181"/>
        </w:trPr>
        <w:tc>
          <w:tcPr>
            <w:tcW w:w="7080" w:type="dxa"/>
            <w:vAlign w:val="bottom"/>
            <w:gridSpan w:val="3"/>
          </w:tcPr>
          <w:p>
            <w:pPr>
              <w:jc w:val="center"/>
              <w:ind w:right="2380"/>
              <w:spacing w:after="0"/>
              <w:rPr>
                <w:sz w:val="20"/>
                <w:szCs w:val="20"/>
                <w:color w:val="auto"/>
              </w:rPr>
            </w:pPr>
            <w:r>
              <w:rPr>
                <w:rFonts w:ascii="Arial" w:cs="Arial" w:eastAsia="Arial" w:hAnsi="Arial"/>
                <w:sz w:val="14"/>
                <w:szCs w:val="14"/>
                <w:b w:val="1"/>
                <w:bCs w:val="1"/>
                <w:color w:val="auto"/>
              </w:rPr>
              <w:t>Maryland</w:t>
            </w:r>
          </w:p>
        </w:tc>
        <w:tc>
          <w:tcPr>
            <w:tcW w:w="1160" w:type="dxa"/>
            <w:vAlign w:val="bottom"/>
          </w:tcPr>
          <w:p>
            <w:pPr>
              <w:spacing w:after="0"/>
              <w:rPr>
                <w:sz w:val="15"/>
                <w:szCs w:val="15"/>
                <w:color w:val="auto"/>
              </w:rPr>
            </w:pPr>
          </w:p>
        </w:tc>
        <w:tc>
          <w:tcPr>
            <w:tcW w:w="3020" w:type="dxa"/>
            <w:vAlign w:val="bottom"/>
            <w:gridSpan w:val="3"/>
          </w:tcPr>
          <w:p>
            <w:pPr>
              <w:jc w:val="center"/>
              <w:ind w:right="1653"/>
              <w:spacing w:after="0"/>
              <w:rPr>
                <w:sz w:val="20"/>
                <w:szCs w:val="20"/>
                <w:color w:val="auto"/>
              </w:rPr>
            </w:pPr>
            <w:r>
              <w:rPr>
                <w:rFonts w:ascii="Arial" w:cs="Arial" w:eastAsia="Arial" w:hAnsi="Arial"/>
                <w:sz w:val="14"/>
                <w:szCs w:val="14"/>
                <w:b w:val="1"/>
                <w:bCs w:val="1"/>
                <w:color w:val="auto"/>
                <w:w w:val="98"/>
              </w:rPr>
              <w:t>46-4591526</w:t>
            </w:r>
          </w:p>
        </w:tc>
      </w:tr>
      <w:tr>
        <w:trPr>
          <w:trHeight w:val="111"/>
        </w:trPr>
        <w:tc>
          <w:tcPr>
            <w:tcW w:w="7080" w:type="dxa"/>
            <w:vAlign w:val="bottom"/>
            <w:gridSpan w:val="3"/>
          </w:tcPr>
          <w:p>
            <w:pPr>
              <w:jc w:val="center"/>
              <w:ind w:right="2380"/>
              <w:spacing w:after="0" w:line="111" w:lineRule="exact"/>
              <w:rPr>
                <w:sz w:val="20"/>
                <w:szCs w:val="20"/>
                <w:color w:val="auto"/>
              </w:rPr>
            </w:pPr>
            <w:r>
              <w:rPr>
                <w:rFonts w:ascii="Arial" w:cs="Arial" w:eastAsia="Arial" w:hAnsi="Arial"/>
                <w:sz w:val="11"/>
                <w:szCs w:val="11"/>
                <w:b w:val="1"/>
                <w:bCs w:val="1"/>
                <w:color w:val="auto"/>
                <w:w w:val="98"/>
              </w:rPr>
              <w:t>(State or Other Jurisdiction of</w:t>
            </w:r>
          </w:p>
        </w:tc>
        <w:tc>
          <w:tcPr>
            <w:tcW w:w="1160" w:type="dxa"/>
            <w:vAlign w:val="bottom"/>
          </w:tcPr>
          <w:p>
            <w:pPr>
              <w:spacing w:after="0"/>
              <w:rPr>
                <w:sz w:val="9"/>
                <w:szCs w:val="9"/>
                <w:color w:val="auto"/>
              </w:rPr>
            </w:pPr>
          </w:p>
        </w:tc>
        <w:tc>
          <w:tcPr>
            <w:tcW w:w="3020" w:type="dxa"/>
            <w:vAlign w:val="bottom"/>
            <w:gridSpan w:val="3"/>
          </w:tcPr>
          <w:p>
            <w:pPr>
              <w:jc w:val="center"/>
              <w:ind w:right="1633"/>
              <w:spacing w:after="0" w:line="111" w:lineRule="exact"/>
              <w:rPr>
                <w:sz w:val="20"/>
                <w:szCs w:val="20"/>
                <w:color w:val="auto"/>
              </w:rPr>
            </w:pPr>
            <w:r>
              <w:rPr>
                <w:rFonts w:ascii="Arial" w:cs="Arial" w:eastAsia="Arial" w:hAnsi="Arial"/>
                <w:sz w:val="11"/>
                <w:szCs w:val="11"/>
                <w:b w:val="1"/>
                <w:bCs w:val="1"/>
                <w:color w:val="auto"/>
                <w:w w:val="99"/>
              </w:rPr>
              <w:t>(I.R.S. Employer</w:t>
            </w:r>
          </w:p>
        </w:tc>
      </w:tr>
      <w:tr>
        <w:trPr>
          <w:trHeight w:val="143"/>
        </w:trPr>
        <w:tc>
          <w:tcPr>
            <w:tcW w:w="7080" w:type="dxa"/>
            <w:vAlign w:val="bottom"/>
            <w:gridSpan w:val="3"/>
          </w:tcPr>
          <w:p>
            <w:pPr>
              <w:jc w:val="center"/>
              <w:ind w:right="2380"/>
              <w:spacing w:after="0"/>
              <w:rPr>
                <w:sz w:val="20"/>
                <w:szCs w:val="20"/>
                <w:color w:val="auto"/>
              </w:rPr>
            </w:pPr>
            <w:r>
              <w:rPr>
                <w:rFonts w:ascii="Arial" w:cs="Arial" w:eastAsia="Arial" w:hAnsi="Arial"/>
                <w:sz w:val="11"/>
                <w:szCs w:val="11"/>
                <w:b w:val="1"/>
                <w:bCs w:val="1"/>
                <w:color w:val="auto"/>
                <w:w w:val="99"/>
              </w:rPr>
              <w:t>Incorporation or Organization)</w:t>
            </w:r>
          </w:p>
        </w:tc>
        <w:tc>
          <w:tcPr>
            <w:tcW w:w="1160" w:type="dxa"/>
            <w:vAlign w:val="bottom"/>
          </w:tcPr>
          <w:p>
            <w:pPr>
              <w:spacing w:after="0"/>
              <w:rPr>
                <w:sz w:val="12"/>
                <w:szCs w:val="12"/>
                <w:color w:val="auto"/>
              </w:rPr>
            </w:pPr>
          </w:p>
        </w:tc>
        <w:tc>
          <w:tcPr>
            <w:tcW w:w="3020" w:type="dxa"/>
            <w:vAlign w:val="bottom"/>
            <w:gridSpan w:val="3"/>
          </w:tcPr>
          <w:p>
            <w:pPr>
              <w:jc w:val="center"/>
              <w:ind w:right="1633"/>
              <w:spacing w:after="0"/>
              <w:rPr>
                <w:sz w:val="20"/>
                <w:szCs w:val="20"/>
                <w:color w:val="auto"/>
              </w:rPr>
            </w:pPr>
            <w:r>
              <w:rPr>
                <w:rFonts w:ascii="Arial" w:cs="Arial" w:eastAsia="Arial" w:hAnsi="Arial"/>
                <w:sz w:val="11"/>
                <w:szCs w:val="11"/>
                <w:b w:val="1"/>
                <w:bCs w:val="1"/>
                <w:color w:val="auto"/>
                <w:w w:val="98"/>
              </w:rPr>
              <w:t>Identification No.)</w:t>
            </w:r>
          </w:p>
        </w:tc>
      </w:tr>
      <w:tr>
        <w:trPr>
          <w:trHeight w:val="240"/>
        </w:trPr>
        <w:tc>
          <w:tcPr>
            <w:tcW w:w="7080" w:type="dxa"/>
            <w:vAlign w:val="bottom"/>
            <w:gridSpan w:val="3"/>
          </w:tcPr>
          <w:p>
            <w:pPr>
              <w:jc w:val="center"/>
              <w:ind w:left="4091"/>
              <w:spacing w:after="0"/>
              <w:rPr>
                <w:sz w:val="20"/>
                <w:szCs w:val="20"/>
                <w:color w:val="auto"/>
              </w:rPr>
            </w:pPr>
            <w:r>
              <w:rPr>
                <w:rFonts w:ascii="Arial" w:cs="Arial" w:eastAsia="Arial" w:hAnsi="Arial"/>
                <w:sz w:val="14"/>
                <w:szCs w:val="14"/>
                <w:b w:val="1"/>
                <w:bCs w:val="1"/>
                <w:color w:val="auto"/>
              </w:rPr>
              <w:t>750 Park of Commerce Drive, Suite 210</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61"/>
        </w:trPr>
        <w:tc>
          <w:tcPr>
            <w:tcW w:w="7080" w:type="dxa"/>
            <w:vAlign w:val="bottom"/>
            <w:gridSpan w:val="3"/>
          </w:tcPr>
          <w:p>
            <w:pPr>
              <w:jc w:val="center"/>
              <w:ind w:left="4091"/>
              <w:spacing w:after="0"/>
              <w:rPr>
                <w:sz w:val="20"/>
                <w:szCs w:val="20"/>
                <w:color w:val="auto"/>
              </w:rPr>
            </w:pPr>
            <w:r>
              <w:rPr>
                <w:rFonts w:ascii="Arial" w:cs="Arial" w:eastAsia="Arial" w:hAnsi="Arial"/>
                <w:sz w:val="14"/>
                <w:szCs w:val="14"/>
                <w:b w:val="1"/>
                <w:bCs w:val="1"/>
                <w:color w:val="auto"/>
              </w:rPr>
              <w:t>Boca Raton, Florida 33487</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131"/>
        </w:trPr>
        <w:tc>
          <w:tcPr>
            <w:tcW w:w="8240" w:type="dxa"/>
            <w:vAlign w:val="bottom"/>
            <w:gridSpan w:val="4"/>
          </w:tcPr>
          <w:p>
            <w:pPr>
              <w:jc w:val="center"/>
              <w:ind w:left="2931"/>
              <w:spacing w:after="0"/>
              <w:rPr>
                <w:sz w:val="20"/>
                <w:szCs w:val="20"/>
                <w:color w:val="auto"/>
              </w:rPr>
            </w:pPr>
            <w:r>
              <w:rPr>
                <w:rFonts w:ascii="Arial" w:cs="Arial" w:eastAsia="Arial" w:hAnsi="Arial"/>
                <w:sz w:val="11"/>
                <w:szCs w:val="11"/>
                <w:b w:val="1"/>
                <w:bCs w:val="1"/>
                <w:color w:val="auto"/>
                <w:w w:val="99"/>
              </w:rPr>
              <w:t>(Address of Principal Executive Offices, Including Zip Code)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r>
      <w:tr>
        <w:trPr>
          <w:trHeight w:val="185"/>
        </w:trPr>
        <w:tc>
          <w:tcPr>
            <w:tcW w:w="6580" w:type="dxa"/>
            <w:vAlign w:val="bottom"/>
          </w:tcPr>
          <w:p>
            <w:pPr>
              <w:jc w:val="center"/>
              <w:ind w:left="4591"/>
              <w:spacing w:after="0"/>
              <w:rPr>
                <w:sz w:val="20"/>
                <w:szCs w:val="20"/>
                <w:color w:val="auto"/>
              </w:rPr>
            </w:pPr>
            <w:r>
              <w:rPr>
                <w:rFonts w:ascii="Arial" w:cs="Arial" w:eastAsia="Arial" w:hAnsi="Arial"/>
                <w:sz w:val="14"/>
                <w:szCs w:val="14"/>
                <w:b w:val="1"/>
                <w:bCs w:val="1"/>
                <w:color w:val="auto"/>
              </w:rPr>
              <w:t>(561) 570-4644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65"/>
        </w:trPr>
        <w:tc>
          <w:tcPr>
            <w:tcW w:w="7080" w:type="dxa"/>
            <w:vAlign w:val="bottom"/>
            <w:gridSpan w:val="3"/>
          </w:tcPr>
          <w:p>
            <w:pPr>
              <w:jc w:val="center"/>
              <w:ind w:left="4111"/>
              <w:spacing w:after="0"/>
              <w:rPr>
                <w:sz w:val="20"/>
                <w:szCs w:val="20"/>
                <w:color w:val="auto"/>
              </w:rPr>
            </w:pPr>
            <w:r>
              <w:rPr>
                <w:rFonts w:ascii="Arial" w:cs="Arial" w:eastAsia="Arial" w:hAnsi="Arial"/>
                <w:sz w:val="11"/>
                <w:szCs w:val="11"/>
                <w:b w:val="1"/>
                <w:bCs w:val="1"/>
                <w:color w:val="auto"/>
                <w:w w:val="98"/>
              </w:rPr>
              <w:t>(Registrant’s Telephone Number, Including Area Code)</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513"/>
        </w:trPr>
        <w:tc>
          <w:tcPr>
            <w:tcW w:w="8240" w:type="dxa"/>
            <w:vAlign w:val="bottom"/>
            <w:gridSpan w:val="4"/>
          </w:tcPr>
          <w:p>
            <w:pPr>
              <w:ind w:left="384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8"/>
        </w:trPr>
        <w:tc>
          <w:tcPr>
            <w:tcW w:w="6580" w:type="dxa"/>
            <w:vAlign w:val="bottom"/>
            <w:tcBorders>
              <w:bottom w:val="single" w:sz="8" w:color="auto"/>
            </w:tcBorders>
          </w:tcPr>
          <w:p>
            <w:pPr>
              <w:ind w:left="2960"/>
              <w:spacing w:after="0"/>
              <w:rPr>
                <w:sz w:val="20"/>
                <w:szCs w:val="20"/>
                <w:color w:val="auto"/>
              </w:rPr>
            </w:pPr>
            <w:r>
              <w:rPr>
                <w:rFonts w:ascii="Arial" w:cs="Arial" w:eastAsia="Arial" w:hAnsi="Arial"/>
                <w:sz w:val="11"/>
                <w:szCs w:val="11"/>
                <w:b w:val="1"/>
                <w:bCs w:val="1"/>
                <w:color w:val="auto"/>
              </w:rPr>
              <w:t>Title of Class</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1"/>
                <w:szCs w:val="11"/>
                <w:b w:val="1"/>
                <w:bCs w:val="1"/>
                <w:color w:val="auto"/>
                <w:w w:val="99"/>
              </w:rPr>
              <w:t>Trading Symbol(s)</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Name of Each Exchange on Which Registered</w:t>
            </w:r>
          </w:p>
        </w:tc>
      </w:tr>
      <w:tr>
        <w:trPr>
          <w:trHeight w:val="181"/>
        </w:trPr>
        <w:tc>
          <w:tcPr>
            <w:tcW w:w="7080" w:type="dxa"/>
            <w:vAlign w:val="bottom"/>
            <w:gridSpan w:val="3"/>
          </w:tcPr>
          <w:p>
            <w:pPr>
              <w:spacing w:after="0"/>
              <w:rPr>
                <w:sz w:val="20"/>
                <w:szCs w:val="20"/>
                <w:color w:val="auto"/>
              </w:rPr>
            </w:pPr>
            <w:r>
              <w:rPr>
                <w:rFonts w:ascii="Arial" w:cs="Arial" w:eastAsia="Arial" w:hAnsi="Arial"/>
                <w:sz w:val="14"/>
                <w:szCs w:val="14"/>
                <w:color w:val="auto"/>
              </w:rPr>
              <w:t>Class A Common Stock, $0.01 par value</w:t>
            </w:r>
          </w:p>
        </w:tc>
        <w:tc>
          <w:tcPr>
            <w:tcW w:w="1160" w:type="dxa"/>
            <w:vAlign w:val="bottom"/>
          </w:tcPr>
          <w:p>
            <w:pPr>
              <w:jc w:val="center"/>
              <w:ind w:right="93"/>
              <w:spacing w:after="0"/>
              <w:rPr>
                <w:sz w:val="20"/>
                <w:szCs w:val="20"/>
                <w:color w:val="auto"/>
              </w:rPr>
            </w:pPr>
            <w:r>
              <w:rPr>
                <w:rFonts w:ascii="Arial" w:cs="Arial" w:eastAsia="Arial" w:hAnsi="Arial"/>
                <w:sz w:val="14"/>
                <w:szCs w:val="14"/>
                <w:color w:val="auto"/>
                <w:w w:val="98"/>
              </w:rPr>
              <w:t>DBRG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187"/>
        </w:trPr>
        <w:tc>
          <w:tcPr>
            <w:tcW w:w="7080" w:type="dxa"/>
            <w:vAlign w:val="bottom"/>
            <w:gridSpan w:val="3"/>
          </w:tcPr>
          <w:p>
            <w:pPr>
              <w:spacing w:after="0"/>
              <w:rPr>
                <w:sz w:val="20"/>
                <w:szCs w:val="20"/>
                <w:color w:val="auto"/>
              </w:rPr>
            </w:pPr>
            <w:r>
              <w:rPr>
                <w:rFonts w:ascii="Arial" w:cs="Arial" w:eastAsia="Arial" w:hAnsi="Arial"/>
                <w:sz w:val="14"/>
                <w:szCs w:val="14"/>
                <w:color w:val="auto"/>
              </w:rPr>
              <w:t>Preferred Stock, 7.125% Series H Cumulative Redeemable, $0.01 par value</w:t>
            </w:r>
          </w:p>
        </w:tc>
        <w:tc>
          <w:tcPr>
            <w:tcW w:w="1160" w:type="dxa"/>
            <w:vAlign w:val="bottom"/>
          </w:tcPr>
          <w:p>
            <w:pPr>
              <w:jc w:val="center"/>
              <w:ind w:right="73"/>
              <w:spacing w:after="0"/>
              <w:rPr>
                <w:sz w:val="20"/>
                <w:szCs w:val="20"/>
                <w:color w:val="auto"/>
              </w:rPr>
            </w:pPr>
            <w:r>
              <w:rPr>
                <w:rFonts w:ascii="Arial" w:cs="Arial" w:eastAsia="Arial" w:hAnsi="Arial"/>
                <w:sz w:val="14"/>
                <w:szCs w:val="14"/>
                <w:color w:val="auto"/>
              </w:rPr>
              <w:t>DBRG.PRH</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187"/>
        </w:trPr>
        <w:tc>
          <w:tcPr>
            <w:tcW w:w="7080" w:type="dxa"/>
            <w:vAlign w:val="bottom"/>
            <w:gridSpan w:val="3"/>
          </w:tcPr>
          <w:p>
            <w:pPr>
              <w:spacing w:after="0"/>
              <w:rPr>
                <w:sz w:val="20"/>
                <w:szCs w:val="20"/>
                <w:color w:val="auto"/>
              </w:rPr>
            </w:pPr>
            <w:r>
              <w:rPr>
                <w:rFonts w:ascii="Arial" w:cs="Arial" w:eastAsia="Arial" w:hAnsi="Arial"/>
                <w:sz w:val="14"/>
                <w:szCs w:val="14"/>
                <w:color w:val="auto"/>
              </w:rPr>
              <w:t>Preferred Stock, 7.15% Series I Cumulative Redeemable, $0.01 par value</w:t>
            </w:r>
          </w:p>
        </w:tc>
        <w:tc>
          <w:tcPr>
            <w:tcW w:w="1160" w:type="dxa"/>
            <w:vAlign w:val="bottom"/>
          </w:tcPr>
          <w:p>
            <w:pPr>
              <w:jc w:val="center"/>
              <w:ind w:right="93"/>
              <w:spacing w:after="0"/>
              <w:rPr>
                <w:sz w:val="20"/>
                <w:szCs w:val="20"/>
                <w:color w:val="auto"/>
              </w:rPr>
            </w:pPr>
            <w:r>
              <w:rPr>
                <w:rFonts w:ascii="Arial" w:cs="Arial" w:eastAsia="Arial" w:hAnsi="Arial"/>
                <w:sz w:val="14"/>
                <w:szCs w:val="14"/>
                <w:color w:val="auto"/>
              </w:rPr>
              <w:t>DBRG.PRI</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187"/>
        </w:trPr>
        <w:tc>
          <w:tcPr>
            <w:tcW w:w="7080" w:type="dxa"/>
            <w:vAlign w:val="bottom"/>
            <w:gridSpan w:val="3"/>
          </w:tcPr>
          <w:p>
            <w:pPr>
              <w:spacing w:after="0"/>
              <w:rPr>
                <w:sz w:val="20"/>
                <w:szCs w:val="20"/>
                <w:color w:val="auto"/>
              </w:rPr>
            </w:pPr>
            <w:r>
              <w:rPr>
                <w:rFonts w:ascii="Arial" w:cs="Arial" w:eastAsia="Arial" w:hAnsi="Arial"/>
                <w:sz w:val="14"/>
                <w:szCs w:val="14"/>
                <w:color w:val="auto"/>
              </w:rPr>
              <w:t>Preferred Stock, 7.125% Series J Cumulative Redeemable, $0.01 par value</w:t>
            </w:r>
          </w:p>
        </w:tc>
        <w:tc>
          <w:tcPr>
            <w:tcW w:w="1160" w:type="dxa"/>
            <w:vAlign w:val="bottom"/>
          </w:tcPr>
          <w:p>
            <w:pPr>
              <w:jc w:val="center"/>
              <w:ind w:right="93"/>
              <w:spacing w:after="0"/>
              <w:rPr>
                <w:sz w:val="20"/>
                <w:szCs w:val="20"/>
                <w:color w:val="auto"/>
              </w:rPr>
            </w:pPr>
            <w:r>
              <w:rPr>
                <w:rFonts w:ascii="Arial" w:cs="Arial" w:eastAsia="Arial" w:hAnsi="Arial"/>
                <w:sz w:val="14"/>
                <w:szCs w:val="14"/>
                <w:color w:val="auto"/>
              </w:rPr>
              <w:t>DBRG.PRJ</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bl>
    <w:p>
      <w:pPr>
        <w:spacing w:after="0" w:line="357" w:lineRule="exact"/>
        <w:rPr>
          <w:sz w:val="24"/>
          <w:szCs w:val="24"/>
          <w:color w:val="auto"/>
        </w:rPr>
      </w:pPr>
    </w:p>
    <w:p>
      <w:pPr>
        <w:ind w:left="28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6" w:lineRule="exact"/>
        <w:rPr>
          <w:sz w:val="24"/>
          <w:szCs w:val="24"/>
          <w:color w:val="auto"/>
        </w:rPr>
      </w:pPr>
    </w:p>
    <w:p>
      <w:pPr>
        <w:ind w:left="280" w:right="2840"/>
        <w:spacing w:after="0" w:line="22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o No </w:t>
      </w:r>
      <w:r>
        <w:rPr>
          <w:rFonts w:ascii="MS PGothic" w:cs="MS PGothic" w:eastAsia="MS PGothic" w:hAnsi="MS PGothic"/>
          <w:sz w:val="14"/>
          <w:szCs w:val="14"/>
          <w:color w:val="auto"/>
        </w:rPr>
        <w:t>☒</w:t>
      </w:r>
    </w:p>
    <w:p>
      <w:pPr>
        <w:spacing w:after="0" w:line="38" w:lineRule="exact"/>
        <w:rPr>
          <w:sz w:val="24"/>
          <w:szCs w:val="24"/>
          <w:color w:val="auto"/>
        </w:rPr>
      </w:pPr>
    </w:p>
    <w:p>
      <w:pPr>
        <w:ind w:right="100" w:firstLine="281"/>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right="20" w:firstLine="281"/>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864870</wp:posOffset>
            </wp:positionV>
            <wp:extent cx="717613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232" w:right="31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540" w:firstLine="281"/>
        <w:spacing w:after="0" w:line="29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40" w:right="3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4" w:lineRule="exact"/>
        <w:rPr>
          <w:sz w:val="20"/>
          <w:szCs w:val="20"/>
          <w:color w:val="auto"/>
        </w:rPr>
      </w:pPr>
    </w:p>
    <w:p>
      <w:pPr>
        <w:sectPr>
          <w:pgSz w:w="11900" w:h="16838" w:orient="portrait"/>
          <w:cols w:equalWidth="0" w:num="4">
            <w:col w:w="3120" w:space="720"/>
            <w:col w:w="1900" w:space="720"/>
            <w:col w:w="3800" w:space="720"/>
            <w:col w:w="240"/>
          </w:cols>
          <w:pgMar w:left="320" w:top="140" w:right="359" w:bottom="1440" w:gutter="0" w:footer="0" w:header="0"/>
          <w:type w:val="continuous"/>
        </w:sectPr>
      </w:pPr>
    </w:p>
    <w:p>
      <w:pPr>
        <w:spacing w:after="0" w:line="2" w:lineRule="exact"/>
        <w:rPr>
          <w:sz w:val="20"/>
          <w:szCs w:val="20"/>
          <w:color w:val="auto"/>
        </w:rPr>
      </w:pPr>
    </w:p>
    <w:p>
      <w:pPr>
        <w:ind w:right="280" w:firstLine="281"/>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20"/>
          </w:cols>
          <w:pgMar w:left="320" w:top="140" w:right="359" w:bottom="1440" w:gutter="0" w:footer="0" w:header="0"/>
          <w:type w:val="continuous"/>
        </w:sectPr>
      </w:pPr>
    </w:p>
    <w:p>
      <w:pPr>
        <w:spacing w:after="0" w:line="85" w:lineRule="exact"/>
        <w:rPr>
          <w:sz w:val="20"/>
          <w:szCs w:val="20"/>
          <w:color w:val="auto"/>
        </w:rPr>
      </w:pPr>
    </w:p>
    <w:p>
      <w:pPr>
        <w:ind w:right="400" w:firstLine="281"/>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aggregate market value of the registrant’s voting and non-voting common equity held by non-affiliates of the registrant as of June 30, 2021 was approximately $3.8 billion.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21, 2022, 568,926,178 shares of the Registrant's class A common stock and 665,978 shares of class B common stock were outstanding.</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7" w:lineRule="exact"/>
        <w:rPr>
          <w:sz w:val="20"/>
          <w:szCs w:val="20"/>
          <w:color w:val="auto"/>
        </w:rPr>
      </w:pPr>
    </w:p>
    <w:p>
      <w:pPr>
        <w:ind w:firstLine="281"/>
        <w:spacing w:after="0" w:line="255" w:lineRule="auto"/>
        <w:rPr>
          <w:sz w:val="20"/>
          <w:szCs w:val="20"/>
          <w:color w:val="auto"/>
        </w:rPr>
      </w:pPr>
      <w:r>
        <w:rPr>
          <w:rFonts w:ascii="Arial" w:cs="Arial" w:eastAsia="Arial" w:hAnsi="Arial"/>
          <w:sz w:val="14"/>
          <w:szCs w:val="14"/>
          <w:color w:val="auto"/>
        </w:rPr>
        <w:t>Portions of the Company’s Proxy Statement with respect to its 2021 Annual Meeting of Stockholders to be filed not later than 120 days after the end of the Company’s fiscal year ended December 31,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711835</wp:posOffset>
            </wp:positionV>
            <wp:extent cx="717613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361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64135</wp:posOffset>
            </wp:positionV>
            <wp:extent cx="713613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00" w:type="dxa"/>
            <w:vAlign w:val="bottom"/>
            <w:gridSpan w:val="11"/>
          </w:tcPr>
          <w:p>
            <w:pPr>
              <w:jc w:val="center"/>
              <w:ind w:right="4380"/>
              <w:spacing w:after="0"/>
              <w:rPr>
                <w:sz w:val="20"/>
                <w:szCs w:val="20"/>
                <w:color w:val="auto"/>
              </w:rPr>
            </w:pPr>
            <w:r>
              <w:rPr>
                <w:rFonts w:ascii="Arial" w:cs="Arial" w:eastAsia="Arial" w:hAnsi="Arial"/>
                <w:sz w:val="16"/>
                <w:szCs w:val="16"/>
                <w:b w:val="1"/>
                <w:bCs w:val="1"/>
                <w:color w:val="auto"/>
                <w:w w:val="97"/>
              </w:rPr>
              <w:t>DigitalBridge Group, Inc.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10"/>
          </w:tcPr>
          <w:p>
            <w:pPr>
              <w:jc w:val="center"/>
              <w:ind w:right="4560"/>
              <w:spacing w:after="0"/>
              <w:rPr>
                <w:sz w:val="20"/>
                <w:szCs w:val="20"/>
                <w:color w:val="auto"/>
              </w:rPr>
            </w:pPr>
            <w:r>
              <w:rPr>
                <w:rFonts w:ascii="Arial" w:cs="Arial" w:eastAsia="Arial" w:hAnsi="Arial"/>
                <w:sz w:val="16"/>
                <w:szCs w:val="16"/>
                <w:b w:val="1"/>
                <w:bCs w:val="1"/>
                <w:color w:val="auto"/>
                <w:w w:val="95"/>
              </w:rPr>
              <w:t>Form 10-K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gridSpan w:val="10"/>
          </w:tcPr>
          <w:p>
            <w:pPr>
              <w:jc w:val="center"/>
              <w:ind w:right="4540"/>
              <w:spacing w:after="0"/>
              <w:rPr>
                <w:sz w:val="20"/>
                <w:szCs w:val="20"/>
                <w:color w:val="auto"/>
              </w:rPr>
            </w:pPr>
            <w:r>
              <w:rPr>
                <w:rFonts w:ascii="Arial" w:cs="Arial" w:eastAsia="Arial" w:hAnsi="Arial"/>
                <w:sz w:val="16"/>
                <w:szCs w:val="16"/>
                <w:b w:val="1"/>
                <w:bCs w:val="1"/>
                <w:color w:val="auto"/>
                <w:w w:val="96"/>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9"/>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74"/>
              </w:rPr>
              <w:t>Page</w:t>
            </w:r>
          </w:p>
        </w:tc>
      </w:tr>
      <w:tr>
        <w:trPr>
          <w:trHeight w:val="186"/>
        </w:trPr>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5440" w:type="dxa"/>
            <w:vAlign w:val="bottom"/>
            <w:tcBorders>
              <w:right w:val="single" w:sz="8" w:color="CCEEFF"/>
            </w:tcBorders>
            <w:gridSpan w:val="9"/>
            <w:shd w:val="clear" w:color="auto" w:fill="CCEEFF"/>
          </w:tcPr>
          <w:p>
            <w:pPr>
              <w:jc w:val="center"/>
              <w:ind w:right="4940"/>
              <w:spacing w:after="0" w:line="171" w:lineRule="exact"/>
              <w:rPr>
                <w:sz w:val="20"/>
                <w:szCs w:val="20"/>
                <w:color w:val="auto"/>
              </w:rPr>
            </w:pPr>
            <w:r>
              <w:rPr>
                <w:rFonts w:ascii="Arial" w:cs="Arial" w:eastAsia="Arial" w:hAnsi="Arial"/>
                <w:sz w:val="16"/>
                <w:szCs w:val="16"/>
                <w:b w:val="1"/>
                <w:bCs w:val="1"/>
                <w:color w:val="auto"/>
                <w:w w:val="95"/>
              </w:rPr>
              <w:t>PART I</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4"/>
        </w:trPr>
        <w:tc>
          <w:tcPr>
            <w:tcW w:w="1100" w:type="dxa"/>
            <w:vAlign w:val="bottom"/>
            <w:tcBorders>
              <w:top w:val="single" w:sz="8" w:color="CCEEFF"/>
            </w:tcBorders>
          </w:tcPr>
          <w:p>
            <w:pPr>
              <w:ind w:left="80"/>
              <w:spacing w:after="0" w:line="164" w:lineRule="exact"/>
              <w:rPr>
                <w:sz w:val="20"/>
                <w:szCs w:val="20"/>
                <w:color w:val="auto"/>
              </w:rPr>
            </w:pPr>
            <w:r>
              <w:rPr>
                <w:rFonts w:ascii="Arial" w:cs="Arial" w:eastAsia="Arial" w:hAnsi="Arial"/>
                <w:sz w:val="16"/>
                <w:szCs w:val="16"/>
                <w:color w:val="auto"/>
              </w:rPr>
              <w:t>Item 1.</w:t>
            </w:r>
          </w:p>
        </w:tc>
        <w:tc>
          <w:tcPr>
            <w:tcW w:w="4320" w:type="dxa"/>
            <w:vAlign w:val="bottom"/>
            <w:tcBorders>
              <w:top w:val="single" w:sz="8" w:color="CCEEFF"/>
            </w:tcBorders>
            <w:gridSpan w:val="13"/>
          </w:tcPr>
          <w:p>
            <w:pPr>
              <w:ind w:left="420"/>
              <w:spacing w:after="0" w:line="164" w:lineRule="exact"/>
              <w:rPr>
                <w:rFonts w:ascii="Arial" w:cs="Arial" w:eastAsia="Arial" w:hAnsi="Arial"/>
                <w:sz w:val="16"/>
                <w:szCs w:val="16"/>
                <w:color w:val="0000FF"/>
              </w:rPr>
            </w:pPr>
            <w:hyperlink w:anchor="page8">
              <w:r>
                <w:rPr>
                  <w:rFonts w:ascii="Arial" w:cs="Arial" w:eastAsia="Arial" w:hAnsi="Arial"/>
                  <w:sz w:val="16"/>
                  <w:szCs w:val="16"/>
                  <w:color w:val="0000FF"/>
                </w:rPr>
                <w:t>Business</w:t>
              </w:r>
            </w:hyperlink>
          </w:p>
        </w:tc>
        <w:tc>
          <w:tcPr>
            <w:tcW w:w="540" w:type="dxa"/>
            <w:vAlign w:val="bottom"/>
            <w:tcBorders>
              <w:top w:val="single" w:sz="8" w:color="auto"/>
            </w:tcBorders>
            <w:gridSpan w:val="2"/>
          </w:tcPr>
          <w:p>
            <w:pPr>
              <w:spacing w:after="0"/>
              <w:rPr>
                <w:sz w:val="14"/>
                <w:szCs w:val="14"/>
                <w:color w:val="auto"/>
              </w:rPr>
            </w:pPr>
          </w:p>
        </w:tc>
        <w:tc>
          <w:tcPr>
            <w:tcW w:w="4900" w:type="dxa"/>
            <w:vAlign w:val="bottom"/>
            <w:tcBorders>
              <w:top w:val="single" w:sz="8" w:color="CCEEFF"/>
            </w:tcBorders>
            <w:gridSpan w:val="7"/>
          </w:tcPr>
          <w:p>
            <w:pPr>
              <w:spacing w:after="0"/>
              <w:rPr>
                <w:sz w:val="14"/>
                <w:szCs w:val="14"/>
                <w:color w:val="auto"/>
              </w:rPr>
            </w:pPr>
          </w:p>
        </w:tc>
        <w:tc>
          <w:tcPr>
            <w:tcW w:w="180" w:type="dxa"/>
            <w:vAlign w:val="bottom"/>
            <w:tcBorders>
              <w:top w:val="single" w:sz="8" w:color="CCEEFF"/>
            </w:tcBorders>
            <w:gridSpan w:val="2"/>
          </w:tcPr>
          <w:p>
            <w:pPr>
              <w:jc w:val="right"/>
              <w:spacing w:after="0" w:line="164"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1A.</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16">
              <w:r>
                <w:rPr>
                  <w:rFonts w:ascii="Arial" w:cs="Arial" w:eastAsia="Arial" w:hAnsi="Arial"/>
                  <w:sz w:val="16"/>
                  <w:szCs w:val="16"/>
                  <w:color w:val="0000FF"/>
                </w:rPr>
                <w:t>Risk Factors</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16">
              <w:r>
                <w:rPr>
                  <w:rFonts w:ascii="Arial" w:cs="Arial" w:eastAsia="Arial" w:hAnsi="Arial"/>
                  <w:sz w:val="16"/>
                  <w:szCs w:val="16"/>
                  <w:color w:val="0000FF"/>
                  <w:w w:val="89"/>
                </w:rPr>
                <w:t>17</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1B.</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43">
              <w:r>
                <w:rPr>
                  <w:rFonts w:ascii="Arial" w:cs="Arial" w:eastAsia="Arial" w:hAnsi="Arial"/>
                  <w:sz w:val="16"/>
                  <w:szCs w:val="16"/>
                  <w:color w:val="0000FF"/>
                </w:rPr>
                <w:t>Unresolved Staff Comments</w:t>
              </w:r>
            </w:hyperlink>
          </w:p>
        </w:tc>
        <w:tc>
          <w:tcPr>
            <w:tcW w:w="180" w:type="dxa"/>
            <w:vAlign w:val="bottom"/>
            <w:gridSpan w:val="2"/>
          </w:tcPr>
          <w:p>
            <w:pPr>
              <w:jc w:val="right"/>
              <w:spacing w:after="0" w:line="164"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43</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2.</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43">
              <w:r>
                <w:rPr>
                  <w:rFonts w:ascii="Arial" w:cs="Arial" w:eastAsia="Arial" w:hAnsi="Arial"/>
                  <w:sz w:val="16"/>
                  <w:szCs w:val="16"/>
                  <w:color w:val="0000FF"/>
                </w:rPr>
                <w:t>Properties</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43</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3.</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45">
              <w:r>
                <w:rPr>
                  <w:rFonts w:ascii="Arial" w:cs="Arial" w:eastAsia="Arial" w:hAnsi="Arial"/>
                  <w:sz w:val="16"/>
                  <w:szCs w:val="16"/>
                  <w:color w:val="0000FF"/>
                </w:rPr>
                <w:t>Legal Proceedings</w:t>
              </w:r>
            </w:hyperlink>
          </w:p>
        </w:tc>
        <w:tc>
          <w:tcPr>
            <w:tcW w:w="180" w:type="dxa"/>
            <w:vAlign w:val="bottom"/>
            <w:gridSpan w:val="2"/>
          </w:tcPr>
          <w:p>
            <w:pPr>
              <w:jc w:val="right"/>
              <w:spacing w:after="0" w:line="164" w:lineRule="exact"/>
              <w:rPr>
                <w:rFonts w:ascii="Arial" w:cs="Arial" w:eastAsia="Arial" w:hAnsi="Arial"/>
                <w:sz w:val="16"/>
                <w:szCs w:val="16"/>
                <w:color w:val="0000FF"/>
                <w:w w:val="89"/>
              </w:rPr>
            </w:pPr>
            <w:hyperlink w:anchor="page45">
              <w:r>
                <w:rPr>
                  <w:rFonts w:ascii="Arial" w:cs="Arial" w:eastAsia="Arial" w:hAnsi="Arial"/>
                  <w:sz w:val="16"/>
                  <w:szCs w:val="16"/>
                  <w:color w:val="0000FF"/>
                  <w:w w:val="89"/>
                </w:rPr>
                <w:t>45</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4.</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45">
              <w:r>
                <w:rPr>
                  <w:rFonts w:ascii="Arial" w:cs="Arial" w:eastAsia="Arial" w:hAnsi="Arial"/>
                  <w:sz w:val="16"/>
                  <w:szCs w:val="16"/>
                  <w:color w:val="0000FF"/>
                </w:rPr>
                <w:t>Mine Safety Disclosures</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45">
              <w:r>
                <w:rPr>
                  <w:rFonts w:ascii="Arial" w:cs="Arial" w:eastAsia="Arial" w:hAnsi="Arial"/>
                  <w:sz w:val="16"/>
                  <w:szCs w:val="16"/>
                  <w:color w:val="0000FF"/>
                  <w:w w:val="89"/>
                </w:rPr>
                <w:t>45</w:t>
              </w:r>
            </w:hyperlink>
          </w:p>
        </w:tc>
      </w:tr>
      <w:tr>
        <w:trPr>
          <w:trHeight w:val="187"/>
        </w:trPr>
        <w:tc>
          <w:tcPr>
            <w:tcW w:w="11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66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r>
      <w:tr>
        <w:trPr>
          <w:trHeight w:val="164"/>
        </w:trPr>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5440" w:type="dxa"/>
            <w:vAlign w:val="bottom"/>
            <w:tcBorders>
              <w:right w:val="single" w:sz="8" w:color="CCEEFF"/>
            </w:tcBorders>
            <w:gridSpan w:val="9"/>
            <w:shd w:val="clear" w:color="auto" w:fill="CCEEFF"/>
          </w:tcPr>
          <w:p>
            <w:pPr>
              <w:jc w:val="center"/>
              <w:ind w:right="4920"/>
              <w:spacing w:after="0" w:line="164" w:lineRule="exact"/>
              <w:rPr>
                <w:sz w:val="20"/>
                <w:szCs w:val="20"/>
                <w:color w:val="auto"/>
              </w:rPr>
            </w:pPr>
            <w:r>
              <w:rPr>
                <w:rFonts w:ascii="Arial" w:cs="Arial" w:eastAsia="Arial" w:hAnsi="Arial"/>
                <w:sz w:val="16"/>
                <w:szCs w:val="16"/>
                <w:b w:val="1"/>
                <w:bCs w:val="1"/>
                <w:color w:val="auto"/>
                <w:w w:val="91"/>
              </w:rPr>
              <w:t>PART II</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tcBorders>
              <w:right w:val="single" w:sz="8" w:color="auto"/>
            </w:tcBorders>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5.</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46">
              <w:r>
                <w:rPr>
                  <w:rFonts w:ascii="Arial" w:cs="Arial" w:eastAsia="Arial" w:hAnsi="Arial"/>
                  <w:sz w:val="16"/>
                  <w:szCs w:val="16"/>
                  <w:color w:val="0000FF"/>
                </w:rPr>
                <w:t>Market for Registrant’s Common Equity, Related Stockholder Matters and Issuer Purchases of Equity Securities</w:t>
              </w:r>
            </w:hyperlink>
          </w:p>
        </w:tc>
        <w:tc>
          <w:tcPr>
            <w:tcW w:w="180" w:type="dxa"/>
            <w:vAlign w:val="bottom"/>
            <w:gridSpan w:val="2"/>
          </w:tcPr>
          <w:p>
            <w:pPr>
              <w:jc w:val="right"/>
              <w:spacing w:after="0" w:line="164" w:lineRule="exact"/>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6.</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47">
              <w:r>
                <w:rPr>
                  <w:rFonts w:ascii="Arial" w:cs="Arial" w:eastAsia="Arial" w:hAnsi="Arial"/>
                  <w:sz w:val="16"/>
                  <w:szCs w:val="16"/>
                  <w:color w:val="0000FF"/>
                </w:rPr>
                <w:t>[Reserved]</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47">
              <w:r>
                <w:rPr>
                  <w:rFonts w:ascii="Arial" w:cs="Arial" w:eastAsia="Arial" w:hAnsi="Arial"/>
                  <w:sz w:val="16"/>
                  <w:szCs w:val="16"/>
                  <w:color w:val="0000FF"/>
                  <w:w w:val="89"/>
                </w:rPr>
                <w:t>47</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7.</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47">
              <w:r>
                <w:rPr>
                  <w:rFonts w:ascii="Arial" w:cs="Arial" w:eastAsia="Arial" w:hAnsi="Arial"/>
                  <w:sz w:val="16"/>
                  <w:szCs w:val="16"/>
                  <w:color w:val="0000FF"/>
                </w:rPr>
                <w:t>Management’s Discussion and Analysis of Financial Condition and Results of Operations</w:t>
              </w:r>
            </w:hyperlink>
          </w:p>
        </w:tc>
        <w:tc>
          <w:tcPr>
            <w:tcW w:w="180" w:type="dxa"/>
            <w:vAlign w:val="bottom"/>
            <w:gridSpan w:val="2"/>
          </w:tcPr>
          <w:p>
            <w:pPr>
              <w:jc w:val="right"/>
              <w:spacing w:after="0" w:line="164" w:lineRule="exact"/>
              <w:rPr>
                <w:rFonts w:ascii="Arial" w:cs="Arial" w:eastAsia="Arial" w:hAnsi="Arial"/>
                <w:sz w:val="16"/>
                <w:szCs w:val="16"/>
                <w:color w:val="0000FF"/>
                <w:w w:val="89"/>
              </w:rPr>
            </w:pPr>
            <w:hyperlink w:anchor="page47">
              <w:r>
                <w:rPr>
                  <w:rFonts w:ascii="Arial" w:cs="Arial" w:eastAsia="Arial" w:hAnsi="Arial"/>
                  <w:sz w:val="16"/>
                  <w:szCs w:val="16"/>
                  <w:color w:val="0000FF"/>
                  <w:w w:val="89"/>
                </w:rPr>
                <w:t>47</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7A.</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68">
              <w:r>
                <w:rPr>
                  <w:rFonts w:ascii="Arial" w:cs="Arial" w:eastAsia="Arial" w:hAnsi="Arial"/>
                  <w:sz w:val="16"/>
                  <w:szCs w:val="16"/>
                  <w:color w:val="0000FF"/>
                </w:rPr>
                <w:t>Quantitative and Qualitative Disclosures About Market Risk</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68">
              <w:r>
                <w:rPr>
                  <w:rFonts w:ascii="Arial" w:cs="Arial" w:eastAsia="Arial" w:hAnsi="Arial"/>
                  <w:sz w:val="16"/>
                  <w:szCs w:val="16"/>
                  <w:color w:val="0000FF"/>
                  <w:w w:val="89"/>
                </w:rPr>
                <w:t>69</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8.</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70">
              <w:r>
                <w:rPr>
                  <w:rFonts w:ascii="Arial" w:cs="Arial" w:eastAsia="Arial" w:hAnsi="Arial"/>
                  <w:sz w:val="16"/>
                  <w:szCs w:val="16"/>
                  <w:color w:val="0000FF"/>
                </w:rPr>
                <w:t>Financial Statements and Supplementary Data</w:t>
              </w:r>
            </w:hyperlink>
          </w:p>
        </w:tc>
        <w:tc>
          <w:tcPr>
            <w:tcW w:w="180" w:type="dxa"/>
            <w:vAlign w:val="bottom"/>
            <w:gridSpan w:val="2"/>
          </w:tcPr>
          <w:p>
            <w:pPr>
              <w:jc w:val="right"/>
              <w:spacing w:after="0" w:line="164" w:lineRule="exact"/>
              <w:rPr>
                <w:rFonts w:ascii="Arial" w:cs="Arial" w:eastAsia="Arial" w:hAnsi="Arial"/>
                <w:sz w:val="16"/>
                <w:szCs w:val="16"/>
                <w:color w:val="0000FF"/>
                <w:w w:val="89"/>
              </w:rPr>
            </w:pPr>
            <w:hyperlink w:anchor="page70">
              <w:r>
                <w:rPr>
                  <w:rFonts w:ascii="Arial" w:cs="Arial" w:eastAsia="Arial" w:hAnsi="Arial"/>
                  <w:sz w:val="16"/>
                  <w:szCs w:val="16"/>
                  <w:color w:val="0000FF"/>
                  <w:w w:val="89"/>
                </w:rPr>
                <w:t>70</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9.</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70">
              <w:r>
                <w:rPr>
                  <w:rFonts w:ascii="Arial" w:cs="Arial" w:eastAsia="Arial" w:hAnsi="Arial"/>
                  <w:sz w:val="16"/>
                  <w:szCs w:val="16"/>
                  <w:color w:val="0000FF"/>
                </w:rPr>
                <w:t>Changes in and Disagreements With Accountants on Accounting and Financial Disclosure</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70">
              <w:r>
                <w:rPr>
                  <w:rFonts w:ascii="Arial" w:cs="Arial" w:eastAsia="Arial" w:hAnsi="Arial"/>
                  <w:sz w:val="16"/>
                  <w:szCs w:val="16"/>
                  <w:color w:val="0000FF"/>
                  <w:w w:val="89"/>
                </w:rPr>
                <w:t>70</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9A.</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70">
              <w:r>
                <w:rPr>
                  <w:rFonts w:ascii="Arial" w:cs="Arial" w:eastAsia="Arial" w:hAnsi="Arial"/>
                  <w:sz w:val="16"/>
                  <w:szCs w:val="16"/>
                  <w:color w:val="0000FF"/>
                </w:rPr>
                <w:t>Controls and Procedures</w:t>
              </w:r>
            </w:hyperlink>
          </w:p>
        </w:tc>
        <w:tc>
          <w:tcPr>
            <w:tcW w:w="180" w:type="dxa"/>
            <w:vAlign w:val="bottom"/>
            <w:gridSpan w:val="2"/>
          </w:tcPr>
          <w:p>
            <w:pPr>
              <w:jc w:val="right"/>
              <w:spacing w:after="0" w:line="164" w:lineRule="exact"/>
              <w:rPr>
                <w:rFonts w:ascii="Arial" w:cs="Arial" w:eastAsia="Arial" w:hAnsi="Arial"/>
                <w:sz w:val="16"/>
                <w:szCs w:val="16"/>
                <w:color w:val="0000FF"/>
                <w:w w:val="89"/>
              </w:rPr>
            </w:pPr>
            <w:hyperlink w:anchor="page70">
              <w:r>
                <w:rPr>
                  <w:rFonts w:ascii="Arial" w:cs="Arial" w:eastAsia="Arial" w:hAnsi="Arial"/>
                  <w:sz w:val="16"/>
                  <w:szCs w:val="16"/>
                  <w:color w:val="0000FF"/>
                  <w:w w:val="89"/>
                </w:rPr>
                <w:t>71</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9B.</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72">
              <w:r>
                <w:rPr>
                  <w:rFonts w:ascii="Arial" w:cs="Arial" w:eastAsia="Arial" w:hAnsi="Arial"/>
                  <w:sz w:val="16"/>
                  <w:szCs w:val="16"/>
                  <w:color w:val="0000FF"/>
                </w:rPr>
                <w:t>Other Information</w:t>
              </w:r>
            </w:hyperlink>
          </w:p>
        </w:tc>
        <w:tc>
          <w:tcPr>
            <w:tcW w:w="180" w:type="dxa"/>
            <w:vAlign w:val="bottom"/>
            <w:gridSpan w:val="2"/>
            <w:shd w:val="clear" w:color="auto" w:fill="CCEEFF"/>
          </w:tcPr>
          <w:p>
            <w:pPr>
              <w:jc w:val="right"/>
              <w:spacing w:after="0" w:line="171" w:lineRule="exact"/>
              <w:rPr>
                <w:rFonts w:ascii="Arial" w:cs="Arial" w:eastAsia="Arial" w:hAnsi="Arial"/>
                <w:sz w:val="16"/>
                <w:szCs w:val="16"/>
                <w:color w:val="0000FF"/>
                <w:w w:val="89"/>
              </w:rPr>
            </w:pPr>
            <w:hyperlink w:anchor="page72">
              <w:r>
                <w:rPr>
                  <w:rFonts w:ascii="Arial" w:cs="Arial" w:eastAsia="Arial" w:hAnsi="Arial"/>
                  <w:sz w:val="16"/>
                  <w:szCs w:val="16"/>
                  <w:color w:val="0000FF"/>
                  <w:w w:val="89"/>
                </w:rPr>
                <w:t>73</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1"/>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9C.</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102">
              <w:r>
                <w:rPr>
                  <w:rFonts w:ascii="Arial" w:cs="Arial" w:eastAsia="Arial" w:hAnsi="Arial"/>
                  <w:sz w:val="16"/>
                  <w:szCs w:val="16"/>
                  <w:color w:val="0000FF"/>
                </w:rPr>
                <w:t>Disclosure Regarding Foreign Jurisdictions that Prevent Inspections</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02">
              <w:r>
                <w:rPr>
                  <w:rFonts w:ascii="Arial" w:cs="Arial" w:eastAsia="Arial" w:hAnsi="Arial"/>
                  <w:sz w:val="13"/>
                  <w:szCs w:val="13"/>
                  <w:color w:val="0000FF"/>
                  <w:w w:val="73"/>
                </w:rPr>
                <w:t>102</w:t>
              </w:r>
            </w:hyperlink>
          </w:p>
        </w:tc>
      </w:tr>
      <w:tr>
        <w:trPr>
          <w:trHeight w:val="195"/>
        </w:trPr>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right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righ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68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0000FF"/>
              <w:right w:val="single" w:sz="8" w:color="CCEEFF"/>
            </w:tcBorders>
            <w:shd w:val="clear" w:color="auto" w:fill="CCEEFF"/>
          </w:tcPr>
          <w:p>
            <w:pPr>
              <w:spacing w:after="0"/>
              <w:rPr>
                <w:sz w:val="16"/>
                <w:szCs w:val="16"/>
                <w:color w:val="auto"/>
              </w:rPr>
            </w:pPr>
          </w:p>
        </w:tc>
        <w:tc>
          <w:tcPr>
            <w:tcW w:w="220" w:type="dxa"/>
            <w:vAlign w:val="bottom"/>
            <w:tcBorders>
              <w:top w:val="single" w:sz="8" w:color="0000FF"/>
              <w:lef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r>
      <w:tr>
        <w:trPr>
          <w:trHeight w:val="164"/>
        </w:trPr>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40" w:type="dxa"/>
            <w:vAlign w:val="bottom"/>
            <w:gridSpan w:val="9"/>
          </w:tcPr>
          <w:p>
            <w:pPr>
              <w:jc w:val="center"/>
              <w:ind w:right="4900"/>
              <w:spacing w:after="0" w:line="164" w:lineRule="exact"/>
              <w:rPr>
                <w:sz w:val="20"/>
                <w:szCs w:val="20"/>
                <w:color w:val="auto"/>
              </w:rPr>
            </w:pPr>
            <w:r>
              <w:rPr>
                <w:rFonts w:ascii="Arial" w:cs="Arial" w:eastAsia="Arial" w:hAnsi="Arial"/>
                <w:sz w:val="16"/>
                <w:szCs w:val="16"/>
                <w:b w:val="1"/>
                <w:bCs w:val="1"/>
                <w:color w:val="auto"/>
                <w:w w:val="87"/>
              </w:rPr>
              <w:t>PART III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10.</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102">
              <w:r>
                <w:rPr>
                  <w:rFonts w:ascii="Arial" w:cs="Arial" w:eastAsia="Arial" w:hAnsi="Arial"/>
                  <w:sz w:val="16"/>
                  <w:szCs w:val="16"/>
                  <w:color w:val="0000FF"/>
                </w:rPr>
                <w:t>Directors, Executive Officers and Corporate Governance</w:t>
              </w:r>
            </w:hyperlink>
          </w:p>
        </w:tc>
        <w:tc>
          <w:tcPr>
            <w:tcW w:w="180" w:type="dxa"/>
            <w:vAlign w:val="bottom"/>
            <w:gridSpan w:val="2"/>
            <w:shd w:val="clear" w:color="auto" w:fill="CCEEFF"/>
          </w:tcPr>
          <w:p>
            <w:pPr>
              <w:jc w:val="right"/>
              <w:spacing w:after="0"/>
              <w:rPr>
                <w:rFonts w:ascii="Arial" w:cs="Arial" w:eastAsia="Arial" w:hAnsi="Arial"/>
                <w:sz w:val="13"/>
                <w:szCs w:val="13"/>
                <w:color w:val="0000FF"/>
                <w:w w:val="73"/>
              </w:rPr>
            </w:pPr>
            <w:hyperlink w:anchor="page102">
              <w:r>
                <w:rPr>
                  <w:rFonts w:ascii="Arial" w:cs="Arial" w:eastAsia="Arial" w:hAnsi="Arial"/>
                  <w:sz w:val="13"/>
                  <w:szCs w:val="13"/>
                  <w:color w:val="0000FF"/>
                  <w:w w:val="73"/>
                </w:rPr>
                <w:t>103</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11.</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102">
              <w:r>
                <w:rPr>
                  <w:rFonts w:ascii="Arial" w:cs="Arial" w:eastAsia="Arial" w:hAnsi="Arial"/>
                  <w:sz w:val="16"/>
                  <w:szCs w:val="16"/>
                  <w:color w:val="0000FF"/>
                </w:rPr>
                <w:t>Executive Compensation</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02">
              <w:r>
                <w:rPr>
                  <w:rFonts w:ascii="Arial" w:cs="Arial" w:eastAsia="Arial" w:hAnsi="Arial"/>
                  <w:sz w:val="13"/>
                  <w:szCs w:val="13"/>
                  <w:color w:val="0000FF"/>
                  <w:w w:val="73"/>
                </w:rPr>
                <w:t>103</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12.</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102">
              <w:r>
                <w:rPr>
                  <w:rFonts w:ascii="Arial" w:cs="Arial" w:eastAsia="Arial" w:hAnsi="Arial"/>
                  <w:sz w:val="16"/>
                  <w:szCs w:val="16"/>
                  <w:color w:val="0000FF"/>
                </w:rPr>
                <w:t>Security Ownership of Certain Beneficial Owners and Management and Related Stockholder Matters</w:t>
              </w:r>
            </w:hyperlink>
          </w:p>
        </w:tc>
        <w:tc>
          <w:tcPr>
            <w:tcW w:w="180" w:type="dxa"/>
            <w:vAlign w:val="bottom"/>
            <w:gridSpan w:val="2"/>
            <w:shd w:val="clear" w:color="auto" w:fill="CCEEFF"/>
          </w:tcPr>
          <w:p>
            <w:pPr>
              <w:jc w:val="right"/>
              <w:spacing w:after="0"/>
              <w:rPr>
                <w:rFonts w:ascii="Arial" w:cs="Arial" w:eastAsia="Arial" w:hAnsi="Arial"/>
                <w:sz w:val="13"/>
                <w:szCs w:val="13"/>
                <w:color w:val="0000FF"/>
                <w:w w:val="73"/>
              </w:rPr>
            </w:pPr>
            <w:hyperlink w:anchor="page102">
              <w:r>
                <w:rPr>
                  <w:rFonts w:ascii="Arial" w:cs="Arial" w:eastAsia="Arial" w:hAnsi="Arial"/>
                  <w:sz w:val="13"/>
                  <w:szCs w:val="13"/>
                  <w:color w:val="0000FF"/>
                  <w:w w:val="73"/>
                </w:rPr>
                <w:t>103</w:t>
              </w:r>
            </w:hyperlink>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13.</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102">
              <w:r>
                <w:rPr>
                  <w:rFonts w:ascii="Arial" w:cs="Arial" w:eastAsia="Arial" w:hAnsi="Arial"/>
                  <w:sz w:val="16"/>
                  <w:szCs w:val="16"/>
                  <w:color w:val="0000FF"/>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02">
              <w:r>
                <w:rPr>
                  <w:rFonts w:ascii="Arial" w:cs="Arial" w:eastAsia="Arial" w:hAnsi="Arial"/>
                  <w:sz w:val="13"/>
                  <w:szCs w:val="13"/>
                  <w:color w:val="0000FF"/>
                  <w:w w:val="73"/>
                </w:rPr>
                <w:t>103</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14.</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102">
              <w:r>
                <w:rPr>
                  <w:rFonts w:ascii="Arial" w:cs="Arial" w:eastAsia="Arial" w:hAnsi="Arial"/>
                  <w:sz w:val="16"/>
                  <w:szCs w:val="16"/>
                  <w:color w:val="0000FF"/>
                </w:rPr>
                <w:t>Principal Accountant Fees and Services</w:t>
              </w:r>
            </w:hyperlink>
          </w:p>
        </w:tc>
        <w:tc>
          <w:tcPr>
            <w:tcW w:w="180" w:type="dxa"/>
            <w:vAlign w:val="bottom"/>
            <w:gridSpan w:val="2"/>
            <w:shd w:val="clear" w:color="auto" w:fill="CCEEFF"/>
          </w:tcPr>
          <w:p>
            <w:pPr>
              <w:jc w:val="right"/>
              <w:spacing w:after="0"/>
              <w:rPr>
                <w:rFonts w:ascii="Arial" w:cs="Arial" w:eastAsia="Arial" w:hAnsi="Arial"/>
                <w:sz w:val="13"/>
                <w:szCs w:val="13"/>
                <w:color w:val="0000FF"/>
                <w:w w:val="73"/>
              </w:rPr>
            </w:pPr>
            <w:hyperlink w:anchor="page102">
              <w:r>
                <w:rPr>
                  <w:rFonts w:ascii="Arial" w:cs="Arial" w:eastAsia="Arial" w:hAnsi="Arial"/>
                  <w:sz w:val="13"/>
                  <w:szCs w:val="13"/>
                  <w:color w:val="0000FF"/>
                  <w:w w:val="73"/>
                </w:rPr>
                <w:t>103</w:t>
              </w:r>
            </w:hyperlink>
          </w:p>
        </w:tc>
      </w:tr>
      <w:tr>
        <w:trPr>
          <w:trHeight w:val="187"/>
        </w:trPr>
        <w:tc>
          <w:tcPr>
            <w:tcW w:w="11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66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r>
      <w:tr>
        <w:trPr>
          <w:trHeight w:val="179"/>
        </w:trPr>
        <w:tc>
          <w:tcPr>
            <w:tcW w:w="1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CCEEFF"/>
            </w:tcBorders>
            <w:shd w:val="clear" w:color="auto" w:fill="CCEEFF"/>
          </w:tcPr>
          <w:p>
            <w:pPr>
              <w:spacing w:after="0"/>
              <w:rPr>
                <w:sz w:val="15"/>
                <w:szCs w:val="15"/>
                <w:color w:val="auto"/>
              </w:rPr>
            </w:pPr>
          </w:p>
        </w:tc>
        <w:tc>
          <w:tcPr>
            <w:tcW w:w="540" w:type="dxa"/>
            <w:vAlign w:val="bottom"/>
            <w:tcBorders>
              <w:bottom w:val="single" w:sz="8" w:color="auto"/>
              <w:right w:val="single" w:sz="8" w:color="CCEEFF"/>
            </w:tcBorders>
            <w:gridSpan w:val="2"/>
            <w:shd w:val="clear" w:color="auto" w:fill="CCEEFF"/>
          </w:tcPr>
          <w:p>
            <w:pPr>
              <w:jc w:val="center"/>
              <w:spacing w:after="0" w:line="164" w:lineRule="exact"/>
              <w:rPr>
                <w:sz w:val="20"/>
                <w:szCs w:val="20"/>
                <w:color w:val="auto"/>
              </w:rPr>
            </w:pPr>
            <w:r>
              <w:rPr>
                <w:rFonts w:ascii="Arial" w:cs="Arial" w:eastAsia="Arial" w:hAnsi="Arial"/>
                <w:sz w:val="16"/>
                <w:szCs w:val="16"/>
                <w:b w:val="1"/>
                <w:bCs w:val="1"/>
                <w:color w:val="auto"/>
                <w:w w:val="88"/>
              </w:rPr>
              <w:t>PART IV</w:t>
            </w:r>
          </w:p>
        </w:tc>
        <w:tc>
          <w:tcPr>
            <w:tcW w:w="4900" w:type="dxa"/>
            <w:vAlign w:val="bottom"/>
            <w:tcBorders>
              <w:left w:val="single" w:sz="8" w:color="CCEEFF"/>
              <w:bottom w:val="single" w:sz="8" w:color="CCEEFF"/>
              <w:right w:val="single" w:sz="8" w:color="CCEEFF"/>
            </w:tcBorders>
            <w:gridSpan w:val="7"/>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64"/>
        </w:trPr>
        <w:tc>
          <w:tcPr>
            <w:tcW w:w="1100" w:type="dxa"/>
            <w:vAlign w:val="bottom"/>
          </w:tcPr>
          <w:p>
            <w:pPr>
              <w:ind w:left="80"/>
              <w:spacing w:after="0" w:line="164" w:lineRule="exact"/>
              <w:rPr>
                <w:sz w:val="20"/>
                <w:szCs w:val="20"/>
                <w:color w:val="auto"/>
              </w:rPr>
            </w:pPr>
            <w:r>
              <w:rPr>
                <w:rFonts w:ascii="Arial" w:cs="Arial" w:eastAsia="Arial" w:hAnsi="Arial"/>
                <w:sz w:val="16"/>
                <w:szCs w:val="16"/>
                <w:color w:val="auto"/>
              </w:rPr>
              <w:t>Item 15.</w:t>
            </w:r>
          </w:p>
        </w:tc>
        <w:tc>
          <w:tcPr>
            <w:tcW w:w="9760" w:type="dxa"/>
            <w:vAlign w:val="bottom"/>
            <w:gridSpan w:val="22"/>
          </w:tcPr>
          <w:p>
            <w:pPr>
              <w:ind w:left="420"/>
              <w:spacing w:after="0" w:line="164" w:lineRule="exact"/>
              <w:rPr>
                <w:rFonts w:ascii="Arial" w:cs="Arial" w:eastAsia="Arial" w:hAnsi="Arial"/>
                <w:sz w:val="16"/>
                <w:szCs w:val="16"/>
                <w:color w:val="0000FF"/>
              </w:rPr>
            </w:pPr>
            <w:hyperlink w:anchor="page104">
              <w:r>
                <w:rPr>
                  <w:rFonts w:ascii="Arial" w:cs="Arial" w:eastAsia="Arial" w:hAnsi="Arial"/>
                  <w:sz w:val="16"/>
                  <w:szCs w:val="16"/>
                  <w:color w:val="0000FF"/>
                </w:rPr>
                <w:t>Exhibits and Financial Statement Schedules</w:t>
              </w:r>
            </w:hyperlink>
          </w:p>
        </w:tc>
        <w:tc>
          <w:tcPr>
            <w:tcW w:w="180" w:type="dxa"/>
            <w:vAlign w:val="bottom"/>
            <w:gridSpan w:val="2"/>
          </w:tcPr>
          <w:p>
            <w:pPr>
              <w:jc w:val="right"/>
              <w:spacing w:after="0"/>
              <w:rPr>
                <w:rFonts w:ascii="Arial" w:cs="Arial" w:eastAsia="Arial" w:hAnsi="Arial"/>
                <w:sz w:val="14"/>
                <w:szCs w:val="14"/>
                <w:color w:val="0000FF"/>
                <w:w w:val="75"/>
              </w:rPr>
            </w:pPr>
            <w:hyperlink w:anchor="page103">
              <w:r>
                <w:rPr>
                  <w:rFonts w:ascii="Arial" w:cs="Arial" w:eastAsia="Arial" w:hAnsi="Arial"/>
                  <w:sz w:val="14"/>
                  <w:szCs w:val="14"/>
                  <w:color w:val="0000FF"/>
                  <w:w w:val="75"/>
                </w:rPr>
                <w:t>F-1</w:t>
              </w:r>
            </w:hyperlink>
          </w:p>
        </w:tc>
      </w:tr>
      <w:tr>
        <w:trPr>
          <w:trHeight w:val="28"/>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1"/>
        </w:trPr>
        <w:tc>
          <w:tcPr>
            <w:tcW w:w="110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Item 16.</w:t>
            </w:r>
          </w:p>
        </w:tc>
        <w:tc>
          <w:tcPr>
            <w:tcW w:w="9760" w:type="dxa"/>
            <w:vAlign w:val="bottom"/>
            <w:tcBorders>
              <w:right w:val="single" w:sz="8" w:color="CCEEFF"/>
            </w:tcBorders>
            <w:gridSpan w:val="22"/>
            <w:shd w:val="clear" w:color="auto" w:fill="CCEEFF"/>
          </w:tcPr>
          <w:p>
            <w:pPr>
              <w:ind w:left="420"/>
              <w:spacing w:after="0" w:line="171" w:lineRule="exact"/>
              <w:rPr>
                <w:rFonts w:ascii="Arial" w:cs="Arial" w:eastAsia="Arial" w:hAnsi="Arial"/>
                <w:sz w:val="16"/>
                <w:szCs w:val="16"/>
                <w:color w:val="0000FF"/>
              </w:rPr>
            </w:pPr>
            <w:hyperlink w:anchor="page179">
              <w:r>
                <w:rPr>
                  <w:rFonts w:ascii="Arial" w:cs="Arial" w:eastAsia="Arial" w:hAnsi="Arial"/>
                  <w:sz w:val="16"/>
                  <w:szCs w:val="16"/>
                  <w:color w:val="0000FF"/>
                </w:rPr>
                <w:t>Form 10-K Summary</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5"/>
        </w:trPr>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118745</wp:posOffset>
            </wp:positionV>
            <wp:extent cx="7016750"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750" cy="126365"/>
                    </a:xfrm>
                    <a:prstGeom prst="rect">
                      <a:avLst/>
                    </a:prstGeom>
                    <a:noFill/>
                  </pic:spPr>
                </pic:pic>
              </a:graphicData>
            </a:graphic>
          </wp:anchor>
        </w:drawing>
      </w:r>
    </w:p>
    <w:p>
      <w:pPr>
        <w:spacing w:after="0" w:line="178" w:lineRule="exact"/>
        <w:rPr>
          <w:sz w:val="20"/>
          <w:szCs w:val="20"/>
          <w:color w:val="auto"/>
        </w:rPr>
      </w:pPr>
    </w:p>
    <w:p>
      <w:pPr>
        <w:ind w:left="180"/>
        <w:spacing w:after="0"/>
        <w:rPr>
          <w:rFonts w:ascii="Arial" w:cs="Arial" w:eastAsia="Arial" w:hAnsi="Arial"/>
          <w:sz w:val="16"/>
          <w:szCs w:val="16"/>
          <w:u w:val="single" w:color="auto"/>
          <w:color w:val="0000FF"/>
        </w:rPr>
      </w:pPr>
      <w:hyperlink w:anchor="page180">
        <w:r>
          <w:rPr>
            <w:rFonts w:ascii="Arial" w:cs="Arial" w:eastAsia="Arial" w:hAnsi="Arial"/>
            <w:sz w:val="16"/>
            <w:szCs w:val="16"/>
            <w:u w:val="single" w:color="auto"/>
            <w:color w:val="0000FF"/>
          </w:rPr>
          <w:t>Exhibit Index</w:t>
        </w:r>
      </w:hyperlink>
    </w:p>
    <w:p>
      <w:pPr>
        <w:spacing w:after="0" w:line="15" w:lineRule="exact"/>
        <w:rPr>
          <w:sz w:val="20"/>
          <w:szCs w:val="20"/>
          <w:color w:val="auto"/>
        </w:rPr>
      </w:pPr>
    </w:p>
    <w:p>
      <w:pPr>
        <w:ind w:left="180"/>
        <w:spacing w:after="0"/>
        <w:rPr>
          <w:rFonts w:ascii="Arial" w:cs="Arial" w:eastAsia="Arial" w:hAnsi="Arial"/>
          <w:sz w:val="16"/>
          <w:szCs w:val="16"/>
          <w:u w:val="single" w:color="auto"/>
          <w:color w:val="0000FF"/>
        </w:rPr>
      </w:pPr>
      <w:hyperlink w:anchor="page183">
        <w:r>
          <w:rPr>
            <w:rFonts w:ascii="Arial" w:cs="Arial" w:eastAsia="Arial" w:hAnsi="Arial"/>
            <w:sz w:val="16"/>
            <w:szCs w:val="16"/>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605790</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15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Some of the statements contained in this Annual Report on Form 10-K (this "Annual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94" w:lineRule="exact"/>
        <w:rPr>
          <w:sz w:val="20"/>
          <w:szCs w:val="20"/>
          <w:color w:val="auto"/>
        </w:rPr>
      </w:pPr>
    </w:p>
    <w:p>
      <w:pPr>
        <w:ind w:right="420" w:firstLine="351"/>
        <w:spacing w:after="0" w:line="245" w:lineRule="auto"/>
        <w:rPr>
          <w:sz w:val="20"/>
          <w:szCs w:val="20"/>
          <w:color w:val="auto"/>
        </w:rPr>
      </w:pPr>
      <w:r>
        <w:rPr>
          <w:rFonts w:ascii="Arial" w:cs="Arial" w:eastAsia="Arial" w:hAnsi="Arial"/>
          <w:sz w:val="16"/>
          <w:szCs w:val="16"/>
          <w:color w:val="auto"/>
        </w:rPr>
        <w:t>The forward-looking statements contained in this Annual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91" w:lineRule="exact"/>
        <w:rPr>
          <w:sz w:val="20"/>
          <w:szCs w:val="20"/>
          <w:color w:val="auto"/>
        </w:rPr>
      </w:pPr>
    </w:p>
    <w:p>
      <w:pPr>
        <w:ind w:left="480" w:right="26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duration and severity of the current novel coronavirus (COVID-19) pandemic, driven by, among other factors, the treatment developments and public adoption rates and effectiveness of COVID-19 vaccines against emerging variants of COVID-19 such as the Delta and Omicron variants;</w:t>
      </w:r>
    </w:p>
    <w:p>
      <w:pPr>
        <w:spacing w:after="0" w:line="87" w:lineRule="exact"/>
        <w:rPr>
          <w:rFonts w:ascii="Arial" w:cs="Arial" w:eastAsia="Arial" w:hAnsi="Arial"/>
          <w:sz w:val="16"/>
          <w:szCs w:val="16"/>
          <w:color w:val="auto"/>
        </w:rPr>
      </w:pPr>
    </w:p>
    <w:p>
      <w:pPr>
        <w:ind w:left="480" w:right="50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the global market, economic and environmental conditions generally and in the digital and communications technology and investment management sectors;</w:t>
      </w:r>
    </w:p>
    <w:p>
      <w:pPr>
        <w:spacing w:after="0" w:line="87" w:lineRule="exact"/>
        <w:rPr>
          <w:rFonts w:ascii="Arial" w:cs="Arial" w:eastAsia="Arial" w:hAnsi="Arial"/>
          <w:sz w:val="16"/>
          <w:szCs w:val="16"/>
          <w:color w:val="auto"/>
        </w:rPr>
      </w:pPr>
    </w:p>
    <w:p>
      <w:pPr>
        <w:ind w:left="480" w:right="260" w:hanging="136"/>
        <w:spacing w:after="0" w:line="317" w:lineRule="auto"/>
        <w:tabs>
          <w:tab w:leader="none" w:pos="47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 of COVID-19 on the Company's operating cash flows, debt service obligations and covenants, liquidity position and valuations of its real estate investments, as well as the increased risk of claims, litigation and regulatory proceedings and uncertainty that may adversely affect the Company;</w:t>
      </w:r>
    </w:p>
    <w:p>
      <w:pPr>
        <w:spacing w:after="0" w:line="42" w:lineRule="exact"/>
        <w:rPr>
          <w:rFonts w:ascii="Arial" w:cs="Arial" w:eastAsia="Arial" w:hAnsi="Arial"/>
          <w:sz w:val="14"/>
          <w:szCs w:val="14"/>
          <w:color w:val="auto"/>
        </w:rPr>
      </w:pPr>
    </w:p>
    <w:p>
      <w:pPr>
        <w:ind w:left="480" w:hanging="136"/>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status as an owner, operator and investment manager of digital infrastructure and real estate and our ability to manage any related conflicts of interest;</w:t>
      </w:r>
    </w:p>
    <w:p>
      <w:pPr>
        <w:spacing w:after="0" w:line="119" w:lineRule="exact"/>
        <w:rPr>
          <w:rFonts w:ascii="Arial" w:cs="Arial" w:eastAsia="Arial" w:hAnsi="Arial"/>
          <w:sz w:val="14"/>
          <w:szCs w:val="14"/>
          <w:color w:val="auto"/>
        </w:rPr>
      </w:pPr>
    </w:p>
    <w:p>
      <w:pPr>
        <w:ind w:left="480" w:hanging="136"/>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financing arrangements, including securitizations, on favorable or comparable terms or at all;</w:t>
      </w:r>
    </w:p>
    <w:p>
      <w:pPr>
        <w:spacing w:after="0" w:line="96" w:lineRule="exact"/>
        <w:rPr>
          <w:rFonts w:ascii="Arial" w:cs="Arial" w:eastAsia="Arial" w:hAnsi="Arial"/>
          <w:sz w:val="16"/>
          <w:szCs w:val="16"/>
          <w:color w:val="auto"/>
        </w:rPr>
      </w:pPr>
    </w:p>
    <w:p>
      <w:pPr>
        <w:ind w:left="480" w:right="52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initiatives related to our digital transformation, including the strategic investment by Wafra and the formation of certain other investment management platforms, on our growth and earnings profile and our REIT status;</w:t>
      </w:r>
    </w:p>
    <w:p>
      <w:pPr>
        <w:spacing w:after="0" w:line="87" w:lineRule="exact"/>
        <w:rPr>
          <w:rFonts w:ascii="Arial" w:cs="Arial" w:eastAsia="Arial" w:hAnsi="Arial"/>
          <w:sz w:val="16"/>
          <w:szCs w:val="16"/>
          <w:color w:val="auto"/>
        </w:rPr>
      </w:pPr>
    </w:p>
    <w:p>
      <w:pPr>
        <w:ind w:left="480" w:right="20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we will realize any of the anticipated benefits of our strategic partnership with Wafra, including whether Wafra will make additional investments in our Digital IM and Digital Operating segments;</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and maintain consistent standards and controls, including our ability to manage our acquisitions in the digital industry effectively;</w:t>
      </w:r>
    </w:p>
    <w:p>
      <w:pPr>
        <w:spacing w:after="0" w:line="96" w:lineRule="exact"/>
        <w:rPr>
          <w:rFonts w:ascii="Arial" w:cs="Arial" w:eastAsia="Arial" w:hAnsi="Arial"/>
          <w:sz w:val="16"/>
          <w:szCs w:val="16"/>
          <w:color w:val="auto"/>
        </w:rPr>
      </w:pPr>
    </w:p>
    <w:p>
      <w:pPr>
        <w:ind w:left="480" w:right="34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to our business operations and financial condition of realized or anticipated compensation and administrative savings through cost reduction programs;</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redeploy the proceeds received from the sale of our non-digital legacy assets within the timeframe and manner contemplated or at all;</w:t>
      </w:r>
    </w:p>
    <w:p>
      <w:pPr>
        <w:spacing w:after="0" w:line="96" w:lineRule="exact"/>
        <w:rPr>
          <w:rFonts w:ascii="Arial" w:cs="Arial" w:eastAsia="Arial" w:hAnsi="Arial"/>
          <w:sz w:val="16"/>
          <w:szCs w:val="16"/>
          <w:color w:val="auto"/>
        </w:rPr>
      </w:pPr>
    </w:p>
    <w:p>
      <w:pPr>
        <w:ind w:left="480" w:right="36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investment strategy, including the ability of the businesses in which we have a significant investment (such as BRSP) to execute their business strategies;</w:t>
      </w:r>
    </w:p>
    <w:p>
      <w:pPr>
        <w:spacing w:after="0" w:line="87" w:lineRule="exact"/>
        <w:rPr>
          <w:rFonts w:ascii="Arial" w:cs="Arial" w:eastAsia="Arial" w:hAnsi="Arial"/>
          <w:sz w:val="16"/>
          <w:szCs w:val="16"/>
          <w:color w:val="auto"/>
        </w:rPr>
      </w:pPr>
    </w:p>
    <w:p>
      <w:pPr>
        <w:ind w:left="480" w:right="40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BRSP's trading price and its impact on the carrying value of the Company's investment in BRSP, including whether the Company will recognize further other-than-temporary impairment on its investment in BRSP;</w:t>
      </w:r>
    </w:p>
    <w:p>
      <w:pPr>
        <w:spacing w:after="0" w:line="87" w:lineRule="exact"/>
        <w:rPr>
          <w:rFonts w:ascii="Arial" w:cs="Arial" w:eastAsia="Arial" w:hAnsi="Arial"/>
          <w:sz w:val="16"/>
          <w:szCs w:val="16"/>
          <w:color w:val="auto"/>
        </w:rPr>
      </w:pPr>
    </w:p>
    <w:p>
      <w:pPr>
        <w:ind w:left="480" w:right="220" w:hanging="136"/>
        <w:spacing w:after="0" w:line="248" w:lineRule="auto"/>
        <w:tabs>
          <w:tab w:leader="none" w:pos="476"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performance of our investments relative to our expectations and the impact on our actual return on invested equity, as well as the cash provided by these investments and available for distribution;</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grow our business by raising capital for the companies that we manage;</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deploy capital into new investments consistent with our digital business strategies, including the earnings profile of such new investments;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and competition for, attractive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554355</wp:posOffset>
            </wp:positionV>
            <wp:extent cx="717613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right="740" w:hanging="136"/>
        <w:spacing w:after="0" w:line="248" w:lineRule="auto"/>
        <w:tabs>
          <w:tab w:leader="none" w:pos="476"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achieve any of the anticipated benefits of certain joint ventures, including any ability for such ventures to create and/or distribute new investment products;</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satisfy and manage our capital requirements;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expected hold period for our assets and the impact of any changes in our expectations on the carrying value of such assets;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general volatility of the securities markets in which we participate;</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interest rates and the market value of our assets;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rate mismatches between our assets and any borrowings used to fund such assets;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effects of hedging instruments on our assets;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economic conditions on third parties on which we rely;</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litigation and contractual claims against us and our affiliates, including potential settlement and litigation of such claims;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levels of leverage;</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domestic or international economic conditions, including those resulting from the COVID-19 pandemic</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legislative, regulatory and competitive changes;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we will elect to maintain our qualification as a real estate investment trust for U.S. federal income tax purposes and our ability to do so;</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our exemption from registration as an investment company under the Investment Company Act of 1940, as amended (the “1940 Act”);</w:t>
      </w:r>
    </w:p>
    <w:p>
      <w:pPr>
        <w:spacing w:after="0" w:line="119" w:lineRule="exact"/>
        <w:rPr>
          <w:rFonts w:ascii="Arial" w:cs="Arial" w:eastAsia="Arial" w:hAnsi="Arial"/>
          <w:sz w:val="14"/>
          <w:szCs w:val="14"/>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board of directors or management team, and availability of qualified personnel;</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make or maintain distributions to our stockholders; and</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understanding of our competition.</w:t>
      </w:r>
    </w:p>
    <w:p>
      <w:pPr>
        <w:spacing w:after="0" w:line="143"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 Item 2. “Management’s Discussion and Analysis of Financial Condition and Results of Operations” in this Annual Report. Readers of this Annual Report should also read our other periodic filings made with the Securities and Exchange Commission (the "SEC") and other publicly filed documents for further discussion regarding such factors.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 FACTOR SUMMARY</w:t>
      </w:r>
    </w:p>
    <w:p>
      <w:pPr>
        <w:spacing w:after="0" w:line="115" w:lineRule="exact"/>
        <w:rPr>
          <w:sz w:val="20"/>
          <w:szCs w:val="20"/>
          <w:color w:val="auto"/>
        </w:rPr>
      </w:pPr>
    </w:p>
    <w:p>
      <w:pPr>
        <w:ind w:right="3000" w:firstLine="351"/>
        <w:spacing w:after="0" w:line="280" w:lineRule="auto"/>
        <w:rPr>
          <w:sz w:val="20"/>
          <w:szCs w:val="20"/>
          <w:color w:val="auto"/>
        </w:rPr>
      </w:pPr>
      <w:r>
        <w:rPr>
          <w:rFonts w:ascii="Arial" w:cs="Arial" w:eastAsia="Arial" w:hAnsi="Arial"/>
          <w:sz w:val="14"/>
          <w:szCs w:val="14"/>
          <w:color w:val="auto"/>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4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Risks Related to Our Business Strategy</w:t>
      </w:r>
    </w:p>
    <w:p>
      <w:pPr>
        <w:spacing w:after="0" w:line="113" w:lineRule="exact"/>
        <w:rPr>
          <w:sz w:val="20"/>
          <w:szCs w:val="20"/>
          <w:color w:val="auto"/>
        </w:rPr>
      </w:pPr>
    </w:p>
    <w:p>
      <w:pPr>
        <w:ind w:left="420" w:right="80" w:hanging="146"/>
        <w:spacing w:after="0" w:line="248" w:lineRule="auto"/>
        <w:tabs>
          <w:tab w:leader="none" w:pos="416"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successfully implement our business strategy of managing and/or owning a wide array of digital infrastructure assets or ultimately realize any of the anticipated benefits of diversification.</w:t>
      </w:r>
    </w:p>
    <w:p>
      <w:pPr>
        <w:spacing w:after="0" w:line="87" w:lineRule="exact"/>
        <w:rPr>
          <w:rFonts w:ascii="Arial" w:cs="Arial" w:eastAsia="Arial" w:hAnsi="Arial"/>
          <w:sz w:val="16"/>
          <w:szCs w:val="16"/>
          <w:color w:val="auto"/>
        </w:rPr>
      </w:pPr>
    </w:p>
    <w:p>
      <w:pPr>
        <w:ind w:left="420" w:right="100" w:hanging="146"/>
        <w:spacing w:after="0" w:line="248" w:lineRule="auto"/>
        <w:tabs>
          <w:tab w:leader="none" w:pos="416"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an owner, operator and investment manager of digital infrastructure and real estate, which may adversely impact our stock price and may result in a decision not to continue as a REIT in 2022.</w:t>
      </w:r>
    </w:p>
    <w:p>
      <w:pPr>
        <w:spacing w:after="0" w:line="87" w:lineRule="exact"/>
        <w:rPr>
          <w:rFonts w:ascii="Arial" w:cs="Arial" w:eastAsia="Arial" w:hAnsi="Arial"/>
          <w:sz w:val="16"/>
          <w:szCs w:val="16"/>
          <w:color w:val="auto"/>
        </w:rPr>
      </w:pPr>
    </w:p>
    <w:p>
      <w:pPr>
        <w:ind w:left="420" w:right="180" w:hanging="146"/>
        <w:spacing w:after="0" w:line="317" w:lineRule="auto"/>
        <w:tabs>
          <w:tab w:leader="none" w:pos="416" w:val="left"/>
        </w:tabs>
        <w:numPr>
          <w:ilvl w:val="0"/>
          <w:numId w:val="5"/>
        </w:numPr>
        <w:rPr>
          <w:rFonts w:ascii="Arial" w:cs="Arial" w:eastAsia="Arial" w:hAnsi="Arial"/>
          <w:sz w:val="14"/>
          <w:szCs w:val="14"/>
          <w:color w:val="auto"/>
        </w:rPr>
      </w:pPr>
      <w:r>
        <w:rPr>
          <w:rFonts w:ascii="Arial" w:cs="Arial" w:eastAsia="Arial" w:hAnsi="Arial"/>
          <w:sz w:val="14"/>
          <w:szCs w:val="14"/>
          <w:color w:val="auto"/>
        </w:rPr>
        <w:t>Pandemics or disease outbreaks, such as the current novel coronavirus (COVID-19) pandemic, have and the COVID-19 pandemic is expected to continue to, significantly disrupt, and may materially adversely impact, our business, financial condition and ability to execute on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519430</wp:posOffset>
            </wp:positionV>
            <wp:extent cx="717613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Risks Related to Our Business</w:t>
      </w:r>
    </w:p>
    <w:p>
      <w:pPr>
        <w:spacing w:after="0" w:line="113" w:lineRule="exact"/>
        <w:rPr>
          <w:sz w:val="20"/>
          <w:szCs w:val="20"/>
          <w:color w:val="auto"/>
        </w:rPr>
      </w:pPr>
    </w:p>
    <w:p>
      <w:pPr>
        <w:jc w:val="both"/>
        <w:ind w:left="420" w:hanging="146"/>
        <w:spacing w:after="0" w:line="246" w:lineRule="auto"/>
        <w:tabs>
          <w:tab w:leader="none" w:pos="416"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require capital in order to continue to operate and grow our business, and the failure to obtain such capital, either through the public or private markets or other third party sources of capital, would have a material adverse effect on our business, financial condition, results of operations and ability to maintain our distributions to our stockholders.</w:t>
      </w:r>
    </w:p>
    <w:p>
      <w:pPr>
        <w:spacing w:after="0" w:line="89" w:lineRule="exact"/>
        <w:rPr>
          <w:rFonts w:ascii="Arial" w:cs="Arial" w:eastAsia="Arial" w:hAnsi="Arial"/>
          <w:sz w:val="16"/>
          <w:szCs w:val="16"/>
          <w:color w:val="auto"/>
        </w:rPr>
      </w:pPr>
    </w:p>
    <w:p>
      <w:pPr>
        <w:ind w:left="420" w:hanging="146"/>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changes in general economic and political conditions could adversely impact our business, financial condition and results of operations.</w:t>
      </w:r>
    </w:p>
    <w:p>
      <w:pPr>
        <w:spacing w:after="0" w:line="97" w:lineRule="exact"/>
        <w:rPr>
          <w:sz w:val="20"/>
          <w:szCs w:val="20"/>
          <w:color w:val="auto"/>
        </w:rPr>
      </w:pPr>
    </w:p>
    <w:p>
      <w:pPr>
        <w:ind w:left="420" w:right="100" w:hanging="146"/>
        <w:spacing w:after="0" w:line="248" w:lineRule="auto"/>
        <w:tabs>
          <w:tab w:leader="none" w:pos="41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digital infrastructure and real estate industry is highly competitive and such competition may materially and adversely affect our performance and ability to execute our strategy.</w:t>
      </w:r>
    </w:p>
    <w:p>
      <w:pPr>
        <w:spacing w:after="0" w:line="88" w:lineRule="exact"/>
        <w:rPr>
          <w:sz w:val="20"/>
          <w:szCs w:val="20"/>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investment management business is intensely competitive.</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Poor performance of our current and future managed investment vehicles could cause a decline in our revenue, income and cash flow.</w:t>
      </w:r>
    </w:p>
    <w:p>
      <w:pPr>
        <w:spacing w:after="0" w:line="96" w:lineRule="exact"/>
        <w:rPr>
          <w:rFonts w:ascii="Arial" w:cs="Arial" w:eastAsia="Arial" w:hAnsi="Arial"/>
          <w:sz w:val="16"/>
          <w:szCs w:val="16"/>
          <w:color w:val="auto"/>
        </w:rPr>
      </w:pPr>
    </w:p>
    <w:p>
      <w:pPr>
        <w:ind w:left="420" w:right="500" w:hanging="146"/>
        <w:spacing w:after="0" w:line="248" w:lineRule="auto"/>
        <w:tabs>
          <w:tab w:leader="none" w:pos="41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Investors in our current or future managed investment vehicles may negotiate terms that are less favorable to us than those of investment vehicles we currently manage, which could have a material adverse effect on our business, results of operations and financial condition.</w:t>
      </w:r>
    </w:p>
    <w:p>
      <w:pPr>
        <w:spacing w:after="0" w:line="87" w:lineRule="exact"/>
        <w:rPr>
          <w:rFonts w:ascii="Arial" w:cs="Arial" w:eastAsia="Arial" w:hAnsi="Arial"/>
          <w:sz w:val="16"/>
          <w:szCs w:val="16"/>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organization and management of our current and future investment vehicles may create conflicts of interest.</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realize the anticipated benefits of the Wafra strategic partnership.</w:t>
      </w:r>
    </w:p>
    <w:p>
      <w:pPr>
        <w:spacing w:after="0" w:line="96" w:lineRule="exact"/>
        <w:rPr>
          <w:rFonts w:ascii="Arial" w:cs="Arial" w:eastAsia="Arial" w:hAnsi="Arial"/>
          <w:sz w:val="16"/>
          <w:szCs w:val="16"/>
          <w:color w:val="auto"/>
        </w:rPr>
      </w:pPr>
    </w:p>
    <w:p>
      <w:pPr>
        <w:ind w:left="420" w:right="600" w:hanging="146"/>
        <w:spacing w:after="0" w:line="248" w:lineRule="auto"/>
        <w:tabs>
          <w:tab w:leader="none" w:pos="416"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failure of our physical infrastructure or services could lead to significant costs and disruptions that could harm our business reputation and could adversely affect our earnings and financial condition.</w:t>
      </w:r>
    </w:p>
    <w:p>
      <w:pPr>
        <w:spacing w:after="0" w:line="87" w:lineRule="exact"/>
        <w:rPr>
          <w:rFonts w:ascii="Arial" w:cs="Arial" w:eastAsia="Arial" w:hAnsi="Arial"/>
          <w:sz w:val="16"/>
          <w:szCs w:val="16"/>
          <w:color w:val="auto"/>
        </w:rPr>
      </w:pPr>
    </w:p>
    <w:p>
      <w:pPr>
        <w:ind w:left="420" w:right="80" w:hanging="146"/>
        <w:spacing w:after="0" w:line="248" w:lineRule="auto"/>
        <w:tabs>
          <w:tab w:leader="none" w:pos="41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do not directly control the operations of certain of our digital real estate assets and are therefore dependent on portfolio company management teams to successfully operate their businesses.</w:t>
      </w:r>
    </w:p>
    <w:p>
      <w:pPr>
        <w:spacing w:after="0" w:line="87" w:lineRule="exact"/>
        <w:rPr>
          <w:rFonts w:ascii="Arial" w:cs="Arial" w:eastAsia="Arial" w:hAnsi="Arial"/>
          <w:sz w:val="16"/>
          <w:szCs w:val="16"/>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performance of our digital assets depends upon the demand for such assets.</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infrastructure of the data centers that we own may become obsolete, which could materially and adversely impact our revenue and operations.</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Digital infrastructure and real estate investments are subject to substantial government regulation.</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Risks Related to our Organizational Structure and Business Operations</w:t>
      </w:r>
    </w:p>
    <w:p>
      <w:pPr>
        <w:spacing w:after="0" w:line="113" w:lineRule="exact"/>
        <w:rPr>
          <w:sz w:val="20"/>
          <w:szCs w:val="20"/>
          <w:color w:val="auto"/>
        </w:rPr>
      </w:pPr>
    </w:p>
    <w:p>
      <w:pPr>
        <w:ind w:left="420" w:right="100" w:hanging="146"/>
        <w:spacing w:after="0" w:line="248" w:lineRule="auto"/>
        <w:tabs>
          <w:tab w:leader="none" w:pos="41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on our key personnel, and the loss of their services or the loss of investor confidence in such personnel could have a material adverse effect on our business, results of operations and financial condition.</w:t>
      </w:r>
    </w:p>
    <w:p>
      <w:pPr>
        <w:spacing w:after="0" w:line="87" w:lineRule="exact"/>
        <w:rPr>
          <w:rFonts w:ascii="Arial" w:cs="Arial" w:eastAsia="Arial" w:hAnsi="Arial"/>
          <w:sz w:val="16"/>
          <w:szCs w:val="16"/>
          <w:color w:val="auto"/>
        </w:rPr>
      </w:pPr>
    </w:p>
    <w:p>
      <w:pPr>
        <w:ind w:left="420" w:right="60" w:hanging="146"/>
        <w:spacing w:after="0" w:line="248" w:lineRule="auto"/>
        <w:tabs>
          <w:tab w:leader="none" w:pos="41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may be conflicts of interest between us and our Chief Executive Officer and certain other senior DBH employees that could result in decisions that are not in the best interests of our stockholders.</w:t>
      </w:r>
    </w:p>
    <w:p>
      <w:pPr>
        <w:spacing w:after="0" w:line="87" w:lineRule="exact"/>
        <w:rPr>
          <w:rFonts w:ascii="Arial" w:cs="Arial" w:eastAsia="Arial" w:hAnsi="Arial"/>
          <w:sz w:val="16"/>
          <w:szCs w:val="16"/>
          <w:color w:val="auto"/>
        </w:rPr>
      </w:pPr>
    </w:p>
    <w:p>
      <w:pPr>
        <w:ind w:left="420" w:right="420" w:hanging="146"/>
        <w:spacing w:after="0" w:line="248" w:lineRule="auto"/>
        <w:tabs>
          <w:tab w:leader="none" w:pos="41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a security breach or a deficiency in our cybersecurity has the potential to disrupt our operations, cause material harm to our financial condition, result in misappropriation of assets, compromise confidential information and/or damage our business relationships.</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Risks Related to Financing</w:t>
      </w:r>
    </w:p>
    <w:p>
      <w:pPr>
        <w:spacing w:after="0" w:line="113" w:lineRule="exact"/>
        <w:rPr>
          <w:sz w:val="20"/>
          <w:szCs w:val="20"/>
          <w:color w:val="auto"/>
        </w:rPr>
      </w:pPr>
    </w:p>
    <w:p>
      <w:pPr>
        <w:ind w:left="420" w:hanging="146"/>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generate sufficient cash flow to meet all of our existing or potential future debt service obligations.</w:t>
      </w:r>
    </w:p>
    <w:p>
      <w:pPr>
        <w:spacing w:after="0" w:line="96" w:lineRule="exact"/>
        <w:rPr>
          <w:rFonts w:ascii="Arial" w:cs="Arial" w:eastAsia="Arial" w:hAnsi="Arial"/>
          <w:sz w:val="16"/>
          <w:szCs w:val="16"/>
          <w:color w:val="auto"/>
        </w:rPr>
      </w:pPr>
    </w:p>
    <w:p>
      <w:pPr>
        <w:ind w:left="420" w:right="40" w:hanging="146"/>
        <w:spacing w:after="0" w:line="248" w:lineRule="auto"/>
        <w:tabs>
          <w:tab w:leader="none" w:pos="4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the debt financing markets could negatively impact our ability to obtain attractive financing or re-financing for our investments and could increase the cost of such financing if it is obtained, which could lead to lower-yielding investments and potentially decrease our net income.</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Risks Related to Ownership of Our Securities</w:t>
      </w:r>
    </w:p>
    <w:p>
      <w:pPr>
        <w:spacing w:after="0" w:line="113" w:lineRule="exact"/>
        <w:rPr>
          <w:sz w:val="20"/>
          <w:szCs w:val="20"/>
          <w:color w:val="auto"/>
        </w:rPr>
      </w:pPr>
    </w:p>
    <w:p>
      <w:pPr>
        <w:ind w:left="420" w:right="580" w:hanging="146"/>
        <w:spacing w:after="0" w:line="248" w:lineRule="auto"/>
        <w:tabs>
          <w:tab w:leader="none" w:pos="4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87" w:lineRule="exact"/>
        <w:rPr>
          <w:rFonts w:ascii="Arial" w:cs="Arial" w:eastAsia="Arial" w:hAnsi="Arial"/>
          <w:sz w:val="16"/>
          <w:szCs w:val="16"/>
          <w:color w:val="auto"/>
        </w:rPr>
      </w:pPr>
    </w:p>
    <w:p>
      <w:pPr>
        <w:ind w:left="420" w:hanging="146"/>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issue additional equity securities, which may dilute your interest in us.</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stock ownership limits imposed by the Code for REITs and our Charter may restrict our business combination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554355</wp:posOffset>
            </wp:positionV>
            <wp:extent cx="717613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Regulatory Risks</w:t>
      </w:r>
    </w:p>
    <w:p>
      <w:pPr>
        <w:spacing w:after="0" w:line="113" w:lineRule="exact"/>
        <w:rPr>
          <w:sz w:val="20"/>
          <w:szCs w:val="20"/>
          <w:color w:val="auto"/>
        </w:rPr>
      </w:pPr>
    </w:p>
    <w:p>
      <w:pPr>
        <w:ind w:left="420" w:hanging="146"/>
        <w:spacing w:after="0" w:line="248" w:lineRule="auto"/>
        <w:tabs>
          <w:tab w:leader="none" w:pos="4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Extensive regulation in the United States and abroad affects our activities, increases the cost of doing business and creates the potential for significant liabilities and that could adversely affect our business and results of operations.</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Risks Related to Taxation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The ability of our board of directors to revoke our REIT election without stockholder approval may cause adverse consequences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568960</wp:posOffset>
            </wp:positionV>
            <wp:extent cx="717613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760"/>
          </w:cols>
          <w:pgMar w:left="320" w:top="140" w:right="81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45" w:lineRule="exact"/>
        <w:rPr>
          <w:sz w:val="20"/>
          <w:szCs w:val="20"/>
          <w:color w:val="auto"/>
        </w:rPr>
      </w:pPr>
    </w:p>
    <w:p>
      <w:pPr>
        <w:ind w:right="20" w:firstLine="351"/>
        <w:spacing w:after="0" w:line="256" w:lineRule="auto"/>
        <w:rPr>
          <w:sz w:val="20"/>
          <w:szCs w:val="20"/>
          <w:color w:val="auto"/>
        </w:rPr>
      </w:pPr>
      <w:r>
        <w:rPr>
          <w:rFonts w:ascii="Arial" w:cs="Arial" w:eastAsia="Arial" w:hAnsi="Arial"/>
          <w:sz w:val="16"/>
          <w:szCs w:val="16"/>
          <w:i w:val="1"/>
          <w:iCs w:val="1"/>
          <w:color w:val="auto"/>
        </w:rPr>
        <w:t>In this Annual Report, unless specifically stated otherwise or the context indicates otherwise, the terms " the "Company," "we," "our" and "us" refer to DigitalBridge Group, Inc. and its consolidated subsidiaries. References to the “Operating Partnership,” our “Operating Company” and the “OP” refer to DigitalBridge Operating Company, LLC, a Delaware limited liability company and the operating company of the Company, and its consolidated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Organization</w:t>
      </w:r>
    </w:p>
    <w:p>
      <w:pPr>
        <w:spacing w:after="0" w:line="103" w:lineRule="exact"/>
        <w:rPr>
          <w:sz w:val="20"/>
          <w:szCs w:val="20"/>
          <w:color w:val="auto"/>
        </w:rPr>
      </w:pPr>
    </w:p>
    <w:p>
      <w:pPr>
        <w:jc w:val="both"/>
        <w:ind w:right="140" w:firstLine="351"/>
        <w:spacing w:after="0" w:line="223" w:lineRule="auto"/>
        <w:rPr>
          <w:sz w:val="20"/>
          <w:szCs w:val="20"/>
          <w:color w:val="auto"/>
        </w:rPr>
      </w:pPr>
      <w:r>
        <w:rPr>
          <w:rFonts w:ascii="Arial" w:cs="Arial" w:eastAsia="Arial" w:hAnsi="Arial"/>
          <w:sz w:val="16"/>
          <w:szCs w:val="16"/>
          <w:color w:val="auto"/>
        </w:rPr>
        <w:t>We are a leading global-scale digital infrastructure firm that invests, directly and through our portfolio companies, across five key verticals: data centers, cell towers, fiber networks, small cells, and edge infrastructure. We are headquartered in Boca Raton, Florida, with key offices in New York, Los Angeles, London and Singapore, and have approximately 250 employees.</w:t>
      </w:r>
    </w:p>
    <w:p>
      <w:pPr>
        <w:spacing w:after="0" w:line="84" w:lineRule="exact"/>
        <w:rPr>
          <w:sz w:val="20"/>
          <w:szCs w:val="20"/>
          <w:color w:val="auto"/>
        </w:rPr>
      </w:pPr>
    </w:p>
    <w:p>
      <w:pPr>
        <w:ind w:right="160" w:firstLine="351"/>
        <w:spacing w:after="0" w:line="236" w:lineRule="auto"/>
        <w:rPr>
          <w:sz w:val="20"/>
          <w:szCs w:val="20"/>
          <w:color w:val="auto"/>
        </w:rPr>
      </w:pPr>
      <w:r>
        <w:rPr>
          <w:rFonts w:ascii="Arial" w:cs="Arial" w:eastAsia="Arial" w:hAnsi="Arial"/>
          <w:sz w:val="16"/>
          <w:szCs w:val="16"/>
          <w:color w:val="auto"/>
        </w:rPr>
        <w:t>Effective June 22, 2021, we changed our name to DigitalBridge Group, Inc. and trade under the ticker symbol, DBRG, signifying our transformation to digital infrastructure.</w:t>
      </w:r>
    </w:p>
    <w:p>
      <w:pPr>
        <w:spacing w:after="0" w:line="83"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 xml:space="preserve">We have </w:t>
      </w:r>
      <w:r>
        <w:rPr>
          <w:rFonts w:ascii="Arial" w:cs="Arial" w:eastAsia="Arial" w:hAnsi="Arial"/>
          <w:sz w:val="16"/>
          <w:szCs w:val="16"/>
          <w:color w:val="231F20"/>
        </w:rPr>
        <w:t>elected to be taxed as a</w:t>
      </w:r>
      <w:r>
        <w:rPr>
          <w:rFonts w:ascii="Arial" w:cs="Arial" w:eastAsia="Arial" w:hAnsi="Arial"/>
          <w:sz w:val="16"/>
          <w:szCs w:val="16"/>
          <w:color w:val="auto"/>
        </w:rPr>
        <w:t xml:space="preserve"> real estate investment trust ("</w:t>
      </w:r>
      <w:r>
        <w:rPr>
          <w:rFonts w:ascii="Arial" w:cs="Arial" w:eastAsia="Arial" w:hAnsi="Arial"/>
          <w:sz w:val="16"/>
          <w:szCs w:val="16"/>
          <w:color w:val="231F20"/>
        </w:rPr>
        <w:t>REIT") for U.S. federal income tax purposes</w:t>
      </w:r>
      <w:r>
        <w:rPr>
          <w:rFonts w:ascii="Arial" w:cs="Arial" w:eastAsia="Arial" w:hAnsi="Arial"/>
          <w:sz w:val="16"/>
          <w:szCs w:val="16"/>
          <w:color w:val="auto"/>
        </w:rPr>
        <w:t xml:space="preserve">. </w:t>
      </w:r>
      <w:r>
        <w:rPr>
          <w:rFonts w:ascii="Arial" w:cs="Arial" w:eastAsia="Arial" w:hAnsi="Arial"/>
          <w:sz w:val="16"/>
          <w:szCs w:val="16"/>
          <w:color w:val="231F20"/>
        </w:rPr>
        <w:t>We conduct our operations as a REIT, and</w:t>
      </w:r>
      <w:r>
        <w:rPr>
          <w:rFonts w:ascii="Arial" w:cs="Arial" w:eastAsia="Arial" w:hAnsi="Arial"/>
          <w:sz w:val="16"/>
          <w:szCs w:val="16"/>
          <w:color w:val="auto"/>
        </w:rPr>
        <w:t xml:space="preserve"> </w:t>
      </w:r>
      <w:r>
        <w:rPr>
          <w:rFonts w:ascii="Arial" w:cs="Arial" w:eastAsia="Arial" w:hAnsi="Arial"/>
          <w:sz w:val="16"/>
          <w:szCs w:val="16"/>
          <w:color w:val="231F20"/>
        </w:rPr>
        <w:t xml:space="preserve">generally are not subject to U.S. federal income taxes on our taxable income to the extent that we annually distribute all of </w:t>
      </w:r>
      <w:r>
        <w:rPr>
          <w:rFonts w:ascii="Arial" w:cs="Arial" w:eastAsia="Arial" w:hAnsi="Arial"/>
          <w:sz w:val="16"/>
          <w:szCs w:val="16"/>
          <w:color w:val="000000"/>
        </w:rPr>
        <w:t>our</w:t>
      </w:r>
      <w:r>
        <w:rPr>
          <w:rFonts w:ascii="Arial" w:cs="Arial" w:eastAsia="Arial" w:hAnsi="Arial"/>
          <w:sz w:val="16"/>
          <w:szCs w:val="16"/>
          <w:color w:val="231F20"/>
        </w:rPr>
        <w:t xml:space="preserve"> taxable income to stockholders and maintain qualification as a REIT, although we are subject to U.S. federal income tax on income earned through our taxable subsidiaries. As part of </w:t>
      </w:r>
      <w:r>
        <w:rPr>
          <w:rFonts w:ascii="Arial" w:cs="Arial" w:eastAsia="Arial" w:hAnsi="Arial"/>
          <w:sz w:val="16"/>
          <w:szCs w:val="16"/>
          <w:color w:val="000000"/>
        </w:rPr>
        <w:t>our digital</w:t>
      </w:r>
      <w:r>
        <w:rPr>
          <w:rFonts w:ascii="Arial" w:cs="Arial" w:eastAsia="Arial" w:hAnsi="Arial"/>
          <w:sz w:val="16"/>
          <w:szCs w:val="16"/>
          <w:color w:val="231F20"/>
        </w:rPr>
        <w:t xml:space="preserve"> </w:t>
      </w:r>
      <w:r>
        <w:rPr>
          <w:rFonts w:ascii="Arial" w:cs="Arial" w:eastAsia="Arial" w:hAnsi="Arial"/>
          <w:sz w:val="16"/>
          <w:szCs w:val="16"/>
          <w:color w:val="000000"/>
        </w:rPr>
        <w:t xml:space="preserve">transformation, we sold a significant amount of assets in our non-digital businesses that were qualifying assets for REIT purposes. The pace of growth of our investment management business, coupled with the completion of these legacy asset dispositions and other strategic transactions we may decide to pursue, may result in a decision to not continue as a REIT. This should not affect our election to be taxed as a REIT for 2021 and prior years. We will continue to evaluate whether we will maintain REIT status for 2022 or future years. </w:t>
      </w:r>
      <w:r>
        <w:rPr>
          <w:rFonts w:ascii="Arial" w:cs="Arial" w:eastAsia="Arial" w:hAnsi="Arial"/>
          <w:sz w:val="16"/>
          <w:szCs w:val="16"/>
          <w:color w:val="231F20"/>
        </w:rPr>
        <w:t>We also operate our business in a manner that will permit us to maintain our exemption from</w:t>
      </w:r>
      <w:r>
        <w:rPr>
          <w:rFonts w:ascii="Arial" w:cs="Arial" w:eastAsia="Arial" w:hAnsi="Arial"/>
          <w:sz w:val="16"/>
          <w:szCs w:val="16"/>
          <w:color w:val="000000"/>
        </w:rPr>
        <w:t xml:space="preserve"> </w:t>
      </w:r>
      <w:r>
        <w:rPr>
          <w:rFonts w:ascii="Arial" w:cs="Arial" w:eastAsia="Arial" w:hAnsi="Arial"/>
          <w:sz w:val="16"/>
          <w:szCs w:val="16"/>
          <w:color w:val="231F20"/>
        </w:rPr>
        <w:t>registration as an investment company under the 1940 Act.</w:t>
      </w:r>
    </w:p>
    <w:p>
      <w:pPr>
        <w:spacing w:after="0" w:line="94" w:lineRule="exact"/>
        <w:rPr>
          <w:sz w:val="20"/>
          <w:szCs w:val="20"/>
          <w:color w:val="auto"/>
        </w:rPr>
      </w:pPr>
    </w:p>
    <w:p>
      <w:pPr>
        <w:ind w:right="240" w:firstLine="421"/>
        <w:spacing w:after="0" w:line="317" w:lineRule="auto"/>
        <w:rPr>
          <w:sz w:val="20"/>
          <w:szCs w:val="20"/>
          <w:color w:val="auto"/>
        </w:rPr>
      </w:pPr>
      <w:r>
        <w:rPr>
          <w:rFonts w:ascii="Arial" w:cs="Arial" w:eastAsia="Arial" w:hAnsi="Arial"/>
          <w:sz w:val="14"/>
          <w:szCs w:val="14"/>
          <w:color w:val="auto"/>
        </w:rPr>
        <w:t>We conduct substantially all of our activities and hold substantially all of our assets and liabilities through our operating subsidiary, DigitalBridge Operating Company, LLC (the "Operating Company" or the "OP"). At December 31, 2021, we owned 92% of the Operating Company, as its sole managing member.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115" w:lineRule="exact"/>
        <w:rPr>
          <w:sz w:val="20"/>
          <w:szCs w:val="20"/>
          <w:color w:val="auto"/>
        </w:rPr>
      </w:pPr>
    </w:p>
    <w:p>
      <w:pPr>
        <w:ind w:right="160" w:firstLine="421"/>
        <w:spacing w:after="0" w:line="236" w:lineRule="auto"/>
        <w:rPr>
          <w:sz w:val="20"/>
          <w:szCs w:val="20"/>
          <w:color w:val="auto"/>
        </w:rPr>
      </w:pPr>
      <w:r>
        <w:rPr>
          <w:rFonts w:ascii="Arial" w:cs="Arial" w:eastAsia="Arial" w:hAnsi="Arial"/>
          <w:sz w:val="16"/>
          <w:szCs w:val="16"/>
          <w:color w:val="auto"/>
        </w:rPr>
        <w:t>At December 31, 2021, the Company has $45.3 billion of assets under management ("AUM"), including both third party capital and the Company's balance sheet.</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conducts its business through two reportable segments, as follows:</w:t>
      </w:r>
    </w:p>
    <w:p>
      <w:pPr>
        <w:spacing w:after="0" w:line="81" w:lineRule="exact"/>
        <w:rPr>
          <w:sz w:val="20"/>
          <w:szCs w:val="20"/>
          <w:color w:val="auto"/>
        </w:rPr>
      </w:pPr>
    </w:p>
    <w:p>
      <w:pPr>
        <w:ind w:left="560" w:hanging="216"/>
        <w:spacing w:after="0" w:line="248"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Digital Investment Management ("Digital IM")—</w:t>
      </w:r>
      <w:r>
        <w:rPr>
          <w:rFonts w:ascii="Arial" w:cs="Arial" w:eastAsia="Arial" w:hAnsi="Arial"/>
          <w:sz w:val="16"/>
          <w:szCs w:val="16"/>
          <w:color w:val="auto"/>
        </w:rPr>
        <w:t>This business represents a leading global digital infrastructure investment platform, managing capital on</w:t>
      </w:r>
      <w:r>
        <w:rPr>
          <w:rFonts w:ascii="Arial" w:cs="Arial" w:eastAsia="Arial" w:hAnsi="Arial"/>
          <w:sz w:val="16"/>
          <w:szCs w:val="16"/>
          <w:i w:val="1"/>
          <w:iCs w:val="1"/>
          <w:color w:val="auto"/>
        </w:rPr>
        <w:t xml:space="preserve"> </w:t>
      </w:r>
      <w:r>
        <w:rPr>
          <w:rFonts w:ascii="Arial" w:cs="Arial" w:eastAsia="Arial" w:hAnsi="Arial"/>
          <w:sz w:val="16"/>
          <w:szCs w:val="16"/>
          <w:color w:val="auto"/>
        </w:rPr>
        <w:t>behalf of a diverse base of global investors. The Company's flagship opportunistic strategy is conducted through its Digital Bridge Partners platform ("DBP," formerly Digital Colony Partners or DCP) and separately capitalized vehicles, while other strategies, including digital credit, ventures and public equities, are conducted through other investment vehicles. The Company earns management fees, generally based on the amount of assets or capital managed in investment vehicles, and has the potential to earn incentive fees and carried interest based upon the performance of such investment vehicles, subject to achievement of minimum return hurdles. Earnings from our Digital IM segment are generally attributed 31.5% to Wafra, a significant investor in our Digital IM business effective July 2020.</w:t>
      </w:r>
    </w:p>
    <w:p>
      <w:pPr>
        <w:spacing w:after="0" w:line="72" w:lineRule="exact"/>
        <w:rPr>
          <w:rFonts w:ascii="Arial" w:cs="Arial" w:eastAsia="Arial" w:hAnsi="Arial"/>
          <w:sz w:val="16"/>
          <w:szCs w:val="16"/>
          <w:color w:val="auto"/>
        </w:rPr>
      </w:pPr>
    </w:p>
    <w:p>
      <w:pPr>
        <w:ind w:left="560" w:right="80" w:hanging="216"/>
        <w:spacing w:after="0" w:line="250"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This business is composed of balance sheet equity interests in digital infrastructure and real estate operating companies,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earn rental income from providing use of digital asset space and/or capacity through leases, services and other agreements. The Company currently owns interests in two companies: DataBank, including zColo, an edge colocation data center business (20% DBRG ownership during 2021); and Vantage SDC, a stabilized hyperscale data center business (13% DBRG ownership). Both DataBank and Vantage are also portfolio companies managed under Digital IM for the equity interests owned by third party capital.</w:t>
      </w:r>
    </w:p>
    <w:p>
      <w:pPr>
        <w:spacing w:after="0" w:line="87" w:lineRule="exact"/>
        <w:rPr>
          <w:sz w:val="20"/>
          <w:szCs w:val="20"/>
          <w:color w:val="auto"/>
        </w:rPr>
      </w:pPr>
    </w:p>
    <w:p>
      <w:pPr>
        <w:ind w:right="160" w:firstLine="421"/>
        <w:spacing w:after="0" w:line="246" w:lineRule="auto"/>
        <w:rPr>
          <w:sz w:val="20"/>
          <w:szCs w:val="20"/>
          <w:color w:val="auto"/>
        </w:rPr>
      </w:pPr>
      <w:r>
        <w:rPr>
          <w:rFonts w:ascii="Arial" w:cs="Arial" w:eastAsia="Arial" w:hAnsi="Arial"/>
          <w:sz w:val="16"/>
          <w:szCs w:val="16"/>
          <w:color w:val="auto"/>
        </w:rPr>
        <w:t>The Company's remaining investment activities are no longer presented as separate reportable segments beginning with the third quarter of 2021, which is consistent with and reflects management's focus on its core digital operations and overall simplification of the Company's business. This approach is discussed further in Note 20 to the consolidated financial statements in Item 15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549275</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Strategy</w:t>
      </w:r>
    </w:p>
    <w:p>
      <w:pPr>
        <w:spacing w:after="0" w:line="103" w:lineRule="exact"/>
        <w:rPr>
          <w:sz w:val="20"/>
          <w:szCs w:val="20"/>
          <w:color w:val="auto"/>
        </w:rPr>
      </w:pPr>
    </w:p>
    <w:p>
      <w:pPr>
        <w:ind w:right="100" w:firstLine="351"/>
        <w:spacing w:after="0" w:line="217" w:lineRule="auto"/>
        <w:rPr>
          <w:sz w:val="20"/>
          <w:szCs w:val="20"/>
          <w:color w:val="auto"/>
        </w:rPr>
      </w:pPr>
      <w:r>
        <w:rPr>
          <w:rFonts w:ascii="Arial" w:cs="Arial" w:eastAsia="Arial" w:hAnsi="Arial"/>
          <w:sz w:val="16"/>
          <w:szCs w:val="16"/>
          <w:color w:val="auto"/>
        </w:rPr>
        <w:t>As a leading digital infrastructure investor-operator, we deploy a unique investment strategy which gives investors exposure to a portfolio of growing, resilient businesses enabling the next generation of mobile and internet connectivity. We invest in digital infrastructure and real estate assets in which we have a competitive advantage with our experience and track record of value creation in this sector, and which possess a durable cash flow profile with compelling secular growth characteristics driven by key themes such as 5G, artificial intelligence and cloud-based applications. We believe our deep understanding of the digital infrastructure ecosystem, together with our extensive experience running mission-critical network infrastructure for some of the world's largest and most-profitable companies, will provide us with a significant advantage in identifying and executing on attractive and differentiated investment opportunities through various economic cycles.</w:t>
      </w:r>
    </w:p>
    <w:p>
      <w:pPr>
        <w:spacing w:after="0" w:line="87"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We believe we can achieve our business objective of delivering attractive risk-adjusted returns through our rigorous underwriting and asset management processes, which benefit from our deep operational and investment experience in digital infrastructure, having invested in and run digital infrastructure businesses through multiple economic cycles. These processes allow us to implement a flexible yet disciplined investment strategy for both our balance sheet and for the companies and funds we manage on behalf of third parties. Core strengths and principles of our investment strategy include:</w:t>
      </w:r>
    </w:p>
    <w:p>
      <w:pPr>
        <w:spacing w:after="0" w:line="28" w:lineRule="exact"/>
        <w:rPr>
          <w:sz w:val="20"/>
          <w:szCs w:val="20"/>
          <w:color w:val="auto"/>
        </w:rPr>
      </w:pPr>
    </w:p>
    <w:p>
      <w:pPr>
        <w:ind w:left="480" w:right="240" w:hanging="136"/>
        <w:spacing w:after="0" w:line="268" w:lineRule="auto"/>
        <w:tabs>
          <w:tab w:leader="none" w:pos="47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People—</w:t>
      </w:r>
      <w:r>
        <w:rPr>
          <w:rFonts w:ascii="Arial" w:cs="Arial" w:eastAsia="Arial" w:hAnsi="Arial"/>
          <w:sz w:val="16"/>
          <w:szCs w:val="16"/>
          <w:color w:val="auto"/>
        </w:rPr>
        <w:t>Established operators, investors and thought leaders with over two decades of experience in investing and operating across the full spectrum of</w:t>
      </w:r>
      <w:r>
        <w:rPr>
          <w:rFonts w:ascii="Arial" w:cs="Arial" w:eastAsia="Arial" w:hAnsi="Arial"/>
          <w:sz w:val="16"/>
          <w:szCs w:val="16"/>
          <w:i w:val="1"/>
          <w:iCs w:val="1"/>
          <w:color w:val="auto"/>
        </w:rPr>
        <w:t xml:space="preserve"> </w:t>
      </w:r>
      <w:r>
        <w:rPr>
          <w:rFonts w:ascii="Arial" w:cs="Arial" w:eastAsia="Arial" w:hAnsi="Arial"/>
          <w:sz w:val="16"/>
          <w:szCs w:val="16"/>
          <w:color w:val="auto"/>
        </w:rPr>
        <w:t>digital infrastructure, including towers, data centers, fiber and small cells</w:t>
      </w:r>
    </w:p>
    <w:p>
      <w:pPr>
        <w:spacing w:after="0" w:line="56" w:lineRule="exact"/>
        <w:rPr>
          <w:rFonts w:ascii="Arial" w:cs="Arial" w:eastAsia="Arial" w:hAnsi="Arial"/>
          <w:sz w:val="16"/>
          <w:szCs w:val="16"/>
          <w:color w:val="auto"/>
        </w:rPr>
      </w:pPr>
    </w:p>
    <w:p>
      <w:pPr>
        <w:ind w:left="480" w:right="80" w:hanging="136"/>
        <w:spacing w:after="0" w:line="256" w:lineRule="auto"/>
        <w:tabs>
          <w:tab w:leader="none" w:pos="47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Best-in-class assets—</w:t>
      </w:r>
      <w:r>
        <w:rPr>
          <w:rFonts w:ascii="Arial" w:cs="Arial" w:eastAsia="Arial" w:hAnsi="Arial"/>
          <w:sz w:val="16"/>
          <w:szCs w:val="16"/>
          <w:color w:val="auto"/>
        </w:rPr>
        <w:t>Own mission-critical and hard-to-replicate network infrastructure supporting many of the largest and most-profitable companies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world and typically with very high renewal rates and pricing. We have successfully constructed a portfolio of best-in-class assets within our investment management business across all components of the digital ecosystem to drive significant synergies</w:t>
      </w:r>
    </w:p>
    <w:p>
      <w:pPr>
        <w:spacing w:after="0" w:line="82" w:lineRule="exact"/>
        <w:rPr>
          <w:rFonts w:ascii="Arial" w:cs="Arial" w:eastAsia="Arial" w:hAnsi="Arial"/>
          <w:sz w:val="16"/>
          <w:szCs w:val="16"/>
          <w:color w:val="auto"/>
        </w:rPr>
      </w:pPr>
    </w:p>
    <w:p>
      <w:pPr>
        <w:ind w:left="480" w:hanging="136"/>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Disciplined framework</w:t>
      </w:r>
    </w:p>
    <w:p>
      <w:pPr>
        <w:spacing w:after="0" w:line="80" w:lineRule="exact"/>
        <w:rPr>
          <w:rFonts w:ascii="Arial" w:cs="Arial" w:eastAsia="Arial" w:hAnsi="Arial"/>
          <w:sz w:val="16"/>
          <w:szCs w:val="16"/>
          <w:color w:val="auto"/>
        </w:rPr>
      </w:pPr>
    </w:p>
    <w:p>
      <w:pPr>
        <w:ind w:left="620" w:right="40" w:hanging="135"/>
        <w:spacing w:after="0" w:line="250" w:lineRule="auto"/>
        <w:tabs>
          <w:tab w:leader="none" w:pos="616"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Four corners of asset selection—</w:t>
      </w:r>
      <w:r>
        <w:rPr>
          <w:rFonts w:ascii="Arial" w:cs="Arial" w:eastAsia="Arial" w:hAnsi="Arial"/>
          <w:sz w:val="16"/>
          <w:szCs w:val="16"/>
          <w:color w:val="auto"/>
        </w:rPr>
        <w:t>(i) market dynamics, with a focus on stable markets with catalysts for near-term digital infrastructure investment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downside protection for asset owners, (ii) asset quality, with a focus on unique, hard-to-replicate assets and assets that provide mission critical services to customers with high switching costs, (iii) contract quality, with a focus on long-term contracts with investment grade customers and build in maximum flexibility to add additional tenants, and (iv) management or platform potential, with an emphasis on buy and build strategies with initial investments used as a platform to drive growth organically and through acquisitions</w:t>
      </w:r>
    </w:p>
    <w:p>
      <w:pPr>
        <w:spacing w:after="0" w:line="70" w:lineRule="exact"/>
        <w:rPr>
          <w:rFonts w:ascii="Arial" w:cs="Arial" w:eastAsia="Arial" w:hAnsi="Arial"/>
          <w:sz w:val="16"/>
          <w:szCs w:val="16"/>
          <w:color w:val="auto"/>
        </w:rPr>
      </w:pPr>
    </w:p>
    <w:p>
      <w:pPr>
        <w:ind w:left="620" w:right="500" w:hanging="135"/>
        <w:spacing w:after="0" w:line="268" w:lineRule="auto"/>
        <w:tabs>
          <w:tab w:leader="none" w:pos="616"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Alpha creation—</w:t>
      </w:r>
      <w:r>
        <w:rPr>
          <w:rFonts w:ascii="Arial" w:cs="Arial" w:eastAsia="Arial" w:hAnsi="Arial"/>
          <w:sz w:val="16"/>
          <w:szCs w:val="16"/>
          <w:color w:val="auto"/>
        </w:rPr>
        <w:t>Drive outperformance through human capital decisions, direct operating experience, proprietary back-office systems, differentiated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acquisitions program and dynamic balance sheet management</w:t>
      </w:r>
    </w:p>
    <w:p>
      <w:pPr>
        <w:spacing w:after="0" w:line="56" w:lineRule="exact"/>
        <w:rPr>
          <w:rFonts w:ascii="Arial" w:cs="Arial" w:eastAsia="Arial" w:hAnsi="Arial"/>
          <w:sz w:val="16"/>
          <w:szCs w:val="16"/>
          <w:color w:val="auto"/>
        </w:rPr>
      </w:pPr>
    </w:p>
    <w:p>
      <w:pPr>
        <w:ind w:left="480" w:hanging="136"/>
        <w:spacing w:after="0" w:line="268" w:lineRule="auto"/>
        <w:tabs>
          <w:tab w:leader="none" w:pos="47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Operational excellence—</w:t>
      </w:r>
      <w:r>
        <w:rPr>
          <w:rFonts w:ascii="Arial" w:cs="Arial" w:eastAsia="Arial" w:hAnsi="Arial"/>
          <w:sz w:val="16"/>
          <w:szCs w:val="16"/>
          <w:color w:val="auto"/>
        </w:rPr>
        <w:t>Emphasis on strong organic leasing growth, extensive greenfield development expertise, and the highest environmental, social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("ESG") standards</w:t>
      </w:r>
    </w:p>
    <w:p>
      <w:pPr>
        <w:spacing w:after="0" w:line="56" w:lineRule="exact"/>
        <w:rPr>
          <w:rFonts w:ascii="Arial" w:cs="Arial" w:eastAsia="Arial" w:hAnsi="Arial"/>
          <w:sz w:val="16"/>
          <w:szCs w:val="16"/>
          <w:color w:val="auto"/>
        </w:rPr>
      </w:pPr>
    </w:p>
    <w:p>
      <w:pPr>
        <w:ind w:left="480" w:right="700" w:hanging="136"/>
        <w:spacing w:after="0" w:line="268" w:lineRule="auto"/>
        <w:tabs>
          <w:tab w:leader="none" w:pos="47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Proprietary deal flow—</w:t>
      </w:r>
      <w:r>
        <w:rPr>
          <w:rFonts w:ascii="Arial" w:cs="Arial" w:eastAsia="Arial" w:hAnsi="Arial"/>
          <w:sz w:val="16"/>
          <w:szCs w:val="16"/>
          <w:color w:val="auto"/>
        </w:rPr>
        <w:t>Focus on compelling proprietary investment opportunities in brownfield, greenfield and new white sheet business plans and</w:t>
      </w:r>
      <w:r>
        <w:rPr>
          <w:rFonts w:ascii="Arial" w:cs="Arial" w:eastAsia="Arial" w:hAnsi="Arial"/>
          <w:sz w:val="16"/>
          <w:szCs w:val="16"/>
          <w:i w:val="1"/>
          <w:iCs w:val="1"/>
          <w:color w:val="auto"/>
        </w:rPr>
        <w:t xml:space="preserve"> </w:t>
      </w:r>
      <w:r>
        <w:rPr>
          <w:rFonts w:ascii="Arial" w:cs="Arial" w:eastAsia="Arial" w:hAnsi="Arial"/>
          <w:sz w:val="16"/>
          <w:szCs w:val="16"/>
          <w:color w:val="auto"/>
        </w:rPr>
        <w:t>carveouts that avoid competitive auctions, facilitating lower entry multiples</w:t>
      </w:r>
    </w:p>
    <w:p>
      <w:pPr>
        <w:spacing w:after="0" w:line="56" w:lineRule="exact"/>
        <w:rPr>
          <w:rFonts w:ascii="Arial" w:cs="Arial" w:eastAsia="Arial" w:hAnsi="Arial"/>
          <w:sz w:val="16"/>
          <w:szCs w:val="16"/>
          <w:color w:val="auto"/>
        </w:rPr>
      </w:pPr>
    </w:p>
    <w:p>
      <w:pPr>
        <w:ind w:left="480" w:hanging="136"/>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Products—</w:t>
      </w:r>
      <w:r>
        <w:rPr>
          <w:rFonts w:ascii="Arial" w:cs="Arial" w:eastAsia="Arial" w:hAnsi="Arial"/>
          <w:sz w:val="16"/>
          <w:szCs w:val="16"/>
          <w:color w:val="auto"/>
        </w:rPr>
        <w:t>Provide flexible and creative solutions across the capital structure to digital real estate and infrastructure companies around the world</w:t>
      </w:r>
    </w:p>
    <w:p>
      <w:pPr>
        <w:spacing w:after="0" w:line="96" w:lineRule="exact"/>
        <w:rPr>
          <w:rFonts w:ascii="Arial" w:cs="Arial" w:eastAsia="Arial" w:hAnsi="Arial"/>
          <w:sz w:val="16"/>
          <w:szCs w:val="16"/>
          <w:color w:val="auto"/>
        </w:rPr>
      </w:pPr>
    </w:p>
    <w:p>
      <w:pPr>
        <w:ind w:left="480" w:right="280" w:hanging="136"/>
        <w:spacing w:after="0" w:line="268" w:lineRule="auto"/>
        <w:tabs>
          <w:tab w:leader="none" w:pos="47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Prudent leverage—</w:t>
      </w:r>
      <w:r>
        <w:rPr>
          <w:rFonts w:ascii="Arial" w:cs="Arial" w:eastAsia="Arial" w:hAnsi="Arial"/>
          <w:sz w:val="16"/>
          <w:szCs w:val="16"/>
          <w:color w:val="auto"/>
        </w:rPr>
        <w:t>Structuring transactions with the appropriate amount of leverage, if any, based on the risk, duration and structure of cash flows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asset</w:t>
      </w:r>
    </w:p>
    <w:p>
      <w:pPr>
        <w:spacing w:after="0" w:line="73" w:lineRule="exact"/>
        <w:rPr>
          <w:sz w:val="20"/>
          <w:szCs w:val="20"/>
          <w:color w:val="auto"/>
        </w:rPr>
      </w:pPr>
    </w:p>
    <w:p>
      <w:pPr>
        <w:jc w:val="both"/>
        <w:ind w:right="440" w:firstLine="351"/>
        <w:spacing w:after="0" w:line="246" w:lineRule="auto"/>
        <w:rPr>
          <w:sz w:val="20"/>
          <w:szCs w:val="20"/>
          <w:color w:val="auto"/>
        </w:rPr>
      </w:pPr>
      <w:r>
        <w:rPr>
          <w:rFonts w:ascii="Arial" w:cs="Arial" w:eastAsia="Arial" w:hAnsi="Arial"/>
          <w:sz w:val="16"/>
          <w:szCs w:val="16"/>
          <w:color w:val="auto"/>
        </w:rPr>
        <w:t>Our investment strategy is dynamic and flexible, which enables us to adapt to shifts in economic, real estate and capital market conditions and to exploit inefficiencies around the world. Consistent with this strategy, in order to capitalize on the investment opportunities that may be present in various points of an economic cycle, we may expand or change our investment strategy or target assets over time as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Strategy</w:t>
      </w:r>
    </w:p>
    <w:p>
      <w:pPr>
        <w:spacing w:after="0" w:line="115"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Our financing strategy in general is to favor investment-specific financing principally on a non-recourse basis including securitizations, and then corporate financing, which is generally recourse to the Company or the Company’s assets. We seek to match terms and currencies, as available and applicable, and the amount of leverage we use is based on our assessment of a variety of factors, including, among others, the anticipated liquidity and price volatility of the assets in our investment portfolio, the potential for losses and extension risk in our portfolio, the ability to raise additional equity to reduce leverage and create liquidity for future investments, the availability of credit at favorable prices or at all, the credit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quality of our assets, our outlook for borrowing costs relative to the income earned on our assets and any applicable financial covenants.</w:t>
      </w:r>
    </w:p>
    <w:p>
      <w:pPr>
        <w:spacing w:after="0" w:line="97"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Our decision to use leverage to finance our assets is at our discretion and not subject to the approval of our stockholders. To the extent that we use leverage in the future, we may mitigate interest rate risk through utilization of hedging instruments, primarily interest rate swap and cap agreements, to serve as a hedge against future interest rate increases on our borrowings. Refer to Item 7. "Management’s Discussion and Analysis of Financial Condition and Results of Operations —Liquidity and Capital Resources” for discussion of our liquidity needs and sources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Transformation</w:t>
      </w:r>
    </w:p>
    <w:p>
      <w:pPr>
        <w:spacing w:after="0" w:line="115" w:lineRule="exact"/>
        <w:rPr>
          <w:sz w:val="20"/>
          <w:szCs w:val="20"/>
          <w:color w:val="auto"/>
        </w:rPr>
      </w:pPr>
    </w:p>
    <w:p>
      <w:pPr>
        <w:ind w:right="60" w:firstLine="351"/>
        <w:spacing w:after="0" w:line="231" w:lineRule="auto"/>
        <w:rPr>
          <w:sz w:val="20"/>
          <w:szCs w:val="20"/>
          <w:color w:val="auto"/>
        </w:rPr>
      </w:pPr>
      <w:r>
        <w:rPr>
          <w:rFonts w:ascii="Arial" w:cs="Arial" w:eastAsia="Arial" w:hAnsi="Arial"/>
          <w:sz w:val="16"/>
          <w:szCs w:val="16"/>
          <w:color w:val="auto"/>
        </w:rPr>
        <w:t>The Company has now completed its digital transformation. The Company's completed disposition of its hotel business, OED investments and Other IM business in 2021, and its Wellness Infrastructure segment in 2022 each represents a strategic shift in the Company's business that has or is expected to have a significant effect on the Company’s operations and financial results, and accordingly, each has met the criteria as discontinued operations. For all current and prior periods presented, the related assets and liabilities, to the extent they have not been disposed at the respective balance sheet dates, are presented as assets and liabilities held for disposition on the consolidated balance sheets, and the related operating results are presented as discontinued operations on the consolidated statements of operations (refer to Item 15. "Exhibits and Financial Statement Schedules" of this Annual Report).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Accelerating the Monetization of Wellness Infrastructure, OED and Other IM</w:t>
      </w:r>
    </w:p>
    <w:p>
      <w:pPr>
        <w:spacing w:after="0" w:line="115" w:lineRule="exact"/>
        <w:rPr>
          <w:sz w:val="20"/>
          <w:szCs w:val="20"/>
          <w:color w:val="auto"/>
        </w:rPr>
      </w:pPr>
    </w:p>
    <w:p>
      <w:pPr>
        <w:ind w:right="80" w:firstLine="351"/>
        <w:spacing w:after="0" w:line="246" w:lineRule="auto"/>
        <w:rPr>
          <w:sz w:val="20"/>
          <w:szCs w:val="20"/>
          <w:color w:val="auto"/>
        </w:rPr>
      </w:pPr>
      <w:r>
        <w:rPr>
          <w:rFonts w:ascii="Arial" w:cs="Arial" w:eastAsia="Arial" w:hAnsi="Arial"/>
          <w:sz w:val="16"/>
          <w:szCs w:val="16"/>
          <w:color w:val="auto"/>
        </w:rPr>
        <w:t>The Company successfully completed the sale of its equity interests in (i) NRF Holdco, LLC ("NRF Holdco"), which holds its Wellness Infrastructure business along with other non-core assets, in February 2022; and (ii) a substantial majority of its OED investments and Other IM business in December 2021, pursuant to agreements entered into in September 2021 (as amended in February 2022) and June 2021, respectively.</w:t>
      </w:r>
    </w:p>
    <w:p>
      <w:pPr>
        <w:spacing w:after="0" w:line="89"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In assessing the recoverability of assets classified as held for disposition and discontinued operations, in particular considering the sales price for the OED investments and Other IM business, and the Wellness Infrastructure assets, the Company wrote down the carrying value of these assets by $625.3 million in aggregate, of which $265.4 million was attributable to the OP, recorded within impairment loss, equity method loss and other loss in discontinued operations (Note 11 to the consolidated financial statements in Item 15 of this Annual Report).</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OED and Other IM</w:t>
      </w:r>
    </w:p>
    <w:p>
      <w:pPr>
        <w:spacing w:after="0" w:line="113"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disposed OED investments and Other IM business were composed of the Company's interests in various non-digital real estate, real estate-related equity and debt investments, and the Company's general partner interests and management rights with respect to these assets. The Company received cash consideration of $443.4 million, net of closing adjustments of $31.2 million, representing net cash already received by the Company, largely for asset monetizations realized prior to closing. Disposition of the Company's equity interests in its OED subsidiaries resulted in assumption by the acquirer of $509.5 million of consolidated investment-level debt and subsequent deconsolidation of these subsidiaries.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Wellness Infrastructure</w:t>
      </w:r>
    </w:p>
    <w:p>
      <w:pPr>
        <w:spacing w:after="0" w:line="113" w:lineRule="exact"/>
        <w:rPr>
          <w:sz w:val="20"/>
          <w:szCs w:val="20"/>
          <w:color w:val="auto"/>
        </w:rPr>
      </w:pPr>
    </w:p>
    <w:p>
      <w:pPr>
        <w:ind w:right="260" w:firstLine="351"/>
        <w:spacing w:after="0" w:line="245" w:lineRule="auto"/>
        <w:rPr>
          <w:sz w:val="20"/>
          <w:szCs w:val="20"/>
          <w:color w:val="auto"/>
        </w:rPr>
      </w:pPr>
      <w:r>
        <w:rPr>
          <w:rFonts w:ascii="Arial" w:cs="Arial" w:eastAsia="Arial" w:hAnsi="Arial"/>
          <w:sz w:val="16"/>
          <w:szCs w:val="16"/>
          <w:color w:val="auto"/>
        </w:rPr>
        <w:t>The Wellness Infrastructure business is composed of senior housing, skilled nursing facilities, medical office buildings, and hospitals. Other assets and obligations held by NRF Holdco include primarily: (i) the Company's equity interest in and management of its sponsored non-traded REIT, NorthStar Healthcare Income, Inc. ("NorthStar Healthcare"), debt securities collateralized largely by certain debt and preferred equity within the capital structure of the Wellness Infrastructure portfolio, limited partner interests in private equity real estate funds; and (ii) the 5.375% exchangeable senior notes, trust preferred securities and corresponding junior subordinated debt, all of which were issued by NRF Holdco and its subsidiaries.</w:t>
      </w:r>
    </w:p>
    <w:p>
      <w:pPr>
        <w:spacing w:after="0" w:line="90"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The sales price for 100% of the equity of NRF Holdco was $281 million, composed of $126 million in cash and $155 million unsecured promissory note (the "Seller Note"). In addition, NRF Holdco distributed approximately $35 million of cash to the Company prior to closing. The Seller Note matures five years from closing of the sale, accruing paid-in-kind interest at 5.35% per annum. The sale included the acquirer's assumption of $2.57 billion of consolidated investment level debt on various healthcare portfolios in which the Company owned between 69.6% and 81.3%, and $293.7 million of debt at NRF Holdco.</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Internalization of BrightSpire Capital, Inc. (NYSE: BRSP)</w:t>
      </w:r>
    </w:p>
    <w:p>
      <w:pPr>
        <w:spacing w:after="0" w:line="115" w:lineRule="exact"/>
        <w:rPr>
          <w:sz w:val="20"/>
          <w:szCs w:val="20"/>
          <w:color w:val="auto"/>
        </w:rPr>
      </w:pPr>
    </w:p>
    <w:p>
      <w:pPr>
        <w:ind w:right="80" w:firstLine="351"/>
        <w:spacing w:after="0" w:line="233" w:lineRule="auto"/>
        <w:rPr>
          <w:sz w:val="20"/>
          <w:szCs w:val="20"/>
          <w:color w:val="auto"/>
        </w:rPr>
      </w:pPr>
      <w:r>
        <w:rPr>
          <w:rFonts w:ascii="Arial" w:cs="Arial" w:eastAsia="Arial" w:hAnsi="Arial"/>
          <w:sz w:val="16"/>
          <w:szCs w:val="16"/>
          <w:color w:val="auto"/>
        </w:rPr>
        <w:t>In early April 2021, the Company and BRSP (formerly Colony Credit Real Estate, Inc. or CLNC) agreed to terminate the BRSP management agreement for a one-time termination payment of $102.3 million in cash. The transaction closed on April 30, 2021, resulting in the internalization of BRSP's management and operating functions (the "BRSP</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Internalization"), with certain of the Company's employees previously dedicated wholly or substantially to BRSP becoming employees of BRSP. In connection with the BRSP Internalization, BRSP's board of directors ceased to include Company-affiliated directors upon the expiration of such directors' terms in May 2021. The Company also entered into a stockholders agreement with BRSP, pursuant to which the Company agreed, for so long as the Company owns at least 10% of BRSP's outstanding common shares, to vote in BRSP director elections as recommended by BRSP’s board of directors at any stockholders' meeting that occurs prior to BRSP's 2023 annual stockholders' meeting. In addition, the Company is subject to customary standstill restrictions, including an obligation not to initiate or make stockholder proposals, nominate directors or participate in proxy solicitations, until the beginning of the advance notice window for BRSP's 2023 annual meeting. Except as aforementioned, the Company may vote its shares in its sole discretion in any votes of BRSP’s stockholders. The Company is prohibited from acquiring additional BRSP shares and currently holds a 29% equity ownership in BRSP following the sale of a portion of its BRSP shares in August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Exit of the Hotel Business</w:t>
      </w:r>
    </w:p>
    <w:p>
      <w:pPr>
        <w:spacing w:after="0" w:line="115" w:lineRule="exact"/>
        <w:rPr>
          <w:sz w:val="20"/>
          <w:szCs w:val="20"/>
          <w:color w:val="auto"/>
        </w:rPr>
      </w:pPr>
    </w:p>
    <w:p>
      <w:pPr>
        <w:ind w:right="20" w:firstLine="351"/>
        <w:spacing w:after="0" w:line="230" w:lineRule="auto"/>
        <w:rPr>
          <w:sz w:val="20"/>
          <w:szCs w:val="20"/>
          <w:color w:val="auto"/>
        </w:rPr>
      </w:pPr>
      <w:r>
        <w:rPr>
          <w:rFonts w:ascii="Arial" w:cs="Arial" w:eastAsia="Arial" w:hAnsi="Arial"/>
          <w:sz w:val="16"/>
          <w:szCs w:val="16"/>
          <w:color w:val="auto"/>
        </w:rPr>
        <w:t>In March 2021, the Company completed the sale of its hotel business. Pursuant to an agreement entered into with a third party in September 2020 (as amended in October 2020, February 2021 and March 2021), the Company sold 100% of the equity in its hotel subsidiaries which held five of the six hotel portfolios in the Hospitality segment and its 55.6% equity interest in a portfolio of limited service hotels in the Other segment (the "THL Hotel Portfolio"), composed of 197 hotel properties in aggregate. Two of the hotel portfolios that were sold in the Hospitality segment were held through joint ventures in which the Company held a 90% and a 97.5% interest, respectively. The aggregate selling price of $67.5 million represented a transaction value of approximately $2.8 billion, with the acquirer's assumption of $2.7 billion of consolidated investment-level debt. In September 2021, the remaining interests in the THL Hotel Portfolio held by investment vehicles previously managed by the Company were sold to the same buyer. Also in September 2021, the remaining portfolio in the Hospitality segment that was in receivership was sold by the lender for no proceeds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115"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Risk management is a significant component of our strategy to deliver consistent risk-adjusted returns to our stockholders. The audit committee of our board of directors, in consultation with our chief risk officer, internal auditor and management, maintains oversight of risk management matters, and periodically reviews our policies with respect to risk assessment and risk management, including key risks to which we are subject, including credit risk, liquidity risk, financing risk, foreign currency risk and market risk, and the steps that management has taken to monitor and control such risks.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Underwriting and Investment Process</w:t>
      </w:r>
    </w:p>
    <w:p>
      <w:pPr>
        <w:spacing w:after="0" w:line="115"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In connection with the execution of any new investment in digital assets for our balance sheet or a managed investment vehicle, our underwriting team undertakes a comprehensive due diligence process to ensure that we understand all of the material risks involved with making such investment, in addition to related accounting, legal, financial and business issues. If the risks can be sufficiently mitigated in relation to the potential return, we will pursue the investment on behalf of our balance sheet and/or investment vehicles, subject to approval from the applicable investment committee, composed of senior executives of the Company.</w:t>
      </w:r>
    </w:p>
    <w:p>
      <w:pPr>
        <w:spacing w:after="0" w:line="90" w:lineRule="exact"/>
        <w:rPr>
          <w:sz w:val="20"/>
          <w:szCs w:val="20"/>
          <w:color w:val="auto"/>
        </w:rPr>
      </w:pPr>
    </w:p>
    <w:p>
      <w:pPr>
        <w:ind w:firstLine="351"/>
        <w:spacing w:after="0" w:line="291" w:lineRule="auto"/>
        <w:rPr>
          <w:sz w:val="20"/>
          <w:szCs w:val="20"/>
          <w:color w:val="auto"/>
        </w:rPr>
      </w:pPr>
      <w:r>
        <w:rPr>
          <w:rFonts w:ascii="Arial" w:cs="Arial" w:eastAsia="Arial" w:hAnsi="Arial"/>
          <w:sz w:val="14"/>
          <w:szCs w:val="14"/>
          <w:color w:val="auto"/>
        </w:rPr>
        <w:t>Specifically, as part of our underwriting process, we evaluate and review the following data, including, but not limited to: financial data including historical and budgeted financial statements, tenant or customer quality, lease terms and structure, renewal probability, capital expenditure plans, sales pipeline, technical/energy requirements and supply, local and macroeconomic market conditions, ESG, leverage and comparable transactions, as applicable. For debt investments, we also analyze metrics such as loan-to-collateral value ratios, debt service coverage ratios, debt yields, sponsor credit ratings and performance history.</w:t>
      </w:r>
    </w:p>
    <w:p>
      <w:pPr>
        <w:spacing w:after="0" w:line="61"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In addition to evaluating the merits of any particular proposed investment, we evaluate the diversification of our or a particular managed investment vehicle’s portfolio of assets, as the case may be. Prior to making a final investment decision, we determine whether a target asset will cause the portfolio of assets to be too heavily concentrated with, or cause too much risk exposure to, any one digital real estate sector, geographic region, source of cash flow such as tenants or borrowers, or other geopolitical issues. If we determine that a proposed investment presents excessive concentration risk, we may decide not to pursue an otherwise attractive investment.</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Allocation Procedures</w:t>
      </w:r>
    </w:p>
    <w:p>
      <w:pPr>
        <w:spacing w:after="0" w:line="9" w:lineRule="exact"/>
        <w:rPr>
          <w:sz w:val="20"/>
          <w:szCs w:val="20"/>
          <w:color w:val="auto"/>
        </w:rPr>
      </w:pPr>
    </w:p>
    <w:p>
      <w:pPr>
        <w:ind w:right="220" w:firstLine="351"/>
        <w:spacing w:after="0" w:line="221" w:lineRule="auto"/>
        <w:rPr>
          <w:sz w:val="20"/>
          <w:szCs w:val="20"/>
          <w:color w:val="auto"/>
        </w:rPr>
      </w:pPr>
      <w:r>
        <w:rPr>
          <w:rFonts w:ascii="Arial" w:cs="Arial" w:eastAsia="Arial" w:hAnsi="Arial"/>
          <w:sz w:val="16"/>
          <w:szCs w:val="16"/>
          <w:color w:val="auto"/>
        </w:rPr>
        <w:t>We currently manage, and may in the future manage, private funds, REITs and other entities that have investment and/or rate of return objectives similar to our own or to other investment vehicles that we manage. In order to address the risk of potential conflicts of interest among us and our managed investment vehicles, we have implemented an investment allocation policy consistent with our duty as a registered investment adviser to treat our managed investment vehicles fairly and equitably over time. In general, our managed investment funds and certain of their portfolio companies will have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color w:val="auto"/>
        </w:rPr>
        <w:t>priority over us for investment opportunities and certain fund investors will have priority over us for co-investment opportunities. Such policy provides that investment allocation decisions are to be based on a suitability assessment involving a review of numerous factors, including the investment objectives for a particular source of capital, available cash, diversification/concentration, leverage policy, the size of the investment, tax, anticipated pipeline of suitable investments and fund life.</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Portfolio Management</w:t>
      </w:r>
    </w:p>
    <w:p>
      <w:pPr>
        <w:spacing w:after="0" w:line="115" w:lineRule="exact"/>
        <w:rPr>
          <w:sz w:val="20"/>
          <w:szCs w:val="20"/>
          <w:color w:val="auto"/>
        </w:rPr>
      </w:pPr>
    </w:p>
    <w:p>
      <w:pPr>
        <w:ind w:right="60" w:firstLine="351"/>
        <w:spacing w:after="0" w:line="288" w:lineRule="auto"/>
        <w:rPr>
          <w:sz w:val="20"/>
          <w:szCs w:val="20"/>
          <w:color w:val="auto"/>
        </w:rPr>
      </w:pPr>
      <w:r>
        <w:rPr>
          <w:rFonts w:ascii="Arial" w:cs="Arial" w:eastAsia="Arial" w:hAnsi="Arial"/>
          <w:sz w:val="14"/>
          <w:szCs w:val="14"/>
          <w:color w:val="auto"/>
        </w:rPr>
        <w:t>The comprehensive portfolio management process generally includes day-to-day oversight by the Company's portfolio management team, regular management meetings and quarterly asset review process. These processes are designed to enable management to evaluate and proactively identify investment-specific issues and trends on a portfolio-wide basis for both assets on our balance sheet and assets of the companies within our investment management business. Nevertheless, we cannot be certain that such review will identify all issues within our portfolio due to, among other things, adverse economic conditions or events adversely affecting specific assets; therefore, potential future losses may also stem from investments that are not identified during these reviews.</w:t>
      </w:r>
    </w:p>
    <w:p>
      <w:pPr>
        <w:spacing w:after="0" w:line="63"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We use many methods to actively manage our risk to preserve our income and capital, including, but not limited to, maintaining dialogue with customers, partners and/or borrowers and performing regular inspections of our owned properties and collateral. During a quarterly review, or more frequently as necessary, investments are monitored and identified for possible asset impairment or decreases in fair value, as applicable, based upon several factors, including missed or late contractual payments, significant declines in property operating performance and other data which may indicate a potential issue in our ability to recover our invested capital from an investment. In addition, we may utilize services of certain strategic partnerships and joint ventures with third parties with relevant expertise to assist our portfolio management.</w:t>
      </w:r>
    </w:p>
    <w:p>
      <w:pPr>
        <w:spacing w:after="0" w:line="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4"/>
          <w:szCs w:val="14"/>
          <w:color w:val="auto"/>
        </w:rPr>
        <w:t>In order to maintain our qualification as a REIT for U.S. federal income tax purposes and our exemption from registration under the 1940 Act, and maximize returns and manage portfolio risk, we may dispose of an asset earlier than anticipated or hold an asset longer than anticipated if we determine it to be appropriate depending upon prevailing market conditions or factors regarding a particular asset. We can provide no assurances, however, that we will be successful in identifying or managing all of the risks associated with acquiring, holding or disposing of a particular asset or that we will not realize losses on certain assets.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Rate and Foreign Currency Hedging</w:t>
      </w:r>
    </w:p>
    <w:p>
      <w:pPr>
        <w:spacing w:after="0" w:line="115"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Subject to maintaining our qualification as a REIT for U.S. federal income tax purposes and our exemption from registration under the 1940 Act, we may mitigate the risk of interest rate volatility through the use of hedging instruments, such as interest rate swap agreements and interest rate cap agreements. The goal of our interest rate management strategy is to minimize or eliminate the effects of interest rate changes on the value of our assets, to improve risk-adjusted returns and, where possible, to lock in, on a long-term basis, a favorable spread between the yield on our assets and the cost of financing such assets. In addition, because we are exposed to foreign currency exchange rate fluctuations, we employ foreign currency risk management strategies, including the use of, among others, currency hedges, and matched currency financing. We can provide no assurances, however, that our efforts to manage interest rate and foreign currency exchange rate volatility will successfully mitigate the risks of such volatility on our portfolio.</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5" w:lineRule="exact"/>
        <w:rPr>
          <w:sz w:val="20"/>
          <w:szCs w:val="20"/>
          <w:color w:val="auto"/>
        </w:rPr>
      </w:pPr>
    </w:p>
    <w:p>
      <w:pPr>
        <w:jc w:val="both"/>
        <w:ind w:right="540" w:firstLine="351"/>
        <w:spacing w:after="0" w:line="246" w:lineRule="auto"/>
        <w:rPr>
          <w:sz w:val="20"/>
          <w:szCs w:val="20"/>
          <w:color w:val="auto"/>
        </w:rPr>
      </w:pPr>
      <w:r>
        <w:rPr>
          <w:rFonts w:ascii="Arial" w:cs="Arial" w:eastAsia="Arial" w:hAnsi="Arial"/>
          <w:sz w:val="16"/>
          <w:szCs w:val="16"/>
          <w:color w:val="auto"/>
        </w:rPr>
        <w:t>As an investment manager with balance sheet investments, we primarily compete for capital from outside investors and in our pursuit and execution of attractive investments on behalf of our balance sheet and investment funds. We face competition in both the pursuit of third-party investors and in acquiring investments in portfolio companies at attractive prices.</w:t>
      </w:r>
    </w:p>
    <w:p>
      <w:pPr>
        <w:spacing w:after="0" w:line="89"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The ability to source capital from outside investors will depend on our reputation, investment track record, pricing and terms for the management of capital, and market environment for capital raising, among other factors. We compete with other investment managers focused on or active in digital real estate and infrastructure including other private equity sponsors, credit and hedge fund sponsors and REITs, who may have greater financial resources, longer track records, more established relationships and more attractive fund terms, including fees.</w:t>
      </w:r>
    </w:p>
    <w:p>
      <w:pPr>
        <w:spacing w:after="0" w:line="91"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ability to transact on attractive investments will depend on execution reputation, capital availability, tolerance for risk, cost of capital, number of potential buyers and pricing, among other factors. We face competition from a variety of institutional investors, including other REITs, investment managers of private equity, infrastructure, credit, hedge and other funds, specialty finance companies, commercial and investment banks, commercial finance and insurance companies, and other financial institutions. Some of these competitors may have greater financial resources, access to lower cost of capital and access to funding sources that may not be available to the Company. In addition, some of our competitors may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have higher risk tolerances or different risk assessments, which could allow them to consider a wider variety of investments, or pay higher prices, than we can. Furthermore, some of our competitors are not subject to the operating constraints associated with REIT compliance or maintenance of an exemption from the 1940 Act.</w:t>
      </w:r>
    </w:p>
    <w:p>
      <w:pPr>
        <w:spacing w:after="0" w:line="89"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In our digital operating business, we compete with numerous data center providers who own and/or operate hyperscale or colocation data centers in similar metropolitan areas. Our competitors may have pre-existing relationships with current or potential customers, ownership and/or operation of larger portfolios of data centers that are geographically diversified, access to less expensive power, and more robust interconnected hubs in certain geographic areas. Competition may result in pricing pressures or may require us to incur additional costs that we otherwise might not choose to incur in order to upgrade our data center space, all of which may adversely affect the profitability of our data centers. Additionally, certain large enterprises may choose to build and operate their own data centers and cease to be our customers or otherwise, reduce the pool of potential customers in the market.</w:t>
      </w:r>
    </w:p>
    <w:p>
      <w:pPr>
        <w:spacing w:after="0" w:line="94"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color w:val="auto"/>
        </w:rPr>
        <w:t>We also face competition in the recruitment and retention of qualified and skilled personnel. Our ability to continue to compete effectively in our business will depend upon our ability to attract new employees and retain and motivate our existing employees.</w:t>
      </w:r>
    </w:p>
    <w:p>
      <w:pPr>
        <w:spacing w:after="0" w:line="88" w:lineRule="exact"/>
        <w:rPr>
          <w:sz w:val="20"/>
          <w:szCs w:val="20"/>
          <w:color w:val="auto"/>
        </w:rPr>
      </w:pPr>
    </w:p>
    <w:p>
      <w:pPr>
        <w:ind w:right="920" w:firstLine="351"/>
        <w:spacing w:after="0" w:line="248" w:lineRule="auto"/>
        <w:rPr>
          <w:sz w:val="20"/>
          <w:szCs w:val="20"/>
          <w:color w:val="auto"/>
        </w:rPr>
      </w:pPr>
      <w:r>
        <w:rPr>
          <w:rFonts w:ascii="Arial" w:cs="Arial" w:eastAsia="Arial" w:hAnsi="Arial"/>
          <w:sz w:val="16"/>
          <w:szCs w:val="16"/>
          <w:color w:val="auto"/>
        </w:rPr>
        <w:t>An increase in competition across the various components of our business may limit our ability to generate attractive risk-adjusted returns for our stockholders, thereby adversely affecting the market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61" w:lineRule="exact"/>
        <w:rPr>
          <w:sz w:val="20"/>
          <w:szCs w:val="20"/>
          <w:color w:val="auto"/>
        </w:rPr>
      </w:pPr>
    </w:p>
    <w:p>
      <w:pPr>
        <w:ind w:right="40" w:firstLine="351"/>
        <w:spacing w:after="0" w:line="236" w:lineRule="auto"/>
        <w:rPr>
          <w:sz w:val="20"/>
          <w:szCs w:val="20"/>
          <w:color w:val="auto"/>
        </w:rPr>
      </w:pPr>
      <w:r>
        <w:rPr>
          <w:rFonts w:ascii="Arial" w:cs="Arial" w:eastAsia="Arial" w:hAnsi="Arial"/>
          <w:sz w:val="16"/>
          <w:szCs w:val="16"/>
          <w:color w:val="auto"/>
        </w:rPr>
        <w:t>Our investment management business has over 100 investors that form our diverse, global investor base, including but not limited to, sovereign wealth funds, public and private pensions, asset managers, insurance companies, and endowments.</w:t>
      </w:r>
    </w:p>
    <w:p>
      <w:pPr>
        <w:spacing w:after="0" w:line="83" w:lineRule="exact"/>
        <w:rPr>
          <w:sz w:val="20"/>
          <w:szCs w:val="20"/>
          <w:color w:val="auto"/>
        </w:rPr>
      </w:pPr>
    </w:p>
    <w:p>
      <w:pPr>
        <w:ind w:right="320" w:firstLine="351"/>
        <w:spacing w:after="0" w:line="233" w:lineRule="auto"/>
        <w:rPr>
          <w:sz w:val="20"/>
          <w:szCs w:val="20"/>
          <w:color w:val="auto"/>
        </w:rPr>
      </w:pPr>
      <w:r>
        <w:rPr>
          <w:rFonts w:ascii="Arial" w:cs="Arial" w:eastAsia="Arial" w:hAnsi="Arial"/>
          <w:sz w:val="16"/>
          <w:szCs w:val="16"/>
          <w:color w:val="auto"/>
        </w:rPr>
        <w:t>In our digital operating business, our data centers are leased to over 2,500 customers, with its largest customers in the information technology and communications sectors. In 2021, property operating income from a single customer accounted for approximately 16.7% of the Company's total revenues from continuing operations, or approximately 7.8% of the Company's share of total revenues from continuing operations, net of noncontrolling interests.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generally do not experience pronounced seasonality in our investment management and digital operating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REIT Qualification</w:t>
      </w:r>
    </w:p>
    <w:p>
      <w:pPr>
        <w:spacing w:after="0" w:line="115"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We have elected to be taxed as a REIT for U.S. federal income tax purposes, however we may elect not to continue as a REIT in 2022 or in any year thereafter. So long as we qualify as a REIT, we generally will not be subject to U.S. federal income tax at the REIT-level on our REIT taxable income that we distribute currently to our stockholders. Our qualification as a REIT depends upon our ability to meet, on a continuing basis, various complex requirements under the Internal Revenue Code of 1986, as amended (the "Code"), relating to, among other things, the sources of our gross income and the composition and values of our assets (which, based on the types of assets we own, can fluctuate rapidly, significantly and unpredictably), our distribution levels and the diversity of ownership of our shares. In addition, we hold certain of our assets through taxable REIT subsidiaries (each a "TRS"), which are subject to U.S. federal and applicable state and local income taxes (and any applicable non-U.S. taxes) at regular corporate rates. Due to the nature of the assets in which we invest and our investment management business, our TRSs may have a material amount of assets and net taxable income.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Investment Company Act of 1940</w:t>
      </w:r>
    </w:p>
    <w:p>
      <w:pPr>
        <w:spacing w:after="0" w:line="115" w:lineRule="exact"/>
        <w:rPr>
          <w:sz w:val="20"/>
          <w:szCs w:val="20"/>
          <w:color w:val="auto"/>
        </w:rPr>
      </w:pPr>
    </w:p>
    <w:p>
      <w:pPr>
        <w:ind w:right="360" w:firstLine="351"/>
        <w:spacing w:after="0" w:line="248" w:lineRule="auto"/>
        <w:rPr>
          <w:sz w:val="20"/>
          <w:szCs w:val="20"/>
          <w:color w:val="auto"/>
        </w:rPr>
      </w:pPr>
      <w:r>
        <w:rPr>
          <w:rFonts w:ascii="Arial" w:cs="Arial" w:eastAsia="Arial" w:hAnsi="Arial"/>
          <w:sz w:val="16"/>
          <w:szCs w:val="16"/>
          <w:color w:val="auto"/>
        </w:rPr>
        <w:t>An issuer will generally be deemed to be an “investment company” for purposes of the Investment Company Act of 1940, as amended, and the rules and regulations of the SEC thereunder (collectively, the “1940 Act”) if:</w:t>
      </w:r>
    </w:p>
    <w:p>
      <w:pPr>
        <w:spacing w:after="0" w:line="88" w:lineRule="exact"/>
        <w:rPr>
          <w:sz w:val="20"/>
          <w:szCs w:val="20"/>
          <w:color w:val="auto"/>
        </w:rPr>
      </w:pPr>
    </w:p>
    <w:p>
      <w:pPr>
        <w:ind w:left="480" w:hanging="136"/>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is or holds itself out as being engaged primarily, or proposes to engage primarily, in the business of investing, reinvesting or trading in securities; or</w:t>
      </w:r>
    </w:p>
    <w:p>
      <w:pPr>
        <w:spacing w:after="0" w:line="96" w:lineRule="exact"/>
        <w:rPr>
          <w:rFonts w:ascii="Arial" w:cs="Arial" w:eastAsia="Arial" w:hAnsi="Arial"/>
          <w:sz w:val="16"/>
          <w:szCs w:val="16"/>
          <w:color w:val="auto"/>
        </w:rPr>
      </w:pPr>
    </w:p>
    <w:p>
      <w:pPr>
        <w:ind w:left="480" w:right="280" w:hanging="136"/>
        <w:spacing w:after="0" w:line="248" w:lineRule="auto"/>
        <w:tabs>
          <w:tab w:leader="none" w:pos="4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absent an applicable exemption or exception, it owns or proposes to acquire investment securities having a value exceeding 40% of the value of its total assets (exclusive of U.S. government securities and cash items) on an unconsolidated basis (the "40% test").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351"/>
        <w:spacing w:after="0" w:line="278" w:lineRule="auto"/>
        <w:rPr>
          <w:sz w:val="20"/>
          <w:szCs w:val="20"/>
          <w:color w:val="auto"/>
        </w:rPr>
      </w:pPr>
      <w:r>
        <w:rPr>
          <w:rFonts w:ascii="Arial" w:cs="Arial" w:eastAsia="Arial" w:hAnsi="Arial"/>
          <w:sz w:val="14"/>
          <w:szCs w:val="14"/>
          <w:color w:val="auto"/>
        </w:rPr>
        <w:t>We hold ourselves out as an investment management firm engaged primarily in the business of owning and operating digital infrastructure assets and managing investments for other entities that own digital infrastructure assets. We do not propose to engage primarily in the business of investing, reinvesting or trading in securities. We also expect that, following the restructuring of our business described elsewhere in this Annual Report, the primary sources of our income will consist of income earned in exchange for the provision of services or from investments in entities that own digital infrastructure assets that we manage. Certain of our subsidiaries rely on exemptions under section 3(c)(5)(C) and 3(c)(6) of the 1940 Act for companies engaged primarily in investing in real estate and real-estate assets or for holding companies of companies engaged in such activities. In addition, we believe that we are not an investment company under section 3(b)</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 of the 1940 Act because we are primarily engaged in a non-investment company business.</w:t>
      </w:r>
    </w:p>
    <w:p>
      <w:pPr>
        <w:spacing w:after="0" w:line="97"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We view the capital interest we hold in investment vehicles that we also manage not to be investment securities as defined under the 1940 Act for purposes of the 40% test, regardless of whether these interests are general partner interests or limited partner interests, or the equivalent of either in other forms of organization. Many of our investments in entities that own digital infrastructure assets consist of limited partner or similar interests owned by our subsidiaries in entities that they or other subsidiaries manage as general partner or managing member. The courts and the SEC staff have provided little guidance regarding the characterization for purposes of the 1940 Act of a limited partner interest or its equivalent in circumstances such as ours, but we believe, based on our understanding of applicable legal principles, that limited partner and equivalent interests do not constitute investment securities in this context. Our determination that we are not an investment company is in part based upon the characterization of our limited partner or similar interests in entities that we control as general partner or managing member as not being investment securities. We can provide no assurance that a court would agree with our analysis if it were to be challenged by the SEC or a contractual counterparty.</w:t>
      </w:r>
    </w:p>
    <w:p>
      <w:pPr>
        <w:spacing w:after="0" w:line="94" w:lineRule="exact"/>
        <w:rPr>
          <w:sz w:val="20"/>
          <w:szCs w:val="20"/>
          <w:color w:val="auto"/>
        </w:rPr>
      </w:pPr>
    </w:p>
    <w:p>
      <w:pPr>
        <w:ind w:firstLine="351"/>
        <w:spacing w:after="0" w:line="284" w:lineRule="auto"/>
        <w:rPr>
          <w:sz w:val="20"/>
          <w:szCs w:val="20"/>
          <w:color w:val="auto"/>
        </w:rPr>
      </w:pPr>
      <w:r>
        <w:rPr>
          <w:rFonts w:ascii="Arial" w:cs="Arial" w:eastAsia="Arial" w:hAnsi="Arial"/>
          <w:sz w:val="14"/>
          <w:szCs w:val="14"/>
          <w:color w:val="auto"/>
        </w:rPr>
        <w:t>The 1940 Act and the rules thereunder contain detailed requirements for the organization and operations of investment companies. Among other things, the 1940 Act and the rules thereunder impose substantial regulation with respect to the capital structure (including the ability to use leverage), management, operations, transactions with affiliated persons (as defined in the 1940 Act), portfolio composition, including restrictions with respect to diversification and industry concentration, and other matters with respect to entities deemed to be investment companies. We intend to conduct our operations so that we will not be deemed to be an investment company under the 1940 Act. If the assets that we or our subsidiaries own fail to satisfy the 40% limitation (or for certain subsidiaries, other exemptions) and we do not qualify for an exception or exemption from the 1940 Act, we or our subsidiaries may be required to, among other things: (i) substantially change the manner in which we conduct our operations or the assets that we own to avoid being required to register as an investment company under the 1940 Act; or (ii) register as an investment company under the 1940 Act. Either of (i) or (ii) could have an adverse effect on us and the market price of our securities.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Regulation under the Investment Advisers Act of 1940</w:t>
      </w:r>
    </w:p>
    <w:p>
      <w:pPr>
        <w:spacing w:after="0" w:line="115" w:lineRule="exact"/>
        <w:rPr>
          <w:sz w:val="20"/>
          <w:szCs w:val="20"/>
          <w:color w:val="auto"/>
        </w:rPr>
      </w:pPr>
    </w:p>
    <w:p>
      <w:pPr>
        <w:ind w:firstLine="351"/>
        <w:spacing w:after="0" w:line="282" w:lineRule="auto"/>
        <w:rPr>
          <w:sz w:val="20"/>
          <w:szCs w:val="20"/>
          <w:color w:val="auto"/>
        </w:rPr>
      </w:pPr>
      <w:r>
        <w:rPr>
          <w:rFonts w:ascii="Arial" w:cs="Arial" w:eastAsia="Arial" w:hAnsi="Arial"/>
          <w:sz w:val="14"/>
          <w:szCs w:val="14"/>
          <w:color w:val="auto"/>
        </w:rPr>
        <w:t>We have subsidiaries that are registered with the "SEC" as investment advisers under the Investment Advisers Act of 1940, as amended (the "Investment Advisers Act"). As a result, we are subject to the anti-fraud provisions of the Investment Advisers Act and to applicable fiduciary duties derived from these provisions that apply to our relationships with the investment vehicles that we manage. These provisions and duties impose restrictions and obligations on us with respect to our dealings with our investors and our investments, including, for example, restrictions on agency, cross and principal transactions, and transactions with affiliated service providers. We, or our registered investment adviser subsidiaries, will be subject to periodic SEC examinations and other requirements under the Investment Advisers Act and related regulations primarily intended to benefit advisory clients. These additional requirements relate, among other things, to maintaining an effective and comprehensive compliance program, recordkeeping and reporting requirements and disclosure requirements. Examinations of private fund advisers have resulted in a range of actions, including deficiency letters and, where appropriate, referrals to the Division of Enforcement. The Investment Advisers Act generally grants the SEC broad administrative powers, including the power to limit or restrict an investment adviser from conducting advisory activities in the event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 We expect continued focus by the SEC on private fund advisers and a greater level of SEC enforcement activity under the Biden administration.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regarding regulations applicable to the Company, refer to Item 1A.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15" w:lineRule="exact"/>
        <w:rPr>
          <w:sz w:val="20"/>
          <w:szCs w:val="20"/>
          <w:color w:val="auto"/>
        </w:rPr>
      </w:pPr>
    </w:p>
    <w:p>
      <w:pPr>
        <w:ind w:right="460" w:firstLine="351"/>
        <w:spacing w:after="0" w:line="248" w:lineRule="auto"/>
        <w:rPr>
          <w:sz w:val="20"/>
          <w:szCs w:val="20"/>
          <w:color w:val="auto"/>
        </w:rPr>
      </w:pPr>
      <w:r>
        <w:rPr>
          <w:rFonts w:ascii="Arial" w:cs="Arial" w:eastAsia="Arial" w:hAnsi="Arial"/>
          <w:sz w:val="16"/>
          <w:szCs w:val="16"/>
          <w:color w:val="auto"/>
        </w:rPr>
        <w:t>We believe that our people are our most important asset. We are focused on fostering a diverse workforce with different perspectives, experiences, and backgrounds to encourage innovative and creative ideas, and ultimately lead to our collective success.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Diversity and Inclusion</w:t>
      </w:r>
    </w:p>
    <w:p>
      <w:pPr>
        <w:spacing w:after="0" w:line="115"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We have established a Diversity, Equity and Inclusion steering committee, which meets quarterly and establishes and monitors progress on our diversity hiring and retention goals. In 2021, the Steering Committee initiated a series of diversity, equity and inclusion trainings for our employees to support our diversity initiatives and we are building on this foundation through quarterly trainings.</w:t>
      </w:r>
    </w:p>
    <w:p>
      <w:pPr>
        <w:spacing w:after="0" w:line="89"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We recognize that a diverse investment team enhances our ability to source, evaluate and manage a differentiated set of investment opportunities within the digital infrastructure sector. We also support our portfolio company management teams, many of whom come from diverse backgrounds, to create and/or augment existing diversity and inclusion initiatives. We have created a four-pillar program to facilitate the composition of a diverse workforce reflective of the constituencies and communities we serve, which focuses on the following:</w:t>
      </w:r>
    </w:p>
    <w:p>
      <w:pPr>
        <w:spacing w:after="0" w:line="75" w:lineRule="exact"/>
        <w:rPr>
          <w:sz w:val="20"/>
          <w:szCs w:val="20"/>
          <w:color w:val="auto"/>
        </w:rPr>
      </w:pPr>
    </w:p>
    <w:p>
      <w:pPr>
        <w:ind w:right="100" w:firstLine="281"/>
        <w:spacing w:after="0" w:line="256" w:lineRule="auto"/>
        <w:rPr>
          <w:sz w:val="20"/>
          <w:szCs w:val="20"/>
          <w:color w:val="auto"/>
        </w:rPr>
      </w:pPr>
      <w:r>
        <w:rPr>
          <w:rFonts w:ascii="Arial" w:cs="Arial" w:eastAsia="Arial" w:hAnsi="Arial"/>
          <w:sz w:val="16"/>
          <w:szCs w:val="16"/>
          <w:i w:val="1"/>
          <w:iCs w:val="1"/>
          <w:color w:val="auto"/>
        </w:rPr>
        <w:t xml:space="preserve">Mentorships: </w:t>
      </w:r>
      <w:r>
        <w:rPr>
          <w:rFonts w:ascii="Arial" w:cs="Arial" w:eastAsia="Arial" w:hAnsi="Arial"/>
          <w:sz w:val="16"/>
          <w:szCs w:val="16"/>
          <w:color w:val="auto"/>
        </w:rPr>
        <w:t>We have partnered with Big Brothers Big Sisters in New York (BBBS) to implement a program that enables employees to work with high school</w:t>
      </w:r>
      <w:r>
        <w:rPr>
          <w:rFonts w:ascii="Arial" w:cs="Arial" w:eastAsia="Arial" w:hAnsi="Arial"/>
          <w:sz w:val="16"/>
          <w:szCs w:val="16"/>
          <w:i w:val="1"/>
          <w:iCs w:val="1"/>
          <w:color w:val="auto"/>
        </w:rPr>
        <w:t xml:space="preserve"> </w:t>
      </w:r>
      <w:r>
        <w:rPr>
          <w:rFonts w:ascii="Arial" w:cs="Arial" w:eastAsia="Arial" w:hAnsi="Arial"/>
          <w:sz w:val="16"/>
          <w:szCs w:val="16"/>
          <w:color w:val="auto"/>
        </w:rPr>
        <w:t>students from the tenth grade through high school graduation. The program has recently launched with students from the Uncommon Charter High School and will run through the end of the school year.</w:t>
      </w:r>
    </w:p>
    <w:p>
      <w:pPr>
        <w:spacing w:after="0" w:line="66"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i w:val="1"/>
          <w:iCs w:val="1"/>
          <w:color w:val="auto"/>
        </w:rPr>
        <w:t xml:space="preserve">Internships: </w:t>
      </w:r>
      <w:r>
        <w:rPr>
          <w:rFonts w:ascii="Arial" w:cs="Arial" w:eastAsia="Arial" w:hAnsi="Arial"/>
          <w:sz w:val="16"/>
          <w:szCs w:val="16"/>
          <w:color w:val="auto"/>
        </w:rPr>
        <w:t>We have developed an internship program to help build a talent pipeline of diverse candidates for investment professional positions, committing to</w:t>
      </w:r>
      <w:r>
        <w:rPr>
          <w:rFonts w:ascii="Arial" w:cs="Arial" w:eastAsia="Arial" w:hAnsi="Arial"/>
          <w:sz w:val="16"/>
          <w:szCs w:val="16"/>
          <w:i w:val="1"/>
          <w:iCs w:val="1"/>
          <w:color w:val="auto"/>
        </w:rPr>
        <w:t xml:space="preserve"> </w:t>
      </w:r>
      <w:r>
        <w:rPr>
          <w:rFonts w:ascii="Arial" w:cs="Arial" w:eastAsia="Arial" w:hAnsi="Arial"/>
          <w:sz w:val="16"/>
          <w:szCs w:val="16"/>
          <w:color w:val="auto"/>
        </w:rPr>
        <w:t>hiring at least 50% diverse candidates, including through organizations such as Seizing Every Opportunity (SEO), Toigo, and One Search Young Women in Finance (UK). Of our ten interns last summer, nine were women and/or from minority groups. Furthermore, three of these interns were offered employment in our investment management business.</w:t>
      </w:r>
    </w:p>
    <w:p>
      <w:pPr>
        <w:spacing w:after="0" w:line="6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i w:val="1"/>
          <w:iCs w:val="1"/>
          <w:color w:val="auto"/>
        </w:rPr>
        <w:t>Recruiting/Hiring</w:t>
      </w:r>
      <w:r>
        <w:rPr>
          <w:rFonts w:ascii="Arial" w:cs="Arial" w:eastAsia="Arial" w:hAnsi="Arial"/>
          <w:sz w:val="16"/>
          <w:szCs w:val="16"/>
          <w:color w:val="auto"/>
        </w:rPr>
        <w:t>: A particular focus of the Company recently has been to improve the gender diversity of our investment team. In addition to recent female hires at</w:t>
      </w:r>
      <w:r>
        <w:rPr>
          <w:rFonts w:ascii="Arial" w:cs="Arial" w:eastAsia="Arial" w:hAnsi="Arial"/>
          <w:sz w:val="16"/>
          <w:szCs w:val="16"/>
          <w:i w:val="1"/>
          <w:iCs w:val="1"/>
          <w:color w:val="auto"/>
        </w:rPr>
        <w:t xml:space="preserve"> </w:t>
      </w:r>
      <w:r>
        <w:rPr>
          <w:rFonts w:ascii="Arial" w:cs="Arial" w:eastAsia="Arial" w:hAnsi="Arial"/>
          <w:sz w:val="16"/>
          <w:szCs w:val="16"/>
          <w:color w:val="auto"/>
        </w:rPr>
        <w:t>senior positions within the digital investment management business, nearly 36% of all digital-focused hires at the associate level since our digital transformation commenced have been female. In fact, we have had a 6% increase in female hires. In addition, there have been specific efforts aimed at diversifying the pool of candidates that we recruit from. To that end, we are working to diversify the pool of recruiters that we work with to include recruiters that work primarily with underrepresented talent and have made outreach to the historically black colleges and universities (HBCUs).</w:t>
      </w:r>
    </w:p>
    <w:p>
      <w:pPr>
        <w:spacing w:after="0" w:line="7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Career Path/Compensation</w:t>
      </w:r>
      <w:r>
        <w:rPr>
          <w:rFonts w:ascii="Arial" w:cs="Arial" w:eastAsia="Arial" w:hAnsi="Arial"/>
          <w:sz w:val="16"/>
          <w:szCs w:val="16"/>
          <w:color w:val="auto"/>
        </w:rPr>
        <w:t>: We believe that cultivating diversity at more junior levels within our organization, coupled with ensuring our employees have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to excel and grow in their careers at DigitalBridge, will strengthen our ability to foster diversity at more senior levels. Many of our professionals have been promoted from within and, as the diversity of our junior professionals continues to grow, we expect to see even greater diversity across the senior levels of the Company.</w:t>
      </w:r>
    </w:p>
    <w:p>
      <w:pPr>
        <w:spacing w:after="0" w:line="85" w:lineRule="exact"/>
        <w:rPr>
          <w:sz w:val="20"/>
          <w:szCs w:val="20"/>
          <w:color w:val="auto"/>
        </w:rPr>
      </w:pPr>
    </w:p>
    <w:p>
      <w:pPr>
        <w:ind w:right="160" w:firstLine="351"/>
        <w:spacing w:after="0" w:line="248" w:lineRule="auto"/>
        <w:rPr>
          <w:sz w:val="20"/>
          <w:szCs w:val="20"/>
          <w:color w:val="auto"/>
        </w:rPr>
      </w:pPr>
      <w:r>
        <w:rPr>
          <w:rFonts w:ascii="Arial" w:cs="Arial" w:eastAsia="Arial" w:hAnsi="Arial"/>
          <w:sz w:val="16"/>
          <w:szCs w:val="16"/>
          <w:color w:val="auto"/>
        </w:rPr>
        <w:t>In addition, our dedication to fostering diversity and inclusion is also supported by our Company’s board of directors, five out of its nine members are women and/or people of color/minorities.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Compensation and Benefits Program</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tied to specific performance goals, and, generally for all mid-level and above employees, long-term equity awards tied to time-based vesting conditions and the relative value of our stock price as compared to our peers.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We commission a customized compensation benchmark survey annually to ensure our compensation packages are competitive and in-market. In addition, we also offer employees benefits such as life and health (medical, dental and vision) insurance, paid time off, paid parental leave, charitable gift matching, student loan paydown program and a 401(k) plan.</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Community Involvement</w:t>
      </w:r>
    </w:p>
    <w:p>
      <w:pPr>
        <w:spacing w:after="0" w:line="115" w:lineRule="exact"/>
        <w:rPr>
          <w:sz w:val="20"/>
          <w:szCs w:val="20"/>
          <w:color w:val="auto"/>
        </w:rPr>
      </w:pPr>
    </w:p>
    <w:p>
      <w:pPr>
        <w:ind w:right="320" w:firstLine="351"/>
        <w:spacing w:after="0" w:line="246" w:lineRule="auto"/>
        <w:rPr>
          <w:sz w:val="20"/>
          <w:szCs w:val="20"/>
          <w:color w:val="auto"/>
        </w:rPr>
      </w:pPr>
      <w:r>
        <w:rPr>
          <w:rFonts w:ascii="Arial" w:cs="Arial" w:eastAsia="Arial" w:hAnsi="Arial"/>
          <w:sz w:val="16"/>
          <w:szCs w:val="16"/>
          <w:color w:val="auto"/>
        </w:rPr>
        <w:t>We aim to give back to the communities where we live, work and operate by participating in local, national and global causes, and believe that this commitment helps in our efforts to attract and retain employees. Our employees serve as the ambassadors of our social responsibility values, which they share through volunteering and charitable giving.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20" w:firstLine="351"/>
        <w:spacing w:after="0" w:line="248" w:lineRule="auto"/>
        <w:rPr>
          <w:sz w:val="20"/>
          <w:szCs w:val="20"/>
          <w:color w:val="auto"/>
        </w:rPr>
      </w:pPr>
      <w:r>
        <w:rPr>
          <w:rFonts w:ascii="Arial" w:cs="Arial" w:eastAsia="Arial" w:hAnsi="Arial"/>
          <w:sz w:val="16"/>
          <w:szCs w:val="16"/>
          <w:color w:val="auto"/>
        </w:rPr>
        <w:t>We have approximately 250 employees, of which approximately 84% are in the U.S. with the remaining in our international locations. Other than our international employees, none of our U.S. employees are represented by a labor union or covered by a collective bargaining agreement.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("ESG")</w:t>
      </w:r>
    </w:p>
    <w:p>
      <w:pPr>
        <w:spacing w:after="0" w:line="115" w:lineRule="exact"/>
        <w:rPr>
          <w:sz w:val="20"/>
          <w:szCs w:val="20"/>
          <w:color w:val="auto"/>
        </w:rPr>
      </w:pPr>
    </w:p>
    <w:p>
      <w:pPr>
        <w:ind w:right="260" w:firstLine="351"/>
        <w:spacing w:after="0" w:line="245" w:lineRule="auto"/>
        <w:rPr>
          <w:sz w:val="20"/>
          <w:szCs w:val="20"/>
          <w:color w:val="auto"/>
        </w:rPr>
      </w:pPr>
      <w:r>
        <w:rPr>
          <w:rFonts w:ascii="Arial" w:cs="Arial" w:eastAsia="Arial" w:hAnsi="Arial"/>
          <w:sz w:val="16"/>
          <w:szCs w:val="16"/>
          <w:color w:val="auto"/>
        </w:rPr>
        <w:t>We believe that integrating ESG considerations into our business and our portfolio companies is an essential element to our continued success. We have formed a cross-functional ESG Committee which oversees the Company’s ESG program and helps develop initiatives designed to improve related performance metrics and disclosure. This committee presents ESG data and updates on a quarterly basis to the Company’s Board of Directors, who review and monitor the ESG performance of the Company and our portfolio companies.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ESG Process for Investment Management</w:t>
      </w:r>
    </w:p>
    <w:p>
      <w:pPr>
        <w:spacing w:after="0" w:line="115" w:lineRule="exact"/>
        <w:rPr>
          <w:sz w:val="20"/>
          <w:szCs w:val="20"/>
          <w:color w:val="auto"/>
        </w:rPr>
      </w:pPr>
    </w:p>
    <w:p>
      <w:pPr>
        <w:jc w:val="both"/>
        <w:ind w:right="240" w:firstLine="351"/>
        <w:spacing w:after="0" w:line="246" w:lineRule="auto"/>
        <w:rPr>
          <w:sz w:val="20"/>
          <w:szCs w:val="20"/>
          <w:color w:val="auto"/>
        </w:rPr>
      </w:pPr>
      <w:r>
        <w:rPr>
          <w:rFonts w:ascii="Arial" w:cs="Arial" w:eastAsia="Arial" w:hAnsi="Arial"/>
          <w:sz w:val="16"/>
          <w:szCs w:val="16"/>
          <w:color w:val="auto"/>
        </w:rPr>
        <w:t>We have a Responsible Investment Policy that guides the integration of macro-level and company-specific ESG considerations throughout our investment lifecycle. Development of this policy was informed by relevant third-party standards, best practices and global initiatives, including the Principles for Responsible Investment (PRI), Sustainability Accounting Standards Board (SASB) and the United Nations Sustainable Development Goals.</w:t>
      </w:r>
    </w:p>
    <w:p>
      <w:pPr>
        <w:spacing w:after="0" w:line="89" w:lineRule="exact"/>
        <w:rPr>
          <w:sz w:val="20"/>
          <w:szCs w:val="20"/>
          <w:color w:val="auto"/>
        </w:rPr>
      </w:pPr>
    </w:p>
    <w:p>
      <w:pPr>
        <w:ind w:right="40" w:firstLine="351"/>
        <w:spacing w:after="0" w:line="317" w:lineRule="auto"/>
        <w:rPr>
          <w:sz w:val="20"/>
          <w:szCs w:val="20"/>
          <w:color w:val="auto"/>
        </w:rPr>
      </w:pPr>
      <w:r>
        <w:rPr>
          <w:rFonts w:ascii="Arial" w:cs="Arial" w:eastAsia="Arial" w:hAnsi="Arial"/>
          <w:sz w:val="14"/>
          <w:szCs w:val="14"/>
          <w:color w:val="auto"/>
        </w:rPr>
        <w:t>We focus on the most relevant ESG issues which we have prioritized according to two criteria: those that have the greatest impact on our business and/or our digital infrastructure portfolio companies; and those that are the most important to our stakeholders. The result is a targeted universe of priority issues as follows:</w:t>
      </w:r>
    </w:p>
    <w:p>
      <w:pPr>
        <w:spacing w:after="0" w:line="42" w:lineRule="exact"/>
        <w:rPr>
          <w:sz w:val="20"/>
          <w:szCs w:val="20"/>
          <w:color w:val="auto"/>
        </w:rPr>
      </w:pPr>
    </w:p>
    <w:p>
      <w:pPr>
        <w:ind w:left="480" w:hanging="136"/>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Climate Change: Energy Efficiency, Greenhouse Gas Emissions and Physical Climate Risks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Data Privacy, Data Security and Associated Human Rights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Diversity, Equity and Inclusion</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Corrupt Practices Act, Anti-Bribery and Anti-Corruption</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Workplace Health and Safety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seek to integrate these ESG considerations into our investment process through analysis of material ESG factors during due diligence to inform our</w:t>
      </w:r>
    </w:p>
    <w:p>
      <w:pPr>
        <w:spacing w:after="0" w:line="38"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investment decision-making and support implementation of ESG best practices at our portfolio companies. We provide guidance and resources to our portfolio companies to accelerate their ESG initiatives and actively engage with the ESG leadership at each of our portfolio companies to manage and report on a common</w:t>
      </w:r>
    </w:p>
    <w:p>
      <w:pPr>
        <w:ind w:right="440"/>
        <w:spacing w:after="0" w:line="248" w:lineRule="auto"/>
        <w:rPr>
          <w:sz w:val="20"/>
          <w:szCs w:val="20"/>
          <w:color w:val="auto"/>
        </w:rPr>
      </w:pPr>
      <w:r>
        <w:rPr>
          <w:rFonts w:ascii="Arial" w:cs="Arial" w:eastAsia="Arial" w:hAnsi="Arial"/>
          <w:sz w:val="16"/>
          <w:szCs w:val="16"/>
          <w:color w:val="auto"/>
        </w:rPr>
        <w:t>set of core key performance indicators and ESG metrics. Additional information about our ESG program is set forth in our annual ESG report, available in the Responsibility section of the Company’s website.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5" w:lineRule="exact"/>
        <w:rPr>
          <w:sz w:val="20"/>
          <w:szCs w:val="20"/>
          <w:color w:val="auto"/>
        </w:rPr>
      </w:pPr>
    </w:p>
    <w:p>
      <w:pPr>
        <w:ind w:right="540" w:firstLine="351"/>
        <w:spacing w:after="0" w:line="248" w:lineRule="auto"/>
        <w:rPr>
          <w:sz w:val="20"/>
          <w:szCs w:val="20"/>
          <w:color w:val="auto"/>
        </w:rPr>
      </w:pPr>
      <w:r>
        <w:rPr>
          <w:rFonts w:ascii="Arial" w:cs="Arial" w:eastAsia="Arial" w:hAnsi="Arial"/>
          <w:sz w:val="16"/>
          <w:szCs w:val="16"/>
          <w:color w:val="auto"/>
        </w:rPr>
        <w:t>Our website address is www.digitalbridge.com. Information contained on our website is not incorporated by reference into this Annual Report and such information does not constitute part of this report and any other report or documents the Company files with or furnishes to the SEC.</w:t>
      </w:r>
    </w:p>
    <w:p>
      <w:pPr>
        <w:spacing w:after="0" w:line="88" w:lineRule="exact"/>
        <w:rPr>
          <w:sz w:val="20"/>
          <w:szCs w:val="20"/>
          <w:color w:val="auto"/>
        </w:rPr>
      </w:pPr>
    </w:p>
    <w:p>
      <w:pPr>
        <w:ind w:firstLine="351"/>
        <w:spacing w:after="0" w:line="230" w:lineRule="auto"/>
        <w:rPr>
          <w:sz w:val="20"/>
          <w:szCs w:val="20"/>
          <w:color w:val="auto"/>
        </w:rPr>
      </w:pPr>
      <w:r>
        <w:rPr>
          <w:rFonts w:ascii="Arial" w:cs="Arial" w:eastAsia="Arial" w:hAnsi="Arial"/>
          <w:sz w:val="16"/>
          <w:szCs w:val="16"/>
          <w:color w:val="auto"/>
        </w:rPr>
        <w:t xml:space="preserve">Our annual reports on Form 10-K (including this Annual Report), quarterly reports on Form 10-Q, current reports on Form 8-K, proxy statements, and any amendments thereof are available on our website under “Shareholders—SEC Filings,” as soon as reasonably practicable after they are electronically filed with or furnished to the SEC, and may be viewed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are also available without charge from DigitalBridge Investor Relations. Information regarding our corporate governance, including our corporate governance guidelines, code of ethics and charters of committees of the Board of Directors, are available on our website under “Shareholders—Corporate Governance,” and any amendment to our corporate governance documents will be posted within the time period required by the rules of the SEC and the NYSE. In addition, corporate presentations are also made available on our website from time to time under “Shareholders—Events &amp; Presentations."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DigitalBridge Investor Relations can be contacted by mail at: DigitalBridge Group, Inc, 750 Park of Commerce Drive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Suite 210, Boca Raton, FL 33487, Attn: Investor Relations; or by telephone: (561) 570-4644, or by email: ir@digitalbridge.com.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1A. Risk Factors.</w:t>
      </w:r>
    </w:p>
    <w:p>
      <w:pPr>
        <w:spacing w:after="0" w:line="145" w:lineRule="exact"/>
        <w:rPr>
          <w:sz w:val="20"/>
          <w:szCs w:val="20"/>
          <w:color w:val="auto"/>
        </w:rPr>
      </w:pPr>
    </w:p>
    <w:p>
      <w:pPr>
        <w:ind w:left="6" w:right="20" w:firstLine="351"/>
        <w:spacing w:after="0" w:line="252" w:lineRule="auto"/>
        <w:rPr>
          <w:sz w:val="20"/>
          <w:szCs w:val="20"/>
          <w:color w:val="auto"/>
        </w:rPr>
      </w:pPr>
      <w:r>
        <w:rPr>
          <w:rFonts w:ascii="Arial" w:cs="Arial" w:eastAsia="Arial" w:hAnsi="Arial"/>
          <w:sz w:val="16"/>
          <w:szCs w:val="16"/>
          <w:i w:val="1"/>
          <w:iCs w:val="1"/>
          <w:color w:val="auto"/>
        </w:rPr>
        <w:t>The following risk factors and other information included in this Annual Report should be carefully considered. The risks and uncertainties described below are not the only ones we face. Additional risks and uncertainties not presently known to us that we currently deem immaterial or that generally apply to all businesses also may adversely impact our business. If any of the following risks occur, our business, financial condition, operating results, cash flow and liquidity could be materially adversely affected.</w:t>
      </w:r>
    </w:p>
    <w:p>
      <w:pPr>
        <w:spacing w:after="0" w:line="16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Risks Related to Our Business Strategy</w:t>
      </w:r>
    </w:p>
    <w:p>
      <w:pPr>
        <w:spacing w:after="0" w:line="97" w:lineRule="exact"/>
        <w:rPr>
          <w:sz w:val="20"/>
          <w:szCs w:val="20"/>
          <w:color w:val="auto"/>
        </w:rPr>
      </w:pPr>
    </w:p>
    <w:p>
      <w:pPr>
        <w:ind w:left="6" w:right="680"/>
        <w:spacing w:after="0" w:line="344" w:lineRule="auto"/>
        <w:rPr>
          <w:sz w:val="20"/>
          <w:szCs w:val="20"/>
          <w:color w:val="auto"/>
        </w:rPr>
      </w:pPr>
      <w:r>
        <w:rPr>
          <w:rFonts w:ascii="Arial" w:cs="Arial" w:eastAsia="Arial" w:hAnsi="Arial"/>
          <w:sz w:val="14"/>
          <w:szCs w:val="14"/>
          <w:b w:val="1"/>
          <w:bCs w:val="1"/>
          <w:color w:val="auto"/>
        </w:rPr>
        <w:t>Our business strategy includes owning and/or managing a wide array of asset classes within the digital infrastructure and real estate industry; however, we may not successfully implement this business strategy or ultimately realize any of the anticipated benefits of diversification.</w:t>
      </w:r>
    </w:p>
    <w:p>
      <w:pPr>
        <w:spacing w:after="0" w:line="24" w:lineRule="exact"/>
        <w:rPr>
          <w:sz w:val="20"/>
          <w:szCs w:val="20"/>
          <w:color w:val="auto"/>
        </w:rPr>
      </w:pPr>
    </w:p>
    <w:p>
      <w:pPr>
        <w:ind w:left="6" w:right="20" w:firstLine="351"/>
        <w:spacing w:after="0" w:line="278" w:lineRule="auto"/>
        <w:rPr>
          <w:sz w:val="20"/>
          <w:szCs w:val="20"/>
          <w:color w:val="auto"/>
        </w:rPr>
      </w:pPr>
      <w:r>
        <w:rPr>
          <w:rFonts w:ascii="Arial" w:cs="Arial" w:eastAsia="Arial" w:hAnsi="Arial"/>
          <w:sz w:val="14"/>
          <w:szCs w:val="14"/>
          <w:color w:val="auto"/>
        </w:rPr>
        <w:t>We plan to invest, directly or through our managed funds, in multiple asset classes within digital infrastructure and real estate, including but not limited to, data centers, cell towers, fiber networks, small cells and edge infrastructure, throughout the United States and the world. Although there can be no assurance that we will achieve this objective, we intend to build digital infrastructure and real estate portfolios based on key attributes including, but not limited to, (i) market dynamics,</w:t>
      </w:r>
    </w:p>
    <w:p>
      <w:pPr>
        <w:spacing w:after="0" w:line="2" w:lineRule="exact"/>
        <w:rPr>
          <w:sz w:val="20"/>
          <w:szCs w:val="20"/>
          <w:color w:val="auto"/>
        </w:rPr>
      </w:pPr>
    </w:p>
    <w:p>
      <w:pPr>
        <w:ind w:left="6" w:right="120" w:hanging="6"/>
        <w:spacing w:after="0" w:line="245"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quality, with a focus on hard-to-replicate assets, (iii) contract quality, with consideration given to contract duration, tenant quality, and tenant growth opportunities, (iv) management or platform potential, including through organic growth or acquisitions and (v) levels of leverage, based on the risk, duration and structure of cash flows of the underlying asset. However, we may not successfully implement our investment strategy. Even if we do fully achieve these goals, it is possible our multi-asset class portfolio will not perform as well as a portfolio that is concentrated in a particular type of digital assets.</w:t>
      </w:r>
    </w:p>
    <w:p>
      <w:pPr>
        <w:spacing w:after="0" w:line="91" w:lineRule="exact"/>
        <w:rPr>
          <w:sz w:val="20"/>
          <w:szCs w:val="20"/>
          <w:color w:val="auto"/>
        </w:rPr>
      </w:pPr>
    </w:p>
    <w:p>
      <w:pPr>
        <w:ind w:left="6" w:right="100" w:firstLine="351"/>
        <w:spacing w:after="0" w:line="245" w:lineRule="auto"/>
        <w:rPr>
          <w:sz w:val="20"/>
          <w:szCs w:val="20"/>
          <w:color w:val="auto"/>
        </w:rPr>
      </w:pPr>
      <w:r>
        <w:rPr>
          <w:rFonts w:ascii="Arial" w:cs="Arial" w:eastAsia="Arial" w:hAnsi="Arial"/>
          <w:sz w:val="16"/>
          <w:szCs w:val="16"/>
          <w:color w:val="auto"/>
        </w:rPr>
        <w:t>There are no limitations on the number or value of particular types of investments that we may make. Even though our investment strategy involves investing in multiple asset classes within digital infrastructure and real estate, we are not required to meet any diversification standards, including geographic diversification standards. Therefore, our investments may become concentrated in type or geographic location. As of the date of this report, substantially all of the digital investments on the Company’s balance sheet are data centers, primarily located in the United States. Our lack of diversification standards, along with our digital-focused investment strategy, could subject us to significant concentration risks with potentially adverse effects on our investment objectives.</w:t>
      </w:r>
    </w:p>
    <w:p>
      <w:pPr>
        <w:spacing w:after="0" w:line="72" w:lineRule="exact"/>
        <w:rPr>
          <w:sz w:val="20"/>
          <w:szCs w:val="20"/>
          <w:color w:val="auto"/>
        </w:rPr>
      </w:pPr>
    </w:p>
    <w:p>
      <w:pPr>
        <w:ind w:left="6" w:right="220"/>
        <w:spacing w:after="0" w:line="271" w:lineRule="auto"/>
        <w:rPr>
          <w:sz w:val="20"/>
          <w:szCs w:val="20"/>
          <w:color w:val="auto"/>
        </w:rPr>
      </w:pPr>
      <w:r>
        <w:rPr>
          <w:rFonts w:ascii="Arial" w:cs="Arial" w:eastAsia="Arial" w:hAnsi="Arial"/>
          <w:sz w:val="16"/>
          <w:szCs w:val="16"/>
          <w:b w:val="1"/>
          <w:bCs w:val="1"/>
          <w:color w:val="auto"/>
        </w:rPr>
        <w:t>Our status as an owner, operator and investment manager of digital infrastructure and real estate may adversely impact our stock price and our REIT status.</w:t>
      </w:r>
    </w:p>
    <w:p>
      <w:pPr>
        <w:spacing w:after="0" w:line="70" w:lineRule="exact"/>
        <w:rPr>
          <w:sz w:val="20"/>
          <w:szCs w:val="20"/>
          <w:color w:val="auto"/>
        </w:rPr>
      </w:pPr>
    </w:p>
    <w:p>
      <w:pPr>
        <w:ind w:left="6" w:right="80" w:firstLine="351"/>
        <w:spacing w:after="0" w:line="244" w:lineRule="auto"/>
        <w:rPr>
          <w:sz w:val="20"/>
          <w:szCs w:val="20"/>
          <w:color w:val="auto"/>
        </w:rPr>
      </w:pPr>
      <w:r>
        <w:rPr>
          <w:rFonts w:ascii="Arial" w:cs="Arial" w:eastAsia="Arial" w:hAnsi="Arial"/>
          <w:sz w:val="16"/>
          <w:szCs w:val="16"/>
          <w:color w:val="auto"/>
        </w:rPr>
        <w:t>We currently are a leading owner, operator and investment manager of digital infrastructure and real estate, which includes owning real estate assets on our balance sheet and operating an investment management platform. While we believe there are advantages to having both direct real estate investments and an investment management platform, these advantages may not be recognized by the investment community and, as a result, our stock price may be adversely affected. There are a very limited number of REITs pursuing an investment management growth strategy similar to our company, which may make it difficult for investors to value our overall business. If our company is perceived by investors as overly complex and difficult to analyze, our ability to raise capital and our stock price may be adversely impacted. We may decide to focus on either being an owner and operator of digital infrastructure and real estate on our balance sheet or operating an investment management platform, but not both.</w:t>
      </w:r>
    </w:p>
    <w:p>
      <w:pPr>
        <w:spacing w:after="0" w:line="94" w:lineRule="exact"/>
        <w:rPr>
          <w:sz w:val="20"/>
          <w:szCs w:val="20"/>
          <w:color w:val="auto"/>
        </w:rPr>
      </w:pPr>
    </w:p>
    <w:p>
      <w:pPr>
        <w:ind w:left="6" w:firstLine="351"/>
        <w:spacing w:after="0" w:line="244" w:lineRule="auto"/>
        <w:rPr>
          <w:sz w:val="20"/>
          <w:szCs w:val="20"/>
          <w:color w:val="auto"/>
        </w:rPr>
      </w:pPr>
      <w:r>
        <w:rPr>
          <w:rFonts w:ascii="Arial" w:cs="Arial" w:eastAsia="Arial" w:hAnsi="Arial"/>
          <w:sz w:val="16"/>
          <w:szCs w:val="16"/>
          <w:color w:val="auto"/>
        </w:rPr>
        <w:t>In addition, the pace of growth of our investment management business, coupled with the completion of our legacy asset monetizations, may result in a decision to not continue as a REIT in 2022 or thereafter. If we elect not to continue as a REIT, we would be prohibited from electing to be a REIT for the four taxable years following the year in which we ceased to qualify as a REIT. If we are unable to acquire sufficient qualifying REIT assets in 2022 to offset our legacy asset monetizations and the growth in our investment management business, we may determine that it is not in our best interest to continue qualifying as a REIT. If we cease to qualify as a REIT, we would become subject to U.S. federal corporate income tax on our net taxable income and generally would no longer be required to distribute any of the Company’s net taxable income to our stockholders. The maximum U.S. federal income tax rate applicable to corporations currently is 21%. As a REIT, we are permitted to deduct any dividends paid on our stock from our REIT taxable income. While we currently do not pay a dividend on our common stock, we pay dividends on our approximately $883.5 million of outstanding preferred stock. If we cease to qualify as a REIT, we would not be able to deduct any dividends (including the preferred dividends we currently pay) from our taxable income, which may result in higher income tax expense. A decision to de-REIT may not result in any of the anticipated benefits to our company and could negatively and adversely affect our business, financial condition, results of operations, returns to stockholders and the market price of our common stock.</w:t>
      </w:r>
    </w:p>
    <w:p>
      <w:pPr>
        <w:spacing w:after="0" w:line="200" w:lineRule="exact"/>
        <w:rPr>
          <w:sz w:val="20"/>
          <w:szCs w:val="20"/>
          <w:color w:val="auto"/>
        </w:rPr>
      </w:pPr>
    </w:p>
    <w:p>
      <w:pPr>
        <w:spacing w:after="0" w:line="31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firstLine="351"/>
        <w:spacing w:after="0" w:line="245" w:lineRule="auto"/>
        <w:rPr>
          <w:sz w:val="20"/>
          <w:szCs w:val="20"/>
          <w:color w:val="auto"/>
        </w:rPr>
      </w:pPr>
      <w:r>
        <w:rPr>
          <w:rFonts w:ascii="Arial" w:cs="Arial" w:eastAsia="Arial" w:hAnsi="Arial"/>
          <w:sz w:val="16"/>
          <w:szCs w:val="16"/>
          <w:color w:val="auto"/>
        </w:rPr>
        <w:t>Moreover, our investment management business may involve risks not otherwise present with a direct investment in an investment vehicle’s target assets, including, among others, investors failing to meet their capital commitment obligations, restrictions on our ability to transfer our interests in an investment vehicle, litigation risk between us and our investors, and exposure to potential liability in connection with our obligations as an investment vehicle’s general partner/manager.</w:t>
      </w:r>
    </w:p>
    <w:p>
      <w:pPr>
        <w:spacing w:after="0" w:line="73" w:lineRule="exact"/>
        <w:rPr>
          <w:sz w:val="20"/>
          <w:szCs w:val="20"/>
          <w:color w:val="auto"/>
        </w:rPr>
      </w:pPr>
    </w:p>
    <w:p>
      <w:pPr>
        <w:jc w:val="both"/>
        <w:ind w:right="600"/>
        <w:spacing w:after="0" w:line="257" w:lineRule="auto"/>
        <w:rPr>
          <w:sz w:val="20"/>
          <w:szCs w:val="20"/>
          <w:color w:val="auto"/>
        </w:rPr>
      </w:pPr>
      <w:r>
        <w:rPr>
          <w:rFonts w:ascii="Arial" w:cs="Arial" w:eastAsia="Arial" w:hAnsi="Arial"/>
          <w:sz w:val="16"/>
          <w:szCs w:val="16"/>
          <w:b w:val="1"/>
          <w:bCs w:val="1"/>
          <w:color w:val="auto"/>
        </w:rPr>
        <w:t>Pandemics or disease outbreaks, such as the current novel coronavirus (COVID-19) pandemic, have and the COVID-19 pandemic is expected to continue to, significantly disrupt, and may materially adversely impact, our business, financial condition and ability to execute on our business objectives.</w:t>
      </w:r>
    </w:p>
    <w:p>
      <w:pPr>
        <w:spacing w:after="0" w:line="82" w:lineRule="exact"/>
        <w:rPr>
          <w:sz w:val="20"/>
          <w:szCs w:val="20"/>
          <w:color w:val="auto"/>
        </w:rPr>
      </w:pPr>
    </w:p>
    <w:p>
      <w:pPr>
        <w:ind w:firstLine="351"/>
        <w:spacing w:after="0" w:line="284" w:lineRule="auto"/>
        <w:rPr>
          <w:sz w:val="20"/>
          <w:szCs w:val="20"/>
          <w:color w:val="auto"/>
        </w:rPr>
      </w:pPr>
      <w:r>
        <w:rPr>
          <w:rFonts w:ascii="Arial" w:cs="Arial" w:eastAsia="Arial" w:hAnsi="Arial"/>
          <w:sz w:val="14"/>
          <w:szCs w:val="14"/>
          <w:color w:val="auto"/>
        </w:rPr>
        <w:t>The COVID-19 pandemic has had and may continue to have, and another pandemic in the future could have, repercussions across regional and global economies and financial markets. The outbreak of COVID-19, which was declared a pandemic by the World Health Organization in March 2020, has significantly adversely impacted global economic activity and has contributed to significant volatility in financial markets. The preventative measures taken to alleviate the public health crisis, including significant restrictions on travel between the United States and specific countries, and “shelter-in-place” or “stay-at-home” orders issued by local, state and federal authorities, has resulted in significant supply chain, transportation and labor disruptions and has adversely impacted global commercial activity across many industries. These disruptions, together with government stimulus and spending programs, have caused inflation to rise to its highest levels in the United States in nearly four decades, and concerns of persistent inflation are expected to lead to an environment of rising interest rates, which may negatively and adversely affect our business, our ability to effectuate our objectives and strategies, our financial condition and our results of operations.</w:t>
      </w:r>
    </w:p>
    <w:p>
      <w:pPr>
        <w:spacing w:after="0" w:line="66" w:lineRule="exact"/>
        <w:rPr>
          <w:sz w:val="20"/>
          <w:szCs w:val="20"/>
          <w:color w:val="auto"/>
        </w:rPr>
      </w:pPr>
    </w:p>
    <w:p>
      <w:pPr>
        <w:jc w:val="both"/>
        <w:ind w:right="260" w:firstLine="351"/>
        <w:spacing w:after="0" w:line="246" w:lineRule="auto"/>
        <w:rPr>
          <w:sz w:val="20"/>
          <w:szCs w:val="20"/>
          <w:color w:val="auto"/>
        </w:rPr>
      </w:pPr>
      <w:r>
        <w:rPr>
          <w:rFonts w:ascii="Arial" w:cs="Arial" w:eastAsia="Arial" w:hAnsi="Arial"/>
          <w:sz w:val="16"/>
          <w:szCs w:val="16"/>
          <w:color w:val="auto"/>
        </w:rPr>
        <w:t>Many experts predict that the pandemic will trigger, or may have already triggered, a prolonged period of global economic slowdown and continued supply chain issues. A sustained downturn in the U.S. economy could delay or negatively impact our ability to raise capital for our current or anticipated digital-focused investment vehicles, which could constrict our ability to grow our business.</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addition, COVID-19 has had an adverse impact on the business and financial condition of publicly-traded mortgage REITs, including BRSP, in which the Company owns an approximate 29% interest. The borrowers of BRSP’s real estate debt investments, including in the office, industrial, multifamily and hotel industries, have and will continue to be affected to the extent that COVID-19’s persistence reduces occupancy, increases the cost of operation, limits hours or necessitates the closure of the properties collateralizing such debt investments. In addition, governmental measures, such as quarantines, states of emergencies, restrictions on travel, stay-at-home orders, and other measures taken to curb the spread of the COVID-19 may negatively impact the ability of BRSP’s borrowers or tenants to continue to obtain necessary goods and services or provide adequate staffing, which may also adversely affect BRSP's loan investments and operating results and, consequently, its share price and ability to pay dividends to us. The Company’s FFO is directly impacted by BRSP’s performance as a result of the Company's ownership interest in BRSP and, to the extent BRSP continues to experience operational challenges as a result of COVID-19, our FFO will similarly be adversely impacted.</w:t>
      </w:r>
    </w:p>
    <w:p>
      <w:pPr>
        <w:spacing w:after="0" w:line="94"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In addition, the COVID-19 pandemic, or a future pandemic, could have material and adverse effects on our business, income, cash flow, results of operations, financial condition, liquidity, prospects and ability to service our debt obligations and has, and may continue to have, a material and adverse effect on our ability to pay dividends and other distributions to our stockholders due to, among other factors:</w:t>
      </w:r>
    </w:p>
    <w:p>
      <w:pPr>
        <w:spacing w:after="0" w:line="89" w:lineRule="exact"/>
        <w:rPr>
          <w:sz w:val="20"/>
          <w:szCs w:val="20"/>
          <w:color w:val="auto"/>
        </w:rPr>
      </w:pPr>
    </w:p>
    <w:p>
      <w:pPr>
        <w:ind w:left="480" w:right="160" w:hanging="136"/>
        <w:spacing w:after="0" w:line="246" w:lineRule="auto"/>
        <w:tabs>
          <w:tab w:leader="none" w:pos="4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maturing liabilities on a timely basis and our tenants/borrowers’ abilities to fund their business operations and meet their obligations to us;</w:t>
      </w:r>
    </w:p>
    <w:p>
      <w:pPr>
        <w:spacing w:after="0" w:line="89" w:lineRule="exact"/>
        <w:rPr>
          <w:rFonts w:ascii="Arial" w:cs="Arial" w:eastAsia="Arial" w:hAnsi="Arial"/>
          <w:sz w:val="16"/>
          <w:szCs w:val="16"/>
          <w:color w:val="auto"/>
        </w:rPr>
      </w:pPr>
    </w:p>
    <w:p>
      <w:pPr>
        <w:ind w:left="480" w:right="480" w:hanging="136"/>
        <w:spacing w:after="0" w:line="246" w:lineRule="auto"/>
        <w:tabs>
          <w:tab w:leader="none" w:pos="4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raising capital and attracting investors at our current and any future managed investment vehicles due to the volatility and instability in global financial markets may constrain the success of our managed investment vehicles and consequently our ability to sustain and grow our investment management business;</w:t>
      </w:r>
    </w:p>
    <w:p>
      <w:pPr>
        <w:spacing w:after="0" w:line="89" w:lineRule="exact"/>
        <w:rPr>
          <w:rFonts w:ascii="Arial" w:cs="Arial" w:eastAsia="Arial" w:hAnsi="Arial"/>
          <w:sz w:val="16"/>
          <w:szCs w:val="16"/>
          <w:color w:val="auto"/>
        </w:rPr>
      </w:pPr>
    </w:p>
    <w:p>
      <w:pPr>
        <w:ind w:left="480" w:right="100" w:hanging="136"/>
        <w:spacing w:after="0" w:line="248" w:lineRule="auto"/>
        <w:tabs>
          <w:tab w:leader="none" w:pos="4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financial impact has and could continue to negatively impact our ability to pay dividends to our stockholders or could result in a determination to reduce the size of one or more dividends;</w:t>
      </w:r>
    </w:p>
    <w:p>
      <w:pPr>
        <w:spacing w:after="0" w:line="87" w:lineRule="exact"/>
        <w:rPr>
          <w:rFonts w:ascii="Arial" w:cs="Arial" w:eastAsia="Arial" w:hAnsi="Arial"/>
          <w:sz w:val="16"/>
          <w:szCs w:val="16"/>
          <w:color w:val="auto"/>
        </w:rPr>
      </w:pPr>
    </w:p>
    <w:p>
      <w:pPr>
        <w:ind w:left="480" w:right="180" w:hanging="136"/>
        <w:spacing w:after="0" w:line="246" w:lineRule="auto"/>
        <w:tabs>
          <w:tab w:leader="none" w:pos="4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financial impact could negatively impact our future compliance with financial covenants of our securitized debt instruments and other debt agreements and could result in a default and potentially an acceleration of indebtedness, which non-compliance could also negatively impact our ability to make additional borrowings or otherwise pay dividends to our stockholders;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right="80" w:hanging="136"/>
        <w:spacing w:after="0" w:line="317" w:lineRule="auto"/>
        <w:tabs>
          <w:tab w:leader="none" w:pos="4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worsening of estimated future cash flows due to a change in our plans, policies, or views of market and economic conditions as it relates to one or more of our adversely impacted properties could result in fair value decreases and the recognition of substantial impairment charges imposed on our assets;</w:t>
      </w:r>
    </w:p>
    <w:p>
      <w:pPr>
        <w:spacing w:after="0" w:line="42" w:lineRule="exact"/>
        <w:rPr>
          <w:rFonts w:ascii="Arial" w:cs="Arial" w:eastAsia="Arial" w:hAnsi="Arial"/>
          <w:sz w:val="14"/>
          <w:szCs w:val="14"/>
          <w:color w:val="auto"/>
        </w:rPr>
      </w:pPr>
    </w:p>
    <w:p>
      <w:pPr>
        <w:ind w:left="480" w:hanging="136"/>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credit quality of our customers/borrowers could be negatively impacted and we may significantly increase our allowance for doubtful accounts;</w:t>
      </w:r>
    </w:p>
    <w:p>
      <w:pPr>
        <w:spacing w:after="0" w:line="96" w:lineRule="exact"/>
        <w:rPr>
          <w:rFonts w:ascii="Arial" w:cs="Arial" w:eastAsia="Arial" w:hAnsi="Arial"/>
          <w:sz w:val="16"/>
          <w:szCs w:val="16"/>
          <w:color w:val="auto"/>
        </w:rPr>
      </w:pPr>
    </w:p>
    <w:p>
      <w:pPr>
        <w:ind w:left="480" w:right="380" w:hanging="136"/>
        <w:spacing w:after="0" w:line="248" w:lineRule="auto"/>
        <w:tabs>
          <w:tab w:leader="none" w:pos="4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BRSP's trading price and the impact on the carrying value of the Company's investment in BRSP, including whether the Company will recognize further other-than-temporary impairments on such BRSP investment in addition to those recognized in the second quarter 2020;</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and may continue to implement reductions in our workforce, which could adversely impact our ability to conduct our operations effectively;</w:t>
      </w:r>
    </w:p>
    <w:p>
      <w:pPr>
        <w:spacing w:after="0" w:line="96" w:lineRule="exact"/>
        <w:rPr>
          <w:rFonts w:ascii="Arial" w:cs="Arial" w:eastAsia="Arial" w:hAnsi="Arial"/>
          <w:sz w:val="16"/>
          <w:szCs w:val="16"/>
          <w:color w:val="auto"/>
        </w:rPr>
      </w:pPr>
    </w:p>
    <w:p>
      <w:pPr>
        <w:ind w:left="480" w:right="20" w:hanging="136"/>
        <w:spacing w:after="0" w:line="245" w:lineRule="auto"/>
        <w:tabs>
          <w:tab w:leader="none" w:pos="4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unanticipated costs and operating expenses and decreased anticipated revenue related to compliance with regulations, such as additional expenses related to staff working remotely, requirements to provide employees with additional mandatory paid time off and increased expenses related to sanitation measures performed at each of our properties, as well as additional expenses incurred to protect the welfare of our employees, such as expanded access to health services;</w:t>
      </w:r>
    </w:p>
    <w:p>
      <w:pPr>
        <w:spacing w:after="0" w:line="90" w:lineRule="exact"/>
        <w:rPr>
          <w:rFonts w:ascii="Arial" w:cs="Arial" w:eastAsia="Arial" w:hAnsi="Arial"/>
          <w:sz w:val="16"/>
          <w:szCs w:val="16"/>
          <w:color w:val="auto"/>
        </w:rPr>
      </w:pPr>
    </w:p>
    <w:p>
      <w:pPr>
        <w:ind w:left="480" w:right="60" w:hanging="136"/>
        <w:spacing w:after="0" w:line="317" w:lineRule="auto"/>
        <w:tabs>
          <w:tab w:leader="none" w:pos="4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level of dependence on the Internet, stemming from employees working remotely, and increases in malware campaigns and phishing attacks preying on the uncertainties surrounding COVID-19, which may increase our vulnerability to cyber attacks and cause disruptions to our internal control procedures;</w:t>
      </w:r>
    </w:p>
    <w:p>
      <w:pPr>
        <w:spacing w:after="0" w:line="42" w:lineRule="exact"/>
        <w:rPr>
          <w:rFonts w:ascii="Arial" w:cs="Arial" w:eastAsia="Arial" w:hAnsi="Arial"/>
          <w:sz w:val="14"/>
          <w:szCs w:val="14"/>
          <w:color w:val="auto"/>
        </w:rPr>
      </w:pPr>
    </w:p>
    <w:p>
      <w:pPr>
        <w:ind w:left="480" w:right="140" w:hanging="136"/>
        <w:spacing w:after="0" w:line="248" w:lineRule="auto"/>
        <w:tabs>
          <w:tab w:leader="none" w:pos="4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depend, to a significant extent, upon the efforts of our senior management team. If one or more members of our senior management team become sick with COVID-19, the loss of services of such member could adversely affect our business;</w:t>
      </w:r>
    </w:p>
    <w:p>
      <w:pPr>
        <w:spacing w:after="0" w:line="87" w:lineRule="exact"/>
        <w:rPr>
          <w:rFonts w:ascii="Arial" w:cs="Arial" w:eastAsia="Arial" w:hAnsi="Arial"/>
          <w:sz w:val="16"/>
          <w:szCs w:val="16"/>
          <w:color w:val="auto"/>
        </w:rPr>
      </w:pPr>
    </w:p>
    <w:p>
      <w:pPr>
        <w:ind w:left="480" w:right="260" w:hanging="136"/>
        <w:spacing w:after="0" w:line="248" w:lineRule="auto"/>
        <w:tabs>
          <w:tab w:leader="none" w:pos="4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negative impact on the health of our personnel, particularly if a significant number of them are impacted, could result in a deterioration in our ability to ensure business continuity during a disruption; and</w:t>
      </w:r>
    </w:p>
    <w:p>
      <w:pPr>
        <w:spacing w:after="0" w:line="87" w:lineRule="exact"/>
        <w:rPr>
          <w:rFonts w:ascii="Arial" w:cs="Arial" w:eastAsia="Arial" w:hAnsi="Arial"/>
          <w:sz w:val="16"/>
          <w:szCs w:val="16"/>
          <w:color w:val="auto"/>
        </w:rPr>
      </w:pPr>
    </w:p>
    <w:p>
      <w:pPr>
        <w:ind w:left="480" w:right="120" w:hanging="136"/>
        <w:spacing w:after="0" w:line="298" w:lineRule="auto"/>
        <w:tabs>
          <w:tab w:leader="none" w:pos="4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continued severity, duration, transmission rate and geographic spread of COVID-19 in the United States and elsewhere, the extent and effectiveness of any other containment measures implemented, public adoption rates of COVID-19 vaccines, including booster shots, the duration of associated immunity and the effectiveness of vaccines, booster shots and treatments against emerging variants of COVID-19, including the Delta and Omicron variants.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Moreover, the impact of COVID-19 pandemic may also exacerbate many of the risks described in this Annual Report.</w:t>
      </w:r>
    </w:p>
    <w:p>
      <w:pPr>
        <w:spacing w:after="0" w:line="97"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Given the ongoing nature of the outbreak, at this time we cannot reasonably estimate the magnitude of the ultimate impact that COVID-19 will have on our business, financial performance and operating results. We believe COVID-19’s adverse impact on our business, financial performance and operating results will be significantly driven by a number of factors that we are unable to predict or control, including, for example: the severity and duration of the pandemic; the pandemic’s impact on the U.S. and global economies; the timing, scope and effectiveness of additional governmental responses to the pandemic; the timing and speed of economic recovery, including the availability of a treatment or vaccination for COVID-19; and the negative impact on our fund investors, vendors and other business partners that may indirectly adversely affect us.</w:t>
      </w:r>
    </w:p>
    <w:p>
      <w:pPr>
        <w:spacing w:after="0" w:line="76"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Risks Related to Our Business</w:t>
      </w:r>
    </w:p>
    <w:p>
      <w:pPr>
        <w:spacing w:after="0" w:line="9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b w:val="1"/>
          <w:bCs w:val="1"/>
          <w:color w:val="auto"/>
        </w:rPr>
        <w:t>We require capital to continue to operate and grow our business, and the failure to obtain such capital, either through the public or private markets or other third-party sources of capital, would have a material adverse effect on our business, financial condition, results of operations and ability to maintain our distributions to our stockholders.</w:t>
      </w:r>
    </w:p>
    <w:p>
      <w:pPr>
        <w:spacing w:after="0" w:line="82"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We require capital to fund acquisitions and originations of our target investments, to fund our operations, including overhead costs, to fund distributions to our stockholders and to repay principal and interest on our borrowings. We expect to meet our capital requirements using cash on hand, cash flow generated from our operations and investment management activities, sale proceeds from non-core investments and principal and interest payments received from legacy debt investments. However, because of distribution requirements imposed on us to qualify as a REIT which generally requires that we distribute to our stockholders 90% of our taxable income and that we pay tax on any undistributed income, our ability to finance our growth must largely be funded by external sources of capital. As a result, we may have to rely on third-party sources of capital, including public and private offerings of securities and debt financings.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In addition, the fee income generated from or expected to be generated from our current and future managed investment vehicles is driven, both directly and indirectly, by the ability to raise capital at such investment vehicles. Our ability to raise capital at our company, as well as at our current and future managed investment vehicles, through the public and private capital markets depends on a number of factors, including many that are outside our control, such as the general economic environment, the regulatory environment, competition in the marketplace, media attention and investor investment allocation preferences. Poor performance by, or negative publicity about, our Company, our strategy, our management or our managed companies could also make it more difficult for us or our managed investment vehicles to raise new capital. Investors in our managed companies may decline to invest in future vehicles we manage, and investors may withdraw their investments in our managed companies (subject to the terms of agreements with such managed company) as a result of poor performance or negative perceptions of our Company or our leadership. In addition, third-party financing may not be available to us when needed, on favorable terms, or at all. If we are unable to obtain adequate financing to fund or grow our business, it would have a material adverse effect on our ability to acquire additional assets and make our debt service payments and our financial condition, results of operations and the ability to fund our distributions to our stockholders would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changes in general economic and political conditions could adversely impact our business, financial condition and results of operations.</w:t>
      </w:r>
    </w:p>
    <w:p>
      <w:pPr>
        <w:spacing w:after="0" w:line="115"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Our business is materially affected by general economic and political conditions in the United States and globally, and our ability to manage our exposure to these conditions may be very limited. These conditions and/or events can adversely affect our business in many ways, including by reducing the ability of our managed vehicles to raise or deploy capital, reducing the value or performance of our investments and the investments made by our managed vehicles and making it more difficult for us and our managed vehicles to realize value from existing investments. Adverse changes in market and economic conditions in the United States or the countries or regions in which we or our managed vehicles invest would likely have a negative impact on the value of our assets and spending and demand for digital and communications infrastructure and technology and, accordingly, our and our managed vehicle’s financial performance, the market prices of our securities, and our ability to pay dividends.</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condition of the digital infrastructure and real estate markets in which we operate is cyclical and depends on the condition of the economy in the United States, Europe, China and elsewhere as a whole and to the perceptions of investors of the overall economic outlook. In 2021, inflation in the United States reached its highest level in nearly four decades and there are concerns of persistent inflation in the future, both domestically and internationally, which may lead to central banks to take actions to raise interest rates. Rising interest rates, declining employment levels, declining demand for real estate, declining real estate values or periods of general economic slowdown or recession, increasing political instability or uncertainty, or the perception that any of these events may occur have negatively impacted the digital infrastructure and real estate markets in the past and may in the future negatively impact our operating performance. In addition, the economic condition of each local market where we operate may depend on one or more key industries within that market, which, in turn, makes our business sensitive to the performance of those industries.</w:t>
      </w:r>
    </w:p>
    <w:p>
      <w:pPr>
        <w:spacing w:after="0" w:line="94" w:lineRule="exact"/>
        <w:rPr>
          <w:sz w:val="20"/>
          <w:szCs w:val="20"/>
          <w:color w:val="auto"/>
        </w:rPr>
      </w:pPr>
    </w:p>
    <w:p>
      <w:pPr>
        <w:jc w:val="both"/>
        <w:ind w:right="20" w:firstLine="351"/>
        <w:spacing w:after="0" w:line="245" w:lineRule="auto"/>
        <w:rPr>
          <w:sz w:val="20"/>
          <w:szCs w:val="20"/>
          <w:color w:val="auto"/>
        </w:rPr>
      </w:pPr>
      <w:r>
        <w:rPr>
          <w:rFonts w:ascii="Arial" w:cs="Arial" w:eastAsia="Arial" w:hAnsi="Arial"/>
          <w:sz w:val="16"/>
          <w:szCs w:val="16"/>
          <w:color w:val="auto"/>
        </w:rPr>
        <w:t>In addition, political uncertainty may contribute to potential risks beyond our control, such as changes in governmental policy on a variety of matters including trade, manufacturing, development and investment, the restructuring of trade agreements, and uncertainties associated with political gridlock. Any such changes in U.S. or international political conditions, or political uncertainty and instability, in the territories and countries where we or our tenants and customers operate could adversely affect our operating results, our business and the market price of our stock.</w:t>
      </w:r>
    </w:p>
    <w:p>
      <w:pPr>
        <w:spacing w:after="0" w:line="91"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We have only a limited ability to change our portfolio promptly in response to changing economic, political or other conditions, which impedes us from responding quickly to changes in the performance of our investments and could adversely impact our business, financial condition and results of operations. Additionally, certain significant expenditures, such as debt service costs, real estate taxes, and operating and maintenance costs, are generally not reduced when market conditions are poor.</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b w:val="1"/>
          <w:bCs w:val="1"/>
          <w:color w:val="auto"/>
        </w:rPr>
        <w:t>The digital infrastructure and real estate industry is highly competitive and such competition may materially and adversely affect our performance and ability to execute our strategy.</w:t>
      </w:r>
    </w:p>
    <w:p>
      <w:pPr>
        <w:spacing w:after="0" w:line="7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digital infrastructure and real estate business is highly competitive based on a number of factors, including brand recognition, reputation and pricing pressure on the products and services offered by the companies in which we expect to invest. A reduction in the perceived quality of services and products offered, or if our competitors offer rental, leasing or similar rates at below market rates or below the rates charged by the companies in which we invest, the performance of the companies in which we invest could be adversely impacted and, as a result, our ability to raise third party capital in our current and future digital focused private equity funds could be adversely impacted. In the event that we are unable to continue to grow our digital real estate infrastructure platform as a result of our poor performance or lack of available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funding for our investments, our business, results of operations, financial condition and prospects would be materially adversely affected.</w:t>
      </w:r>
    </w:p>
    <w:p>
      <w:pPr>
        <w:spacing w:after="0" w:line="97"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We are also subject to significant competition for attractive investment opportunities from other digital investors, some of which have greater financial resources than us, including publicly-traded REITs, non-traded REITs, insurance companies, commercial and investment banking firms, private institutional funds, hedge funds, private equity funds and other investors. Some of our competitors and potential competitors have significant advantages over us, including greater name recognition, longer or more favorable operating histories, pre-existing relationships with current or potential customers, significantly greater financial, marketing and other resources and more ready access to capital which allow them to respond more quickly to new or changing opportunities. We may not be able to compete successfully for investments. In addition, the number of entities and the amount of funds competing for suitable investments may continue to increase. To the extent we pay higher prices for our target investments or acquire assets on less advantageous terms to us, or are required to do so in the future, due to increased competition, our returns may be lower and the value of our assets may not increase or may decrease significantly below the amount we paid for such assets. If such events occur, we may experience lower returns on our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in Europe and elsewhere expose our business to risks inherent in conducting business in foreign markets.</w:t>
      </w:r>
    </w:p>
    <w:p>
      <w:pPr>
        <w:spacing w:after="0" w:line="115" w:lineRule="exact"/>
        <w:rPr>
          <w:sz w:val="20"/>
          <w:szCs w:val="20"/>
          <w:color w:val="auto"/>
        </w:rPr>
      </w:pPr>
    </w:p>
    <w:p>
      <w:pPr>
        <w:ind w:right="340" w:firstLine="351"/>
        <w:spacing w:after="0" w:line="248" w:lineRule="auto"/>
        <w:rPr>
          <w:sz w:val="20"/>
          <w:szCs w:val="20"/>
          <w:color w:val="auto"/>
        </w:rPr>
      </w:pPr>
      <w:r>
        <w:rPr>
          <w:rFonts w:ascii="Arial" w:cs="Arial" w:eastAsia="Arial" w:hAnsi="Arial"/>
          <w:sz w:val="16"/>
          <w:szCs w:val="16"/>
          <w:color w:val="auto"/>
        </w:rPr>
        <w:t>A portion of our revenues are sourced from our foreign operations in Europe and elsewhere or other foreign markets. Accordingly, our firm-wide results of operations depend in part on our foreign operations. Conducting business abroad carries significant risks, including:</w:t>
      </w:r>
    </w:p>
    <w:p>
      <w:pPr>
        <w:spacing w:after="0" w:line="88" w:lineRule="exact"/>
        <w:rPr>
          <w:sz w:val="20"/>
          <w:szCs w:val="20"/>
          <w:color w:val="auto"/>
        </w:rPr>
      </w:pPr>
    </w:p>
    <w:p>
      <w:pPr>
        <w:ind w:left="480" w:right="180" w:hanging="136"/>
        <w:spacing w:after="0" w:line="248"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REIT tax status not being respected under foreign laws, in which case any income or gains from foreign sources could be subject to foreign taxes and withholding taxes;</w:t>
      </w:r>
    </w:p>
    <w:p>
      <w:pPr>
        <w:spacing w:after="0" w:line="87" w:lineRule="exact"/>
        <w:rPr>
          <w:rFonts w:ascii="Arial" w:cs="Arial" w:eastAsia="Arial" w:hAnsi="Arial"/>
          <w:sz w:val="16"/>
          <w:szCs w:val="16"/>
          <w:color w:val="auto"/>
        </w:rPr>
      </w:pPr>
    </w:p>
    <w:p>
      <w:pPr>
        <w:ind w:left="480" w:hanging="136"/>
        <w:spacing w:after="0" w:line="248"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real estate and other tax rates, the tax treatment of transaction structures and other changes in operating expenses in a particular country where we have an investment;</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restrictions and limitations relating to the repatriation of profits;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complexity and costs of staffing and managing international operations;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burden of complying with multiple and potentially conflicting laws;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relative interest rates;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translation and transaction risks related to fluctuations in foreign currency and exchange rates;</w:t>
      </w:r>
    </w:p>
    <w:p>
      <w:pPr>
        <w:spacing w:after="0" w:line="96" w:lineRule="exact"/>
        <w:rPr>
          <w:rFonts w:ascii="Arial" w:cs="Arial" w:eastAsia="Arial" w:hAnsi="Arial"/>
          <w:sz w:val="16"/>
          <w:szCs w:val="16"/>
          <w:color w:val="auto"/>
        </w:rPr>
      </w:pPr>
    </w:p>
    <w:p>
      <w:pPr>
        <w:ind w:left="480" w:right="160" w:hanging="136"/>
        <w:spacing w:after="0" w:line="248"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lack of uniform accounting standards (including availability of information in accordance with accounting principles generally accepted in the United States ("GAAP"));</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unexpected changes in regulatory requirements;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of different business cycles and economic instability;</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political instability and civil unrest;</w:t>
      </w:r>
    </w:p>
    <w:p>
      <w:pPr>
        <w:spacing w:after="0" w:line="96" w:lineRule="exact"/>
        <w:rPr>
          <w:rFonts w:ascii="Arial" w:cs="Arial" w:eastAsia="Arial" w:hAnsi="Arial"/>
          <w:sz w:val="16"/>
          <w:szCs w:val="16"/>
          <w:color w:val="auto"/>
        </w:rPr>
      </w:pPr>
    </w:p>
    <w:p>
      <w:pPr>
        <w:ind w:left="480" w:right="240" w:hanging="136"/>
        <w:spacing w:after="0" w:line="248"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and logistical barriers to enforcing our contractual rights, including in perfecting our security interests, collecting accounts receivable, foreclosing on secured assets and protecting our interests as a creditor in bankruptcies in certain geographic regions;</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 ownership restrictions on foreign operations;</w:t>
      </w:r>
    </w:p>
    <w:p>
      <w:pPr>
        <w:spacing w:after="0" w:line="96" w:lineRule="exact"/>
        <w:rPr>
          <w:rFonts w:ascii="Arial" w:cs="Arial" w:eastAsia="Arial" w:hAnsi="Arial"/>
          <w:sz w:val="16"/>
          <w:szCs w:val="16"/>
          <w:color w:val="auto"/>
        </w:rPr>
      </w:pPr>
    </w:p>
    <w:p>
      <w:pPr>
        <w:ind w:left="480" w:right="440" w:hanging="136"/>
        <w:spacing w:after="0" w:line="248"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U.S. laws affecting operations outside of the United States, including sanctions laws, or anti-bribery laws such as the Foreign Corrupt Practices Act (“FCPA”); and</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geographic, time zone, language and cultural differences between personnel in different areas of the world.</w:t>
      </w:r>
    </w:p>
    <w:p>
      <w:pPr>
        <w:spacing w:after="0" w:line="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4"/>
          <w:szCs w:val="14"/>
          <w:color w:val="auto"/>
        </w:rPr>
        <w:t>Each of these risks might adversely affect our performance and impair our ability to make distributions to our stockholders required to qualify and remain qualified as a REIT. In addition, there is generally less publicly available information about foreign companies and a lack of uniform financial accounting standards and practices (including the availability of information in accordance with GAAP) which could impair our ability to analyze transactions and receive timely and accurate financial information from our investments necessary to meet our reporting obligations to financial institutions or governmental or regulatory agencies.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possible risks associated with natural disasters, wildfires, weather events, and the physical effects and other impacts of climate change.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We are subject to the risks associated with natural disasters, wildfires, weather events, and the physical effects and other impacts of climate change, any of which could have a material adverse effect on our properties, operations and business. Over time, our properties located in coastal markets and other areas that may be impacted by climate change are expected to experience increases in storm intensity and rising sea-levels that may cause damage to our properties. As a result, we could become subject to significant losses and/or repair costs that may or may not be fully covered by insurance. Other markets may experience prolonged variations in temperature or precipitation that significantly increase energy costs or result in additional regulatory burdens, such as stricter energy efficiency standards. Weather events and climate change may also affect our business by increasing the cost of (or making unavailable) property insurance on terms we find acceptable in areas most vulnerable to such events, increasing operating costs, such as energy costs, and requiring us to expend funds as we seek to repair and protect our properties against such risks. There can be no assurance that natural disasters, wildfires, weather events, or climate change will not have a material adverse effect on our properties, operations or business.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increasing focus by our fund investors, our stockholders and regulators on environmental, social and governance (“ESG”) matters.</w:t>
      </w:r>
    </w:p>
    <w:p>
      <w:pPr>
        <w:spacing w:after="0" w:line="138"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Our fund investors, stockholders, regulators and other stakeholders are increasingly focused on ESG matters. Certain fund investors, including public pension funds, have considered our record of socially responsible investing and other ESG factors in determining whether to invest in our funds. Similarly, certain of our stockholders, particularly institutional investors, use third-party benchmarks or scores to measure our ESG practices, and use such information to decide whether to invest in our common stock or engage with us to require changes to our practices. If our ESG practices do not meet the standards set by these fund investors or stockholders, they may choose not to invest in our funds or exclude our common stock from their investments, and we may face reputational challenges by other stakeholders. The occurrence of any of the foregoing could have a material adverse impact on new fundraises and negatively affect the price of our stock. In addition, there has also been an increased regulatory focus on ESG-related practices by investment managers by the SEC and other regulators. If regulators disagree with the procedures or standards we use for ESG investing, or new regulation or legislation requires a methodology of measuring or disclosing ESG impact that is different from our current practice, our business and reputation could be adversely affected.</w:t>
      </w:r>
    </w:p>
    <w:p>
      <w:pPr>
        <w:spacing w:after="0" w:line="76"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color w:val="auto"/>
        </w:rPr>
        <w:t>We depend on the development and growth of a balanced customer base, including key customers, and failure to attract, grow and retain this base of customers or future consolidation in the technology industry could harm our business and operating results.</w:t>
      </w:r>
    </w:p>
    <w:p>
      <w:pPr>
        <w:spacing w:after="0" w:line="7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Our ability to maximize operating revenues depends on our ability to develop and grow a balanced customer base, consisting of a variety of companies, including cloud and IT service providers, network providers and other technology companies. We consider certain of these customers to be key in that they attract and assist in retaining other customers. Our ability to attract and maintain customers depends on a variety of factors, including the demand for data center space and other digital infrastructure and our operating reliability and security. In addition, our customer base may shrink as a result of mergers or acquisitions, resulting in a reduced number of customers or potential customers. Any of these factors may increase churn and hinder the development, growth and retention of a balanced customer base, which could adversely affect our business, financial condition and results of operations.</w:t>
      </w:r>
    </w:p>
    <w:p>
      <w:pPr>
        <w:spacing w:after="0" w:line="76" w:lineRule="exact"/>
        <w:rPr>
          <w:sz w:val="20"/>
          <w:szCs w:val="20"/>
          <w:color w:val="auto"/>
        </w:rPr>
      </w:pPr>
    </w:p>
    <w:p>
      <w:pPr>
        <w:ind w:right="3320" w:firstLine="3318"/>
        <w:spacing w:after="0" w:line="377" w:lineRule="auto"/>
        <w:rPr>
          <w:sz w:val="20"/>
          <w:szCs w:val="20"/>
          <w:color w:val="auto"/>
        </w:rPr>
      </w:pPr>
      <w:r>
        <w:rPr>
          <w:rFonts w:ascii="Arial" w:cs="Arial" w:eastAsia="Arial" w:hAnsi="Arial"/>
          <w:sz w:val="16"/>
          <w:szCs w:val="16"/>
          <w:b w:val="1"/>
          <w:bCs w:val="1"/>
          <w:i w:val="1"/>
          <w:iCs w:val="1"/>
          <w:color w:val="auto"/>
        </w:rPr>
        <w:t xml:space="preserve">Risks Related to our Digital Investment Management Business </w:t>
      </w:r>
      <w:r>
        <w:rPr>
          <w:rFonts w:ascii="Arial" w:cs="Arial" w:eastAsia="Arial" w:hAnsi="Arial"/>
          <w:sz w:val="16"/>
          <w:szCs w:val="16"/>
          <w:b w:val="1"/>
          <w:bCs w:val="1"/>
          <w:color w:val="auto"/>
        </w:rPr>
        <w:t>The investment management business is intensely competitive.</w:t>
      </w:r>
    </w:p>
    <w:p>
      <w:pPr>
        <w:spacing w:after="0" w:line="1" w:lineRule="exact"/>
        <w:rPr>
          <w:sz w:val="20"/>
          <w:szCs w:val="20"/>
          <w:color w:val="auto"/>
        </w:rPr>
      </w:pPr>
    </w:p>
    <w:p>
      <w:pPr>
        <w:ind w:right="180" w:firstLine="351"/>
        <w:spacing w:after="0" w:line="245" w:lineRule="auto"/>
        <w:rPr>
          <w:sz w:val="20"/>
          <w:szCs w:val="20"/>
          <w:color w:val="auto"/>
        </w:rPr>
      </w:pPr>
      <w:r>
        <w:rPr>
          <w:rFonts w:ascii="Arial" w:cs="Arial" w:eastAsia="Arial" w:hAnsi="Arial"/>
          <w:sz w:val="16"/>
          <w:szCs w:val="16"/>
          <w:color w:val="auto"/>
        </w:rPr>
        <w:t>The investment management business is intensely competitive, with competition based on a variety of factors, including investment performance, the quality of service provided to clients, brand recognition and business reputation. Our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serve to increase our competitive risks, some of which are outside of our control, including that:</w:t>
      </w:r>
    </w:p>
    <w:p>
      <w:pPr>
        <w:spacing w:after="0" w:line="90" w:lineRule="exact"/>
        <w:rPr>
          <w:sz w:val="20"/>
          <w:szCs w:val="20"/>
          <w:color w:val="auto"/>
        </w:rPr>
      </w:pPr>
    </w:p>
    <w:p>
      <w:pPr>
        <w:ind w:left="420" w:hanging="146"/>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number of our competitors have more personnel and greater financial, technical, marketing and other resources than we do;</w:t>
      </w:r>
    </w:p>
    <w:p>
      <w:pPr>
        <w:spacing w:after="0" w:line="96" w:lineRule="exact"/>
        <w:rPr>
          <w:rFonts w:ascii="Arial" w:cs="Arial" w:eastAsia="Arial" w:hAnsi="Arial"/>
          <w:sz w:val="16"/>
          <w:szCs w:val="16"/>
          <w:color w:val="auto"/>
        </w:rPr>
      </w:pPr>
    </w:p>
    <w:p>
      <w:pPr>
        <w:ind w:left="420" w:right="220" w:hanging="146"/>
        <w:spacing w:after="0" w:line="317" w:lineRule="auto"/>
        <w:tabs>
          <w:tab w:leader="none" w:pos="4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many of our competitors have raised, or are expected to raise, significant amounts of capital, and many of them have investment objectives similar to ours, which may create additional competition for investment opportunities and reduce the size and duration of pricing inefficiencies that we seek to exploit;</w:t>
      </w:r>
    </w:p>
    <w:p>
      <w:pPr>
        <w:spacing w:after="0" w:line="42" w:lineRule="exact"/>
        <w:rPr>
          <w:rFonts w:ascii="Arial" w:cs="Arial" w:eastAsia="Arial" w:hAnsi="Arial"/>
          <w:sz w:val="14"/>
          <w:szCs w:val="14"/>
          <w:color w:val="auto"/>
        </w:rPr>
      </w:pPr>
    </w:p>
    <w:p>
      <w:pPr>
        <w:ind w:left="420" w:right="160" w:hanging="146"/>
        <w:spacing w:after="0" w:line="248" w:lineRule="auto"/>
        <w:tabs>
          <w:tab w:leader="none" w:pos="4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some of our competitors (including strategic competitors) may have a lower cost of capital and access to funding sources that are not available to us, which may create competitive disadvantages for us with respect to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right="560"/>
        <w:spacing w:after="0" w:line="248" w:lineRule="auto"/>
        <w:rPr>
          <w:sz w:val="20"/>
          <w:szCs w:val="20"/>
          <w:color w:val="auto"/>
        </w:rPr>
      </w:pPr>
      <w:r>
        <w:rPr>
          <w:rFonts w:ascii="Arial" w:cs="Arial" w:eastAsia="Arial" w:hAnsi="Arial"/>
          <w:sz w:val="16"/>
          <w:szCs w:val="16"/>
          <w:color w:val="auto"/>
        </w:rPr>
        <w:t>managed companies, particularly our managed companies that directly use leverage or rely on debt financing of their portfolio companies to generate superior investment returns;</w:t>
      </w:r>
    </w:p>
    <w:p>
      <w:pPr>
        <w:spacing w:after="0" w:line="88" w:lineRule="exact"/>
        <w:rPr>
          <w:sz w:val="20"/>
          <w:szCs w:val="20"/>
          <w:color w:val="auto"/>
        </w:rPr>
      </w:pPr>
    </w:p>
    <w:p>
      <w:pPr>
        <w:ind w:left="420" w:right="20" w:hanging="146"/>
        <w:spacing w:after="0" w:line="248" w:lineRule="auto"/>
        <w:tabs>
          <w:tab w:leader="none" w:pos="4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some of our competitors have higher risk tolerances, different risk assessments or lower return thresholds, which could allow them to consider a wider variety of investments and to bid more aggressively than us for investments;</w:t>
      </w:r>
    </w:p>
    <w:p>
      <w:pPr>
        <w:spacing w:after="0" w:line="87" w:lineRule="exact"/>
        <w:rPr>
          <w:rFonts w:ascii="Arial" w:cs="Arial" w:eastAsia="Arial" w:hAnsi="Arial"/>
          <w:sz w:val="16"/>
          <w:szCs w:val="16"/>
          <w:color w:val="auto"/>
        </w:rPr>
      </w:pPr>
    </w:p>
    <w:p>
      <w:pPr>
        <w:ind w:left="420" w:right="420" w:hanging="146"/>
        <w:spacing w:after="0" w:line="248" w:lineRule="auto"/>
        <w:tabs>
          <w:tab w:leader="none" w:pos="4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competitors may be able to achieve synergistic cost savings in respect of an investment that we cannot, which may provide them with a competitive advantage in bidding for an investment;</w:t>
      </w:r>
    </w:p>
    <w:p>
      <w:pPr>
        <w:spacing w:after="0" w:line="87" w:lineRule="exact"/>
        <w:rPr>
          <w:rFonts w:ascii="Arial" w:cs="Arial" w:eastAsia="Arial" w:hAnsi="Arial"/>
          <w:sz w:val="16"/>
          <w:szCs w:val="16"/>
          <w:color w:val="auto"/>
        </w:rPr>
      </w:pPr>
    </w:p>
    <w:p>
      <w:pPr>
        <w:ind w:left="420" w:right="300" w:hanging="146"/>
        <w:spacing w:after="0" w:line="248" w:lineRule="auto"/>
        <w:tabs>
          <w:tab w:leader="none" w:pos="4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are relatively few barriers to entry impeding new funds, and the successful efforts of new entrants into our various lines of business, including major commercial and investment banks and other financial institutions, have resulted in increased competition;</w:t>
      </w:r>
    </w:p>
    <w:p>
      <w:pPr>
        <w:spacing w:after="0" w:line="87" w:lineRule="exact"/>
        <w:rPr>
          <w:rFonts w:ascii="Arial" w:cs="Arial" w:eastAsia="Arial" w:hAnsi="Arial"/>
          <w:sz w:val="16"/>
          <w:szCs w:val="16"/>
          <w:color w:val="auto"/>
        </w:rPr>
      </w:pPr>
    </w:p>
    <w:p>
      <w:pPr>
        <w:ind w:left="420" w:hanging="146"/>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some investors may prefer to invest with an investment manager whose equity securities are not traded on a national securities exchange;</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some investors may prefer to pursue investments directly instead of investing through one of our managed companies;</w:t>
      </w:r>
    </w:p>
    <w:p>
      <w:pPr>
        <w:spacing w:after="0" w:line="96" w:lineRule="exact"/>
        <w:rPr>
          <w:rFonts w:ascii="Arial" w:cs="Arial" w:eastAsia="Arial" w:hAnsi="Arial"/>
          <w:sz w:val="16"/>
          <w:szCs w:val="16"/>
          <w:color w:val="auto"/>
        </w:rPr>
      </w:pPr>
    </w:p>
    <w:p>
      <w:pPr>
        <w:ind w:left="420" w:hanging="146"/>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investment professionals and other employees away from us; and</w:t>
      </w:r>
    </w:p>
    <w:p>
      <w:pPr>
        <w:spacing w:after="0" w:line="96" w:lineRule="exact"/>
        <w:rPr>
          <w:rFonts w:ascii="Arial" w:cs="Arial" w:eastAsia="Arial" w:hAnsi="Arial"/>
          <w:sz w:val="16"/>
          <w:szCs w:val="16"/>
          <w:color w:val="auto"/>
        </w:rPr>
      </w:pPr>
    </w:p>
    <w:p>
      <w:pPr>
        <w:ind w:left="420" w:right="500" w:hanging="146"/>
        <w:spacing w:after="0" w:line="248" w:lineRule="auto"/>
        <w:tabs>
          <w:tab w:leader="none" w:pos="4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investment managers may offer more products and services than we do, have more diverse sources of revenue or be more adept at developing, marketing and managing new products and services than we are.</w:t>
      </w:r>
    </w:p>
    <w:p>
      <w:pPr>
        <w:spacing w:after="0" w:line="88"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We may find it harder to raise capital in the REITs, private funds and other investment vehicles that we manage, and we may lose investment opportunities in the future, if we do not match the fees, structures and terms offered by competitors to their fund clients. Alternatively, we may experience decreased profitability, rates of return and increased risk of loss if we match the prices, structures and terms offered by competitors. This competitive pressure could adversely affect our ability to make successful investments and limit our ability to raise future managed investment vehicles, either of which would adversely impact our business, revenues, results of operations and cash flow.</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Poor performance of our current and future managed investment vehicles could cause a decline in our revenue, income and cash flow.</w:t>
      </w:r>
    </w:p>
    <w:p>
      <w:pPr>
        <w:spacing w:after="0" w:line="115"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The fee arrangements we have with certain of our managed investment vehicles are based on the respective performance of such companies. As a result, poor performance or a decrease in value of assets under management of such managed companies (or any companies we may manage in the future with similar performance-based fees) would result in a reduction of our investment management and other fees, carried interest and/or other incentive fees and consequently cause our revenue, income and cash flow to decline. Further, to the extent that we have an investment in a managed investment vehicle, poor performance at such investment vehicle could cause us to suffer losses on such investments of our own capital.</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Investors in our current or future managed investment vehicles may negotiate terms less favorable to us than those of investment vehicles we currently manage, which could have a material adverse effect on our business, results of operations and financial condition.</w:t>
      </w:r>
    </w:p>
    <w:p>
      <w:pPr>
        <w:spacing w:after="0" w:line="70" w:lineRule="exact"/>
        <w:rPr>
          <w:sz w:val="20"/>
          <w:szCs w:val="20"/>
          <w:color w:val="auto"/>
        </w:rPr>
      </w:pPr>
    </w:p>
    <w:p>
      <w:pPr>
        <w:ind w:right="60" w:firstLine="351"/>
        <w:spacing w:after="0" w:line="284" w:lineRule="auto"/>
        <w:rPr>
          <w:sz w:val="20"/>
          <w:szCs w:val="20"/>
          <w:color w:val="auto"/>
        </w:rPr>
      </w:pPr>
      <w:r>
        <w:rPr>
          <w:rFonts w:ascii="Arial" w:cs="Arial" w:eastAsia="Arial" w:hAnsi="Arial"/>
          <w:sz w:val="14"/>
          <w:szCs w:val="14"/>
          <w:color w:val="auto"/>
        </w:rPr>
        <w:t>In connection with sponsoring new managed investment vehicles or securing additional capital commitments in existing investment vehicles, we will negotiate terms for such investment vehicles and commitments from investors. In addition, we have agreed and may in the future agree to re-negotiate terms in the agreements with our investment vehicles due to performance of such investment vehicles or other market conditions. The outcome of such negotiations have and could in the future result in our agreement to terms that are materially less favorable to us economically than the existing terms of our investment vehicles or vehicles advised by our competitors. We have recorded and may in the future need to record impairments in the goodwill associated with such agreements as a result of amended economic terms in such agreements. Further, we may also agree to terms that could restrict our ability to sponsor competing investment vehicles, require us to dispose of an investment within a certain period of time, restrict our ability to sell all or a portion of our position in a co-investment, increase our obligations as the manager or require us to take on additional potential liabilities. Agreement to terms that are materially less favorable to us could result in a decrease in our profitability,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Valuation methodologies for certain assets in our managed institutional private funds can involve subjective judgments, and the fair value of assets established pursuant to such methodologies may be incorrect, which could result in the misstatement of performance and accrued performance fees of an institutional private fund.</w:t>
      </w:r>
    </w:p>
    <w:p>
      <w:pPr>
        <w:spacing w:after="0" w:line="82"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There are often no readily ascertainable market prices for a substantial majority of illiquid investments of our managed institutional private funds. We determine the fair value of the investments of each of our institutional private funds at least quarterly based on the fair value guidelines set forth by GAAP. The fair value measurement accounting guidance establishes a hierarchal disclosure framework that ranks the observability of market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94" w:lineRule="exact"/>
        <w:rPr>
          <w:sz w:val="20"/>
          <w:szCs w:val="20"/>
          <w:color w:val="auto"/>
        </w:rPr>
      </w:pPr>
    </w:p>
    <w:p>
      <w:pPr>
        <w:ind w:right="280" w:firstLine="351"/>
        <w:spacing w:after="0" w:line="244" w:lineRule="auto"/>
        <w:rPr>
          <w:sz w:val="20"/>
          <w:szCs w:val="20"/>
          <w:color w:val="auto"/>
        </w:rPr>
      </w:pPr>
      <w:r>
        <w:rPr>
          <w:rFonts w:ascii="Arial" w:cs="Arial" w:eastAsia="Arial" w:hAnsi="Arial"/>
          <w:sz w:val="16"/>
          <w:szCs w:val="16"/>
          <w:color w:val="auto"/>
        </w:rPr>
        <w:t>Investments for which market prices are not observable include, but are not limited to, illiquid investments in operating companies, real estate, energy ventures and structured vehicles, and encompass all components of the capital structure, including equity, mezzanine, debt, preferred equity and derivative instruments such as options and warrants. Fair values of such investments are determined by reference to (1) the market approach (i.e., multiplying a key performance metric of the investee company or asset, such as earnings before interest, income tax, depreciation and amortization ("EBITDA"), by a relevant valuation multiple observed in the range of comparable public entities or transactions, adjusted by management as appropriate for differences between the investment and the referenced comparables), (2) the income approach (i.e., discounting projected future cash flows of the investee company or asset and/or capitalizing representative stabilized cash flows of the investee company or asset) and (3) other methodologies such as prices provided by reputable dealers or pricing services, option pricing models and replacement costs.</w:t>
      </w:r>
    </w:p>
    <w:p>
      <w:pPr>
        <w:spacing w:after="0" w:line="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4"/>
          <w:szCs w:val="14"/>
          <w:color w:val="auto"/>
        </w:rPr>
        <w:t>The determination of fair value using these methodologies takes into consideration a range of factors including but not limited to the price at which the investment was acquired, the nature of the investment, local market conditions, the multiples of comparable securities, current and projected operating performance and financing transactions subsequent to the acquisition of the investment. These valuation methodologies involve a significant degree of management judgment. For example, as to investments that we share with another sponsor, we may apply a different valuation methodology than the other sponsor does or derive a different value than the other sponsor has derived on the same investment, which could cause some investors to question our valuations.</w:t>
      </w:r>
    </w:p>
    <w:p>
      <w:pPr>
        <w:spacing w:after="0" w:line="63"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Because there is significant uncertainty in the valuation of, or stability of the value of, illiquid investments, the fair values of such investments as reflected in an institutional private fund’s net asset value do not necessarily reflect the prices that would be obtained by us on behalf of the institutional private fund when such investments are realized. Realizations at values significantly lower than the values at which investments have been reflected in prior institutional private fund net asset values would result in reduced earnings or losses for the applicable fund and the loss of potential management fees, carried interest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institutional fund net asset values could cause investors to lose confidence in us, which could in turn result in difficulty in raising additional institutional private funds.</w:t>
      </w:r>
    </w:p>
    <w:p>
      <w:pPr>
        <w:spacing w:after="0" w:line="94"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Further, the SEC has highlighted valuation practices as one of its areas of focus in investment advisor examinations and has instituted enforcement actions against advisors for misleading investors about valuation. If the SEC were to investigate and find errors in our methodologies or procedures, we and/or members of our management could be subject to penalties and fines, which could harm our reputation and our business, financial condition and results of operations could be materially and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organization and management of our current and future investment vehicles may create conflicts of interest.</w:t>
      </w:r>
    </w:p>
    <w:p>
      <w:pPr>
        <w:spacing w:after="0" w:line="115"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We currently manage, and may in the future manage, private funds, REITs and other investment vehicles that have investment and/or rate of return objectives similar to our own. Those entities may be in competition with us with respect to investment opportunities, potential purchasers, sellers and lessees of properties, and mortgage financing opportunities. We have agreed to implement certain procedures to help manage any perceived or actual conflicts among us and our managed investment vehicles, including the following:</w:t>
      </w:r>
    </w:p>
    <w:p>
      <w:pPr>
        <w:spacing w:after="0" w:line="91" w:lineRule="exact"/>
        <w:rPr>
          <w:sz w:val="20"/>
          <w:szCs w:val="20"/>
          <w:color w:val="auto"/>
        </w:rPr>
      </w:pPr>
    </w:p>
    <w:p>
      <w:pPr>
        <w:ind w:left="480" w:right="440" w:hanging="136"/>
        <w:spacing w:after="0" w:line="248" w:lineRule="auto"/>
        <w:tabs>
          <w:tab w:leader="none" w:pos="4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allocating investment opportunities based on numerous factors, including investment objectives, available cash, diversification/concentration, leverage policy, the size of the investment, tax, anticipated pipeline of suitable investments and fund life;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right="180" w:hanging="136"/>
        <w:spacing w:after="0" w:line="248" w:lineRule="auto"/>
        <w:tabs>
          <w:tab w:leader="none" w:pos="4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co-investment transactions with managed investment vehicles are subject to the approval of the independent directors of such investment vehicles that are publicly registered companies or previously approved in applicable company documentation, as the case may be; and</w:t>
      </w:r>
    </w:p>
    <w:p>
      <w:pPr>
        <w:spacing w:after="0" w:line="87" w:lineRule="exact"/>
        <w:rPr>
          <w:rFonts w:ascii="Arial" w:cs="Arial" w:eastAsia="Arial" w:hAnsi="Arial"/>
          <w:sz w:val="16"/>
          <w:szCs w:val="16"/>
          <w:color w:val="auto"/>
        </w:rPr>
      </w:pPr>
    </w:p>
    <w:p>
      <w:pPr>
        <w:ind w:left="480" w:right="360" w:hanging="136"/>
        <w:spacing w:after="0" w:line="248" w:lineRule="auto"/>
        <w:tabs>
          <w:tab w:leader="none" w:pos="4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investment allocations are reviewed at least annually by the chief compliance officer of our applicable registered investment adviser and/or the board of directors of the applicable investment vehicle that is a publicly registered company, as the case may be.</w:t>
      </w:r>
    </w:p>
    <w:p>
      <w:pPr>
        <w:spacing w:after="0" w:line="88" w:lineRule="exact"/>
        <w:rPr>
          <w:sz w:val="20"/>
          <w:szCs w:val="20"/>
          <w:color w:val="auto"/>
        </w:rPr>
      </w:pPr>
    </w:p>
    <w:p>
      <w:pPr>
        <w:ind w:right="500" w:firstLine="351"/>
        <w:spacing w:after="0" w:line="246" w:lineRule="auto"/>
        <w:rPr>
          <w:sz w:val="20"/>
          <w:szCs w:val="20"/>
          <w:color w:val="auto"/>
        </w:rPr>
      </w:pPr>
      <w:r>
        <w:rPr>
          <w:rFonts w:ascii="Arial" w:cs="Arial" w:eastAsia="Arial" w:hAnsi="Arial"/>
          <w:sz w:val="16"/>
          <w:szCs w:val="16"/>
          <w:color w:val="auto"/>
        </w:rPr>
        <w:t>We may also in the future manage private funds, REITs and other investment vehicles that have investment and/or rate of return objectives that directly overlap with our own, which may result in conflicts that cannot be mitigated by the foregoing procedures and would limit our ability to make future direct investments in digital infrastructure assets.</w:t>
      </w:r>
    </w:p>
    <w:p>
      <w:pPr>
        <w:spacing w:after="0" w:line="89"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In addition, subject to compliance with the rules promulgated under the Investment Advisers Act, we have and may continue to allow a managed investment vehicle to enter into principal transactions with us or cross-transactions with other managed investment vehicles or strategic vehicles. For certain cross-transactions, we may receive a fee from, or increased fees from, the managed investment vehicle and conflicts may exist. If our interests and those of our managed companies are not aligned, we may face conflicts of interests that result in action or inaction that is detrimental to us, our managed investment vehicles, our strategic partnerships or our joint ventures.</w:t>
      </w:r>
    </w:p>
    <w:p>
      <w:pPr>
        <w:spacing w:after="0" w:line="90"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In addition, in general, the DBH Portfolio Companies, including DataBank and Vantage SDC, and our sponsored funds have priority over us with respect to digital investment opportunities in the target asset classes and the jurisdictions in which we expect to invest. However, as a result of our acquisition of a controlling ownership interest in DataBank and Vantage SDC, we may be in a position to control whether DataBank or Vantage SDC, as applicable, accepts an investment allocation, which could result in conflicts of interest. Further, certain officers and senior management who make allocation decisions may have financial interests in a particular fund or managed investment vehicle, which may increase such conflicts of interest.</w:t>
      </w:r>
    </w:p>
    <w:p>
      <w:pPr>
        <w:spacing w:after="0" w:line="90"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4"/>
          <w:szCs w:val="14"/>
          <w:color w:val="auto"/>
        </w:rPr>
        <w:t>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 reputation, which would materially adversely affect our business and our ability to raise capital in future managed companies.</w:t>
      </w:r>
    </w:p>
    <w:p>
      <w:pPr>
        <w:spacing w:after="0" w:line="55" w:lineRule="exact"/>
        <w:rPr>
          <w:sz w:val="20"/>
          <w:szCs w:val="20"/>
          <w:color w:val="auto"/>
        </w:rPr>
      </w:pPr>
    </w:p>
    <w:p>
      <w:pPr>
        <w:ind w:right="300" w:firstLine="351"/>
        <w:spacing w:after="0" w:line="317" w:lineRule="auto"/>
        <w:rPr>
          <w:sz w:val="20"/>
          <w:szCs w:val="20"/>
          <w:color w:val="auto"/>
        </w:rPr>
      </w:pPr>
      <w:r>
        <w:rPr>
          <w:rFonts w:ascii="Arial" w:cs="Arial" w:eastAsia="Arial" w:hAnsi="Arial"/>
          <w:sz w:val="14"/>
          <w:szCs w:val="14"/>
          <w:color w:val="auto"/>
        </w:rPr>
        <w:t>Conflicts of interest may also arise in the allocation of fees and costs among our managed companies that we incur in connection with the management of their assets. This allocation sometimes requires us to exercise discretion and there is no guarantee that we will allocate these fees and costs appropriately.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realize the anticipated benefits of the Wafra strategic partnership.</w:t>
      </w:r>
    </w:p>
    <w:p>
      <w:pPr>
        <w:spacing w:after="0" w:line="115" w:lineRule="exact"/>
        <w:rPr>
          <w:sz w:val="20"/>
          <w:szCs w:val="20"/>
          <w:color w:val="auto"/>
        </w:rPr>
      </w:pPr>
    </w:p>
    <w:p>
      <w:pPr>
        <w:ind w:right="160" w:firstLine="351"/>
        <w:spacing w:after="0" w:line="246" w:lineRule="auto"/>
        <w:rPr>
          <w:sz w:val="20"/>
          <w:szCs w:val="20"/>
          <w:color w:val="auto"/>
        </w:rPr>
      </w:pPr>
      <w:r>
        <w:rPr>
          <w:rFonts w:ascii="Arial" w:cs="Arial" w:eastAsia="Arial" w:hAnsi="Arial"/>
          <w:sz w:val="16"/>
          <w:szCs w:val="16"/>
          <w:color w:val="auto"/>
        </w:rPr>
        <w:t>Although the strategic partnership with Wafra in our Digital IM Business is expected to result in certain benefits to us, there can be no assurance, however, regarding when or the extent to which we will be able to realize these and any other benefits we expect from the transaction, which may be difficult, unpredictable and subject to delays.</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addition, pursuant to the strategic partnership documentation, Wafra has certain redemption rights which, if exercised, would require the Company to repurchase Wafra's equity investment, carried interest participation rights and warrants. If such redemption rights are exercised, Wafra will also have a redemption right with respect to any sponsor commitments previously made to the Company's funds and vehicles. Wafra's redemption rights are triggered upon the occurrence of certain events including key person or cause events under the governing documentation of certain digital investment vehicles. No assurance can be given that such redemption events, if triggered, would arise at a time when the Company will have the cash on hand or other available liquidity (including availability under the Company’s securitized financing facility) to satisfy the redemptions, which could result in the Company being forced to allocate capital away from other potential opportunities or uses that we would otherwise consider to be the most effective use of such capital.</w:t>
      </w:r>
    </w:p>
    <w:p>
      <w:pPr>
        <w:spacing w:after="0" w:line="94" w:lineRule="exact"/>
        <w:rPr>
          <w:sz w:val="20"/>
          <w:szCs w:val="20"/>
          <w:color w:val="auto"/>
        </w:rPr>
      </w:pPr>
    </w:p>
    <w:p>
      <w:pPr>
        <w:ind w:right="460" w:firstLine="351"/>
        <w:spacing w:after="0" w:line="245" w:lineRule="auto"/>
        <w:rPr>
          <w:sz w:val="20"/>
          <w:szCs w:val="20"/>
          <w:color w:val="auto"/>
        </w:rPr>
      </w:pPr>
      <w:r>
        <w:rPr>
          <w:rFonts w:ascii="Arial" w:cs="Arial" w:eastAsia="Arial" w:hAnsi="Arial"/>
          <w:sz w:val="16"/>
          <w:szCs w:val="16"/>
          <w:color w:val="auto"/>
        </w:rPr>
        <w:t>Additionally, under certain circumstances, we have agreed to use commercially reasonable efforts to cooperate with Wafra to facilitate the conversion of Wafra’s equity investment into the Company's class A common stock. There can be no assurances that such conversion would occur or on what terms and conditions such conversion would occur, including whether such conversion, if it did occur in the future, would have any adverse impact on the Company, the Company’s stock price, governance and other matters.</w:t>
      </w:r>
    </w:p>
    <w:p>
      <w:pPr>
        <w:spacing w:after="0" w:line="91" w:lineRule="exact"/>
        <w:rPr>
          <w:sz w:val="20"/>
          <w:szCs w:val="20"/>
          <w:color w:val="auto"/>
        </w:rPr>
      </w:pPr>
    </w:p>
    <w:p>
      <w:pPr>
        <w:ind w:right="600" w:firstLine="351"/>
        <w:spacing w:after="0" w:line="248" w:lineRule="auto"/>
        <w:rPr>
          <w:sz w:val="20"/>
          <w:szCs w:val="20"/>
          <w:color w:val="auto"/>
        </w:rPr>
      </w:pPr>
      <w:r>
        <w:rPr>
          <w:rFonts w:ascii="Arial" w:cs="Arial" w:eastAsia="Arial" w:hAnsi="Arial"/>
          <w:sz w:val="16"/>
          <w:szCs w:val="16"/>
          <w:color w:val="auto"/>
        </w:rPr>
        <w:t>If any or all of the risks described above, including the risk that the redemption obligations are triggered, were to materialize, the Company’s results of operations, financial position and/or liquidity could be materially and adversely affected.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620"/>
        <w:spacing w:after="0" w:line="271" w:lineRule="auto"/>
        <w:rPr>
          <w:sz w:val="20"/>
          <w:szCs w:val="20"/>
          <w:color w:val="auto"/>
        </w:rPr>
      </w:pPr>
      <w:r>
        <w:rPr>
          <w:rFonts w:ascii="Arial" w:cs="Arial" w:eastAsia="Arial" w:hAnsi="Arial"/>
          <w:sz w:val="16"/>
          <w:szCs w:val="16"/>
          <w:b w:val="1"/>
          <w:bCs w:val="1"/>
          <w:color w:val="auto"/>
        </w:rPr>
        <w:t>Our organizational documents do not limit our ability to enter into new lines of businesses, and we may expand into new investment strategies, geographic markets and businesses, each of which may result in additional risks and uncertainties in our businesses.</w:t>
      </w:r>
    </w:p>
    <w:p>
      <w:pPr>
        <w:spacing w:after="0" w:line="70"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We intend, to the extent that market conditions warrant, to seek to grow our businesses by increasing AUM in existing businesses, pursuing new investment strategies, developing new types of investment structures and products (such as separately managed accounts and structured products), and expanding into new geographic markets and businesses. Introducing new types of investment structures and products could increase the complexities involved in managing such investments, including ensuring compliance with regulatory requirements.</w:t>
      </w:r>
    </w:p>
    <w:p>
      <w:pPr>
        <w:spacing w:after="0" w:line="91"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The success of our organic growth strategy will depend on, among other things, our ability to correctly identify and create products that appeal to the limited partners of our funds and vehicles. While we have made significant expenditures to develop these new strategies and products, there is no assurance that they will achieve a satisfactory level of scale and profitability. To raise new funds and pursue new strategies, we have and expect to continue to use our balance sheet to warehouse seed investments, which may decrease the liquidity available for other parts of our business. If a new strategy or fund does not develop as anticipated and such investments are not ultimately transferred to a fund, we may not be able to dispose of such investments at an advantageous time and may be forced to realize losses on these retained investments.</w:t>
      </w:r>
    </w:p>
    <w:p>
      <w:pPr>
        <w:spacing w:after="0" w:line="94" w:lineRule="exact"/>
        <w:rPr>
          <w:sz w:val="20"/>
          <w:szCs w:val="20"/>
          <w:color w:val="auto"/>
        </w:rPr>
      </w:pPr>
    </w:p>
    <w:p>
      <w:pPr>
        <w:ind w:right="200" w:firstLine="351"/>
        <w:spacing w:after="0" w:line="248" w:lineRule="auto"/>
        <w:rPr>
          <w:sz w:val="20"/>
          <w:szCs w:val="20"/>
          <w:color w:val="auto"/>
        </w:rPr>
      </w:pPr>
      <w:r>
        <w:rPr>
          <w:rFonts w:ascii="Arial" w:cs="Arial" w:eastAsia="Arial" w:hAnsi="Arial"/>
          <w:sz w:val="16"/>
          <w:szCs w:val="16"/>
          <w:color w:val="auto"/>
        </w:rPr>
        <w:t>To the extent we expand into new investment strategies, geographic markets and businesses, we will face numerous risks and uncertainties, including risks associated with:</w:t>
      </w:r>
    </w:p>
    <w:p>
      <w:pPr>
        <w:spacing w:after="0" w:line="88" w:lineRule="exact"/>
        <w:rPr>
          <w:sz w:val="20"/>
          <w:szCs w:val="20"/>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successfully negotiate and enter into beneficial arrangements with our counterparties;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required investment of capital and other resources;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possibility of diversion of management's time and attention from our core business;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possibility of disruption of our ongoing business;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broadening of our geographic footprint, including the risks associated with conducting operations in foreign jurisdictions, such as taxation;</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properly managing conflicts of interests; and</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comply with new regulatory regimes.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funds may be forced to dispose of investments at a disadvantageous time.</w:t>
      </w:r>
    </w:p>
    <w:p>
      <w:pPr>
        <w:spacing w:after="0" w:line="115" w:lineRule="exact"/>
        <w:rPr>
          <w:sz w:val="20"/>
          <w:szCs w:val="20"/>
          <w:color w:val="auto"/>
        </w:rPr>
      </w:pPr>
    </w:p>
    <w:p>
      <w:pPr>
        <w:ind w:right="220" w:firstLine="351"/>
        <w:spacing w:after="0" w:line="245" w:lineRule="auto"/>
        <w:rPr>
          <w:sz w:val="20"/>
          <w:szCs w:val="20"/>
          <w:color w:val="auto"/>
        </w:rPr>
      </w:pPr>
      <w:r>
        <w:rPr>
          <w:rFonts w:ascii="Arial" w:cs="Arial" w:eastAsia="Arial" w:hAnsi="Arial"/>
          <w:sz w:val="16"/>
          <w:szCs w:val="16"/>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we may not be able to do so. The general partners of our funds have only a limited ability to extend the term of the fund with the consent of fund investors or the advisory board of the fund, as applicable, and therefore, we may be required to sell, distribute or otherwise dispose of investments during liquidation, which may be at a disadvantageous time. This would result in a lower than expected return on the investments and, perhaps, on the fund itself.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Risks Related to our Digital Operating Business</w:t>
      </w:r>
    </w:p>
    <w:p>
      <w:pPr>
        <w:spacing w:after="0" w:line="9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color w:val="auto"/>
        </w:rPr>
        <w:t>Any failure of our physical infrastructure or services could lead to significant costs and disruptions that could harm our business reputation and could adversely affect our earnings and financial condition.</w:t>
      </w:r>
    </w:p>
    <w:p>
      <w:pPr>
        <w:spacing w:after="0" w:line="70"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Our digital real estate business depends on providing customers with highly reliable services, including with respect to power supply, physical security and maintenance of environmental conditions. We may fail to provide such service as a result of numerous factors, including mechanical failure, power outage, human error, physical or electronic security breaches, war, terrorism, fire, earthquake, hurricane, flood, climate change and other natural disasters, sabotage and vandalism.</w:t>
      </w:r>
    </w:p>
    <w:p>
      <w:pPr>
        <w:spacing w:after="0" w:line="91"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Problems at one or more of our data centers or other digital infrastructure assets, whether or not within our control, could result in service interruptions or equipment damage. Substantially all of the customer leases associated with our digital infrastructure assets include terms requiring us to meet certain service level commitments to such customers. Any failure to meet these or other commitments or any equipment damage in our data centers, including as a result of mechanical failure, power outage, human error or other reasons, could subject us to liability under our lease terms, including service level credits against customer rent payments, monetary damages, or, in certain cases of repeated failures, the right by the customer to terminate the lease. Service interruptions, equipment failures or security breaches may also expose us to additional legal liability, regulatory requirements, penalties and monetary damages and damage our brand and reputation, and could cause our customers to terminate or not renew their leases. In addition, we may be unable to attract new customers if we have a reputation for service disruptions, equipment failures or physical or electronic</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security breaches in our data centers or with regard to other digital infrastructure assets. Any such failures could materially adversely affect our business, financial condition and results of operations.</w:t>
      </w:r>
    </w:p>
    <w:p>
      <w:pPr>
        <w:spacing w:after="0" w:line="70"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b w:val="1"/>
          <w:bCs w:val="1"/>
          <w:color w:val="auto"/>
        </w:rPr>
        <w:t>We do not control the operations of certain of our digital real estate assets and are therefore dependent on portfolio company management teams to successfully operate their businesses.</w:t>
      </w:r>
    </w:p>
    <w:p>
      <w:pPr>
        <w:spacing w:after="0" w:line="70"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Our digital infrastructure assets, including the data centers in our Digital Operating business are typically operated by in place management teams at the portfolio companies which hold these assets and in which we own our interests or by third party management companies. While we have or expect to have various rights as an owner of the portfolio companies, we may have limited recourse under our management agreements or investment interest documentation if we believe that such in place management teams (who are not our employees) or third-party management companies are not performing adequately. Failure by the in-place management teams to adequately manage the risks associated with managing data centers could result in defaults under our borrowings and otherwise adversely affect our results of operations. Furthermore, if these portfolio companies or management companies experience any significant financial, legal, accounting or regulatory difficulties, such difficulties could have a material adverse effect on us.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performance of our digital assets depends upon the demand for such assets.</w:t>
      </w:r>
    </w:p>
    <w:p>
      <w:pPr>
        <w:spacing w:after="0" w:line="115"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A reduction in the demand for our digital infrastructure assets, power or connectivity will adversely impact our ability to execute our business strategy and our performance. Demand for digital assets is particularly susceptible to general economic slowdowns as well as adverse developments in the data center, Internet and data communications and broader technology industries. Any such slowdown or adverse development could lead to reduced corporate IT spending or reduced demand for data center space and other digital infrastructure assets. Reduced demand could also result from business relocations, including to metropolitan areas that we do not currently or expect to serve. Changes in industry practice or in technology could also reduce demand for the physical data center space or other digital infrastructure assets. In addition, our customers may choose to develop new data centers or expand their own existing data centers or consolidate into data centers that we do not own or operate, which could reduce demand for our newly developed data centers or result in the loss of one or more key customers. If we lose a customer or a tenant, we cannot assure you that we would be able to replace that customer at a competitive rate or at all. Mergers or consolidations of technology companies could reduce further the number of our customers/tenants and potential customers/tenants and make us more dependent on a more limited number of customers. If our customers merge with or are acquired by other entities that are not our customers, they may discontinue or reduce the use of our data centers or other digital infrastructure assets. Our financial condition, results of operations, and cash flow for distributions could be materially adversely affected as a result of any or all of these factors.</w:t>
      </w:r>
    </w:p>
    <w:p>
      <w:pPr>
        <w:spacing w:after="0" w:line="380"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b w:val="1"/>
          <w:bCs w:val="1"/>
          <w:color w:val="auto"/>
        </w:rPr>
        <w:t>We are dependent upon third-party suppliers for power and certain other services, and we are vulnerable to service failures of our third-party suppliers and to price increases by such suppliers.</w:t>
      </w:r>
    </w:p>
    <w:p>
      <w:pPr>
        <w:spacing w:after="0" w:line="70" w:lineRule="exact"/>
        <w:rPr>
          <w:sz w:val="20"/>
          <w:szCs w:val="20"/>
          <w:color w:val="auto"/>
        </w:rPr>
      </w:pPr>
    </w:p>
    <w:p>
      <w:pPr>
        <w:jc w:val="both"/>
        <w:ind w:right="80" w:firstLine="351"/>
        <w:spacing w:after="0" w:line="245" w:lineRule="auto"/>
        <w:rPr>
          <w:sz w:val="20"/>
          <w:szCs w:val="20"/>
          <w:color w:val="auto"/>
        </w:rPr>
      </w:pPr>
      <w:r>
        <w:rPr>
          <w:rFonts w:ascii="Arial" w:cs="Arial" w:eastAsia="Arial" w:hAnsi="Arial"/>
          <w:sz w:val="16"/>
          <w:szCs w:val="16"/>
          <w:color w:val="auto"/>
        </w:rPr>
        <w:t>We generally rely on third-party local utilities to provide power to our data centers. We are therefore subject to an inherent risk that such local utilities may fail to deliver such power in adequate quantities or on a consistent basis, and our recourse against the local utility and ability to control such failures may be limited. If power delivered from the local utility is insufficient or interrupted, we would be required to provide power through the operation of our on-site generators, generally at a significantly higher operating cost than we would pay for an equivalent amount of power from the local utility. We may not be able to pass on the higher cost to our customers.</w:t>
      </w:r>
    </w:p>
    <w:p>
      <w:pPr>
        <w:spacing w:after="0" w:line="9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addition, even when power supplies are adequate, we may be subject to pricing risks and unanticipated costs associated with obtaining power from various utility companies. Utilities are and may be subject to increasing regulation that could increase the costs of electricity, including wildfire mitigation plans. Utilities may be dependent on, and be sensitive to price increases for, a particular type of fuel, such as coal, oil or natural gas. In addition, the price of these fuels and the electricity generated from them could increase as a result of proposed legislative measures related to climate change or efforts to regulate carbon emissions. In any of these cases, increases in the cost of power at any of our data centers could put those locations at a competitive disadvantage relative to data centers served by utilities that can provide less expensive power.</w:t>
      </w:r>
    </w:p>
    <w:p>
      <w:pPr>
        <w:spacing w:after="0" w:line="76"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b w:val="1"/>
          <w:bCs w:val="1"/>
          <w:color w:val="auto"/>
        </w:rPr>
        <w:t>We depend on third parties to provide network connectivity to the customers in our data centers, and any delays or disruptions in connectivity may adversely affect our business, financial condition, results of operations, cash flows and ability to pay dividends as well as the market price of our common stock.</w:t>
      </w:r>
    </w:p>
    <w:p>
      <w:pPr>
        <w:spacing w:after="0" w:line="82" w:lineRule="exact"/>
        <w:rPr>
          <w:sz w:val="20"/>
          <w:szCs w:val="20"/>
          <w:color w:val="auto"/>
        </w:rPr>
      </w:pPr>
    </w:p>
    <w:p>
      <w:pPr>
        <w:ind w:right="140" w:firstLine="351"/>
        <w:spacing w:after="0" w:line="246" w:lineRule="auto"/>
        <w:rPr>
          <w:sz w:val="20"/>
          <w:szCs w:val="20"/>
          <w:color w:val="auto"/>
        </w:rPr>
      </w:pPr>
      <w:r>
        <w:rPr>
          <w:rFonts w:ascii="Arial" w:cs="Arial" w:eastAsia="Arial" w:hAnsi="Arial"/>
          <w:sz w:val="16"/>
          <w:szCs w:val="16"/>
          <w:color w:val="auto"/>
        </w:rPr>
        <w:t>Our customers require internet connectivity and connectivity to the fiber networks of multiple third-party telecommunications carriers. In order for us to attract and retain customers, our data centers need to provide sufficient access for customers to connect to those carriers. While we provide space and facilities in our data centers for carriers to</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locate their equipment and connect customers to their networks, any carrier may elect not to offer its services within our data centers or may elect to discontinue its service. Furthermore, carriers may periodically experience business difficulties which could affect their ability to provide telecommunications services, or the service provided by a carrier may be inadequate or of poor quality. If carriers were to terminate connectivity within our data centers or if connectivity were to be degraded or interrupted, it could put that data center at a competitive disadvantage versus a competitor’s data center that does provide adequate connectivity. A material loss of adequate third-party connectivity could have an adverse effect on the businesses of our customers and, in turn, our business, financial condition and results of operations.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b w:val="1"/>
          <w:bCs w:val="1"/>
          <w:color w:val="auto"/>
        </w:rPr>
        <w:t>We expect certain of the leases we have with our customers to expire each year or are on a month-to-month basis, and to contain early termination provisions. If leases with our customers are not renewed on the same or more favorable terms or are terminated early by our customers, our business, financial condition and results of operations could be substantially harmed.</w:t>
      </w:r>
    </w:p>
    <w:p>
      <w:pPr>
        <w:spacing w:after="0" w:line="82"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Customers for our data centers may not renew their leases upon expiration. This risk is increased to the extent our customer leases expire on an annual basis. Upon expiration, our customers may elect not to renew their leases or renew their leases at lower rates, for less space, for fewer services or for shorter terms. If we are unable to successfully renew or continue our customer leases on the same or more favorable terms or subsequently re-lease available data center space when such leases expire, our business, financial condition and results of operations could be adversely affected. In addition, certain of our leases may contain early termination provisions that allow our customers to reduce the term of their leases subject to payment of an early termination charge that is often a specified portion of the remaining rent payable on such leases. The exercise by customers of early termination options could have an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digital infrastructure assets that we own may become obsolete, which could materially and adversely impact our revenue and operations</w:t>
      </w:r>
      <w:r>
        <w:rPr>
          <w:rFonts w:ascii="Arial" w:cs="Arial" w:eastAsia="Arial" w:hAnsi="Arial"/>
          <w:sz w:val="16"/>
          <w:szCs w:val="16"/>
          <w:color w:val="auto"/>
        </w:rPr>
        <w:t>.</w:t>
      </w:r>
    </w:p>
    <w:p>
      <w:pPr>
        <w:spacing w:after="0" w:line="115"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Data centers require infrastructure, such as power and cooling systems, that is difficult and costly to upgrade. If the infrastructure in our data centers or other digital infrastructure assets becomes obsolete due to the development of new server technologies, we may need to upgrade or change the systems in order to keep our existing tenants or attract new tenants. We may not be able to effectively or efficiently upgrade or change such infrastructure and may incur substantial costs in doing so. Any inability to upgrade or change our digital infrastructure assets in connection with technological developments may result in the loss of tenants and adversely impact our ability to attract new tenants, all of which could materially and adversely impact our revenues and operations.</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infrastructure and real estate investments are subject to substantial government regulation</w:t>
      </w:r>
      <w:r>
        <w:rPr>
          <w:rFonts w:ascii="Arial" w:cs="Arial" w:eastAsia="Arial" w:hAnsi="Arial"/>
          <w:sz w:val="16"/>
          <w:szCs w:val="16"/>
          <w:color w:val="auto"/>
        </w:rPr>
        <w:t>.</w:t>
      </w:r>
    </w:p>
    <w:p>
      <w:pPr>
        <w:spacing w:after="0" w:line="115"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Digital infrastructure and real estate investments are subject to substantial government regulation related to the acquisition and operation of such investments. Failure to comply with applicable government regulations or the inability to obtain or maintain any required government permits, licenses, concessions, leases or contracts needed to operate our digital infrastructure and real estate investments could adversely affect our ability to achieve our investment objectives. In addition, governments often have considerable discretion to implement regulations that affect our digital infrastructure and real estate investments. Changes in existing regulations could be costly for us to comply with and may delay or prevent the operation of our assets, all of which could adversely impact the performance of our investments.</w:t>
      </w:r>
    </w:p>
    <w:p>
      <w:pPr>
        <w:spacing w:after="0" w:line="76"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b w:val="1"/>
          <w:bCs w:val="1"/>
          <w:color w:val="auto"/>
        </w:rPr>
        <w:t>We often pursue investment opportunities that involve business, regulatory, legal or other complexities and the failure to successfully manage such risks could have a material adverse effect on our business, results of operations and financial condition.</w:t>
      </w:r>
    </w:p>
    <w:p>
      <w:pPr>
        <w:spacing w:after="0" w:line="70"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We often pursue unusually complex investment opportunities involving substantial business, regulatory or legal complexity that would deter other investors. Our tolerance for complexity presents risks, as such transactions can be more difficult, expensive and time-consuming to finance and execute, it can be more difficult to manage or realize value from the assets acquired in such transactions, and such transactions sometimes entail a higher level of regulatory scrutiny or a greater risk of contingent liabilities. Failure to successfully manage these risks could have a material adverse effect on our business, results of operations and financial condition.</w:t>
      </w:r>
    </w:p>
    <w:p>
      <w:pPr>
        <w:spacing w:after="0" w:line="72" w:lineRule="exact"/>
        <w:rPr>
          <w:sz w:val="20"/>
          <w:szCs w:val="20"/>
          <w:color w:val="auto"/>
        </w:rPr>
      </w:pPr>
    </w:p>
    <w:p>
      <w:pPr>
        <w:ind w:right="640"/>
        <w:spacing w:after="0" w:line="271" w:lineRule="auto"/>
        <w:rPr>
          <w:sz w:val="20"/>
          <w:szCs w:val="20"/>
          <w:color w:val="auto"/>
        </w:rPr>
      </w:pPr>
      <w:r>
        <w:rPr>
          <w:rFonts w:ascii="Arial" w:cs="Arial" w:eastAsia="Arial" w:hAnsi="Arial"/>
          <w:sz w:val="16"/>
          <w:szCs w:val="16"/>
          <w:b w:val="1"/>
          <w:bCs w:val="1"/>
          <w:color w:val="auto"/>
        </w:rPr>
        <w:t>Many of our investments may be illiquid and we may not be able to vary our investment portfolio in response to changes in economic and other conditions.</w:t>
      </w:r>
    </w:p>
    <w:p>
      <w:pPr>
        <w:spacing w:after="0" w:line="70"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4"/>
          <w:szCs w:val="14"/>
          <w:color w:val="auto"/>
        </w:rPr>
        <w:t>Our investments are relatively illiquid. As a result, our ability to vary our investment portfolio promptly in response to changed economic and other conditions is limited, which could adversely affect our financial condition and results of operations and our ability to pay dividends and make distributions. In addition, the liquidity of our investments may also be impacted by, among other things, restrictions on a REIT’s ability to dispose of properties that are not applicable to other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types of real estate companies, other legal or contractual restrictions, the lack of available financing for assets, the absence of a willing buyer or an established market and turbulent market conditions. The illiquidity of our investments may make it difficult for us to sell such investments at advantageous times or in a timely manner if the need or desire arises, including, if necessary, to maintain our status as a REIT or to maintain our exemption from the 1940 Act. If we are required to liquidate all or a portion of our portfolio quickly, we may realize significantly less than the value at which we have previously recorded our assets. If and to the extent that we use leverage to finance our investments that are or become liquid, the adverse impact on us related to trying to sell assets in a short period of time for cash could be greatly exacerbated.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Organizational Structure and Business Operations</w:t>
      </w:r>
    </w:p>
    <w:p>
      <w:pPr>
        <w:spacing w:after="0" w:line="97" w:lineRule="exact"/>
        <w:rPr>
          <w:sz w:val="20"/>
          <w:szCs w:val="20"/>
          <w:color w:val="auto"/>
        </w:rPr>
      </w:pPr>
    </w:p>
    <w:p>
      <w:pPr>
        <w:ind w:right="400"/>
        <w:spacing w:after="0" w:line="271" w:lineRule="auto"/>
        <w:rPr>
          <w:sz w:val="20"/>
          <w:szCs w:val="20"/>
          <w:color w:val="auto"/>
        </w:rPr>
      </w:pPr>
      <w:r>
        <w:rPr>
          <w:rFonts w:ascii="Arial" w:cs="Arial" w:eastAsia="Arial" w:hAnsi="Arial"/>
          <w:sz w:val="16"/>
          <w:szCs w:val="16"/>
          <w:b w:val="1"/>
          <w:bCs w:val="1"/>
          <w:color w:val="auto"/>
        </w:rPr>
        <w:t>We depend on our key personnel, and the loss of their services or the loss of investor confidence in such personnel could have a material adverse effect on our business, results of operations and financial condition.</w:t>
      </w:r>
    </w:p>
    <w:p>
      <w:pPr>
        <w:spacing w:after="0" w:line="70"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We depend on the efforts, skill, reputations and business contacts of our key personnel, including our executive officers, which include our Chief Executive Officer and President, Marc C. Ganzi, in particular, and the services of the other members of our senior management team, including Jacky Wu, Ronald M. Sanders and Sonia Kim, each of whom has entered into an employment agreement with us. For instance, the extent and nature of the experience of our executive officers and the nature of the relationships they have developed with digital real estate professionals, financial institutions, investors in certain of our investment vehicles and other members of the business community are critical to the success of our business. Changes to our management team have occurred in the past, and we cannot assure stockholders that further changes will not be made. We also cannot assure stockholders of the continued employment of these individuals with the Company.</w:t>
      </w:r>
    </w:p>
    <w:p>
      <w:pPr>
        <w:spacing w:after="0" w:line="94"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In addition, our success depends, to a significant extent, upon the continued services of key personnel in our investment management business, including Mr. Ganzi and Benjamin Jenkins, DBH’s co-founder and Chief Investment Officer of DigitalBridge Investment Management. Although Mr. Ganzi and Mr. Jenkins received equity interests in us and are subject to employment agreements and other agreements containing restrictions on engaging in activities that are deemed competitive to our business, there can be no assurances that they will continue employment with us. The loss of Mr. Ganzi, Mr. Jenkins or other key personnel could harm our business.</w:t>
      </w:r>
    </w:p>
    <w:p>
      <w:pPr>
        <w:spacing w:after="0" w:line="90"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In addition, certain of our current and former key personnel have been and may continue to be the subject of media attention, which includes scrutiny or criticism of our Company, business and leadership. Such attention and scrutiny could negatively impact our reputation as well as that of our key personnel, which could in turn negatively impact the relationships our key personnel have with current and potential investors, business partners, vendors and employees. Negative perceptions of or a loss of investor confidence in our key personnel could adversely impact our business prospects.</w:t>
      </w:r>
    </w:p>
    <w:p>
      <w:pPr>
        <w:spacing w:after="0" w:line="73"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b w:val="1"/>
          <w:bCs w:val="1"/>
          <w:color w:val="auto"/>
        </w:rPr>
        <w:t>There may be conflicts of interest between us and our Chief Executive Officer and certain other senior DBH employees that could result in decisions that are not in the best interests of our stockholders.</w:t>
      </w:r>
    </w:p>
    <w:p>
      <w:pPr>
        <w:spacing w:after="0" w:line="70" w:lineRule="exact"/>
        <w:rPr>
          <w:sz w:val="20"/>
          <w:szCs w:val="20"/>
          <w:color w:val="auto"/>
        </w:rPr>
      </w:pPr>
    </w:p>
    <w:p>
      <w:pPr>
        <w:ind w:right="20" w:firstLine="351"/>
        <w:spacing w:after="0" w:line="283" w:lineRule="auto"/>
        <w:rPr>
          <w:sz w:val="20"/>
          <w:szCs w:val="20"/>
          <w:color w:val="auto"/>
        </w:rPr>
      </w:pPr>
      <w:r>
        <w:rPr>
          <w:rFonts w:ascii="Arial" w:cs="Arial" w:eastAsia="Arial" w:hAnsi="Arial"/>
          <w:sz w:val="14"/>
          <w:szCs w:val="14"/>
          <w:color w:val="auto"/>
        </w:rPr>
        <w:t>Prior to our combination with DBH, Marc C. Ganzi, our Chief Executive Officer and President, and Benjamin Jenkins, Chief Investment Officer of DigitalBridge Investment Management, made personal investments in certain portfolio companies and/or related vehicles (collectively, the “DBH Portfolio Companies”), which DBH acquired along with a consortium of third-party investors. In the DBH combination, we acquired the contracts to provide investment advisory and other business services to the DBH Portfolio Companies, while Mr. Ganzi and Mr. Jenkins retained their respective investments in the DBH Portfolio Companies. As a result of these personal investments and related outside business activities, Mr. Ganzi, Mr. Jenkins and certain other senior DBH employees may have control, veto rights or significant influence over, or be required to represent the interests of certain third party investors in, major decisions and other operational matters at the DBH Portfolio Companies. In addition, Mr. Ganzi, Mr. Jenkins and certain other DBH employees may be entitled to receive carried interest payments from the DBH Portfolio Companies upon the occurrence of certain events. As a result, Mr. Ganzi, Mr. Jenkins, and certain other senior DBH employees, may have different objectives than us regarding the performance and management of, transactions with or investment allocations to, the DBH Portfolio Companies. The Company has attempted, and will continue to attempt, to manage and mitigate actual or potential conflicts of interest between us, on the one hand, and Mr. Ganzi, Mr. Jenkins and certain other senior DBH employees, on the other hand; however, there can be no assurances that such attempts will be effective.</w:t>
      </w:r>
    </w:p>
    <w:p>
      <w:pPr>
        <w:spacing w:after="0" w:line="253"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As a result of their personal investments, Mr. Ganzi and Mr. Jenkins received payments in connection with Vantage SDC’s purchase of the Santa Clara data center in September 2021 and may in the future realize additional carried interest payments from their interests in DataBank following the Company’s acquisition of additional interests in DataBank from a third party. The amount of carried interest they receive from the Company may also increase as the Company contributes additional capital to Vantage SDC and DataBank in connection with future expansions projects. In such transactions,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40"/>
        <w:spacing w:after="0" w:line="245" w:lineRule="auto"/>
        <w:rPr>
          <w:sz w:val="20"/>
          <w:szCs w:val="20"/>
          <w:color w:val="auto"/>
        </w:rPr>
      </w:pPr>
      <w:r>
        <w:rPr>
          <w:rFonts w:ascii="Arial" w:cs="Arial" w:eastAsia="Arial" w:hAnsi="Arial"/>
          <w:sz w:val="16"/>
          <w:szCs w:val="16"/>
          <w:color w:val="auto"/>
        </w:rPr>
        <w:t>Company took a series of steps to mitigate the conflicts in the transactions, including, among others, obtaining approval from an independent committee of the board of directors. For additional information regarding the DataBank and Vantage SDC acquisitions, see Note 18. Transactions with Affiliates, in the Company’s consolidated financial statements. In addition, Mr. Ganzi realized substantial payments in connection with the acquisition of a legacy DBH Portfolio Company by DBP II in 2021.</w:t>
      </w:r>
    </w:p>
    <w:p>
      <w:pPr>
        <w:spacing w:after="0" w:line="9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4"/>
          <w:szCs w:val="14"/>
          <w:color w:val="auto"/>
        </w:rPr>
        <w:t>Subject to our Code of Business Conduct and Ethics and related party transaction policies and procedures as applicable, we may continue to enter into transactions or other arrangements with the DBH Portfolio Companies in which there are actual or potential conflicts of interests between us and Mr. Ganzi, Mr. Jenkins and certain other senior employees. Despite having related party policies and procedures in place and having conflict mitigants in such transactions, such transactions may not be on terms as favorable to us as they would have been if they had been negotiated among unrelated parties. In addition, such transactions may result in future conflicts of interest if Mr. Ganzi’s or Mr. Jenkins’ continuing interests in the transaction (if any) are not aligned with the Company's.</w:t>
      </w:r>
    </w:p>
    <w:p>
      <w:pPr>
        <w:spacing w:after="0" w:line="45" w:lineRule="exact"/>
        <w:rPr>
          <w:sz w:val="20"/>
          <w:szCs w:val="20"/>
          <w:color w:val="auto"/>
        </w:rPr>
      </w:pPr>
    </w:p>
    <w:p>
      <w:pPr>
        <w:ind w:right="880"/>
        <w:spacing w:after="0" w:line="271" w:lineRule="auto"/>
        <w:rPr>
          <w:sz w:val="20"/>
          <w:szCs w:val="20"/>
          <w:color w:val="auto"/>
        </w:rPr>
      </w:pPr>
      <w:r>
        <w:rPr>
          <w:rFonts w:ascii="Arial" w:cs="Arial" w:eastAsia="Arial" w:hAnsi="Arial"/>
          <w:sz w:val="16"/>
          <w:szCs w:val="16"/>
          <w:b w:val="1"/>
          <w:bCs w:val="1"/>
          <w:color w:val="auto"/>
        </w:rPr>
        <w:t>We have been and may continue to be subject to the actions of activist stockholders, which could cause us to incur substantial costs, divert management's attention and resources, and have an adverse effect on our business.</w:t>
      </w:r>
    </w:p>
    <w:p>
      <w:pPr>
        <w:spacing w:after="0" w:line="70"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We have been and may continue to be the subject of increased activity by activist stockholders. Responding to stockholder activism can be costly and time-consuming, disrupt our operations and divert the attention of management and our employees from executing our business plan. Activist campaigns can create perceived uncertainties as to our future direction, strategy or leadership and may result in the loss of potential business opportunities, harm our ability to attract new investors, tenants/operators/managers and joint venture partners, cause us to incur increased legal, advisory and other expenses and cause our stock price to experience periods of volatility or stagnation. Moreover, if individuals are elected to our board of directors with a specific agenda, even though less than a majority, our ability to effectively and timely implement our current initiatives and execute on our long-term strategy may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assets may continue to be subject to impairment charges, which could have a material adverse effect on our results of operations.</w:t>
      </w:r>
    </w:p>
    <w:p>
      <w:pPr>
        <w:spacing w:after="0" w:line="115" w:lineRule="exact"/>
        <w:rPr>
          <w:sz w:val="20"/>
          <w:szCs w:val="20"/>
          <w:color w:val="auto"/>
        </w:rPr>
      </w:pPr>
    </w:p>
    <w:p>
      <w:pPr>
        <w:ind w:firstLine="351"/>
        <w:spacing w:after="0" w:line="284" w:lineRule="auto"/>
        <w:rPr>
          <w:sz w:val="20"/>
          <w:szCs w:val="20"/>
          <w:color w:val="auto"/>
        </w:rPr>
      </w:pPr>
      <w:r>
        <w:rPr>
          <w:rFonts w:ascii="Arial" w:cs="Arial" w:eastAsia="Arial" w:hAnsi="Arial"/>
          <w:sz w:val="14"/>
          <w:szCs w:val="14"/>
          <w:color w:val="auto"/>
        </w:rPr>
        <w:t>We evaluate our long-lived assets, primarily real estate held for investment, for impairment periodically or whenever events or changes in circumstances indicate that the carrying amounts may not be recoverable. In evaluating and/or measuring impairment, the Company considers, among other things, current and estimated future cash flows associated with each property, market information for each sub-market and other quantitative and qualitative factors. Another key consideration in this assessment is the Company's assumptions about the highest and best use of its real estate investments and its intent and ability to hold them for a reasonable period that would allow for the recovery of their carrying values. These key assumptions are subjective in nature and could differ materially from actual results if the property was disposed. Changes in our strategy or changes in the marketplace may alter the hold period of an asset or asset group, which may result in an impairment loss, and such loss could be material to our financial condition or operating performance. If, after giving effect to such changes, we conclude that the carrying values of such assets or asset groups are no longer recoverable, we may recognize impairments in future periods equal to the excess of the carrying values over the estimated fair value. Such impairments could have a material adverse effect on our results of operations.</w:t>
      </w:r>
    </w:p>
    <w:p>
      <w:pPr>
        <w:spacing w:after="0" w:line="253" w:lineRule="exact"/>
        <w:rPr>
          <w:sz w:val="20"/>
          <w:szCs w:val="20"/>
          <w:color w:val="auto"/>
        </w:rPr>
      </w:pPr>
    </w:p>
    <w:p>
      <w:pPr>
        <w:ind w:right="300" w:firstLine="351"/>
        <w:spacing w:after="0" w:line="246" w:lineRule="auto"/>
        <w:rPr>
          <w:sz w:val="20"/>
          <w:szCs w:val="20"/>
          <w:color w:val="auto"/>
        </w:rPr>
      </w:pPr>
      <w:r>
        <w:rPr>
          <w:rFonts w:ascii="Arial" w:cs="Arial" w:eastAsia="Arial" w:hAnsi="Arial"/>
          <w:sz w:val="16"/>
          <w:szCs w:val="16"/>
          <w:color w:val="auto"/>
        </w:rPr>
        <w:t>In addition, we have and may continue to recognize impairments on the Company's equity method investments and goodwill. For example, given the prolonged period of time that the carrying value of our investment in BRSP had exceeded its market value, we recognized an $275 million other-than-temporary impairment on its BRSP investment in the second quarter 2020.</w:t>
      </w:r>
    </w:p>
    <w:p>
      <w:pPr>
        <w:spacing w:after="0" w:line="89" w:lineRule="exact"/>
        <w:rPr>
          <w:sz w:val="20"/>
          <w:szCs w:val="20"/>
          <w:color w:val="auto"/>
        </w:rPr>
      </w:pPr>
    </w:p>
    <w:p>
      <w:pPr>
        <w:jc w:val="both"/>
        <w:ind w:right="40" w:firstLine="351"/>
        <w:spacing w:after="0" w:line="246" w:lineRule="auto"/>
        <w:rPr>
          <w:sz w:val="20"/>
          <w:szCs w:val="20"/>
          <w:color w:val="auto"/>
        </w:rPr>
      </w:pPr>
      <w:r>
        <w:rPr>
          <w:rFonts w:ascii="Arial" w:cs="Arial" w:eastAsia="Arial" w:hAnsi="Arial"/>
          <w:sz w:val="16"/>
          <w:szCs w:val="16"/>
          <w:color w:val="auto"/>
        </w:rPr>
        <w:t>These subjective assessments have a direct impact on our net income because recording an impairment charge results in an immediate negative adjustment to net income. There can be no assurance that we will not take additional charges in the future related to the impairment of our assets. Any future impairment could have a material adverse effect on our results of operations in the period in which the charge is taken.</w:t>
      </w:r>
    </w:p>
    <w:p>
      <w:pPr>
        <w:spacing w:after="0" w:line="71" w:lineRule="exact"/>
        <w:rPr>
          <w:sz w:val="20"/>
          <w:szCs w:val="20"/>
          <w:color w:val="auto"/>
        </w:rPr>
      </w:pPr>
    </w:p>
    <w:p>
      <w:pPr>
        <w:ind w:right="660"/>
        <w:spacing w:after="0" w:line="344" w:lineRule="auto"/>
        <w:rPr>
          <w:sz w:val="20"/>
          <w:szCs w:val="20"/>
          <w:color w:val="auto"/>
        </w:rPr>
      </w:pPr>
      <w:r>
        <w:rPr>
          <w:rFonts w:ascii="Arial" w:cs="Arial" w:eastAsia="Arial" w:hAnsi="Arial"/>
          <w:sz w:val="14"/>
          <w:szCs w:val="14"/>
          <w:b w:val="1"/>
          <w:bCs w:val="1"/>
          <w:color w:val="auto"/>
        </w:rPr>
        <w:t>The occurrence of a security breach or a deficiency in our cybersecurity has the potential to disrupt our operations, cause material harm to our financial condition, result in misappropriation of assets, compromise confidential information and/or damage our business relationships.</w:t>
      </w:r>
    </w:p>
    <w:p>
      <w:pPr>
        <w:spacing w:after="0" w:line="24" w:lineRule="exact"/>
        <w:rPr>
          <w:sz w:val="20"/>
          <w:szCs w:val="20"/>
          <w:color w:val="auto"/>
        </w:rPr>
      </w:pPr>
    </w:p>
    <w:p>
      <w:pPr>
        <w:ind w:right="320" w:firstLine="351"/>
        <w:spacing w:after="0" w:line="245" w:lineRule="auto"/>
        <w:rPr>
          <w:sz w:val="20"/>
          <w:szCs w:val="20"/>
          <w:color w:val="auto"/>
        </w:rPr>
      </w:pPr>
      <w:r>
        <w:rPr>
          <w:rFonts w:ascii="Arial" w:cs="Arial" w:eastAsia="Arial" w:hAnsi="Arial"/>
          <w:sz w:val="16"/>
          <w:szCs w:val="16"/>
          <w:color w:val="auto"/>
        </w:rPr>
        <w:t>As an asset manager, our business is highly dependent on information technology networks and systems, including systems provided by third parties over which we have no control. We may also have limited opportunity to verify the effectiveness of systems provided by third parties or to cause third parties to implement necessary or desirable improvements for such systems. In the normal course of business, we and our service providers process proprietary, confidential, and personal information provided by our customers, employees, and vendors. The risk of a security breach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or disruption, particularly through cyber-attacks or cyber intrusions, including by computer hackers, nation-state affiliated actors, and cyber terrorists, has generally increased as the number, intensity and sophistication of attempted attacks and intrusions from around the world have increased. A security breach or a significant and extended disruption to our systems and, in particular, systems provided by third parties, may result in compromise or corruption of, or unauthorized access to, proprietary, confidential, or personal information collected in the course of conducting our business; misappropriation of assets; disruption of our operations, material harm to our financial condition, cash flows, and the market price of our common shares, significant remediation expenses; and increased cybersecurity protection and insurance costs. A security breach or disruption could also interfere with our ability to comply with financial reporting requirements, loss of competitive position, regulatory actions, litigation, breach of contracts, reputational harm, damage to our stakeholder relationships, or legal liability.</w:t>
      </w:r>
    </w:p>
    <w:p>
      <w:pPr>
        <w:spacing w:after="0" w:line="65"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These risks require continuous and likely increasing attention and other resources from us to, among other actions, identify and quantify these risks; upgrade and expand our technologies, systems, and processes to adequately address them; and provide periodic training for our employees to assist them in detecting phishing malware, and other schemes. This diverts time and resources from other activities. Although we make efforts to maintain the security and integrity of our networks and systems, and the proprietary, confidential and personal information that resides on or is transmitted through them, and we have implemented various cyber security policies, procedures capabilities to manage the risk of a security breach or disruption, there can be no assurance that our security efforts and measures will be effective or that attempted security breaches or disruptions would not be successful or damaging.</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realize the anticipated benefits of our strategic partnerships and joint ventures.</w:t>
      </w:r>
    </w:p>
    <w:p>
      <w:pPr>
        <w:spacing w:after="0" w:line="115"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We have and may continue to enter into strategic partnerships and joint ventures to support growth in our business. We may also make investments in partnerships or other co-ownership arrangements or participations with third parties. In connection with our investments, our partners provide, among other things, property management, investment advisory, sub-advisory and other services to us and certain of the companies that we manage. We may not realize any of the anticipated benefits of our strategic partnerships and joint ventures. Such investments and any future strategic partnerships and/or joint ventures subject us and the companies we manage to risks and uncertainties not otherwise present with other methods of investment.</w:t>
      </w:r>
    </w:p>
    <w:p>
      <w:pPr>
        <w:spacing w:after="0" w:line="90"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For a substantial portion of our assets, we rely upon joint venture partners to manage the day-to-day operations of the joint venture and underlying assets, as well as to prepare financial information for the joint venture. Any failure to perform these obligations may have a negative impact on our financial performance and results of operations. In addition, the terms of the agreements with our partners may limit or restrict our ability to make additional capital contributions for the benefit of properties or to sell or otherwise dispose of properties or interests held in joint ventures, even for ventures where we are the controlling partner. In certain instances, we may not control our joint venture investments. In these ventures, the controlling partner(s) may be able to take actions which are not in our best interests or the best interests of the investments we manage. Furthermore, to the extent that our joint venture partner provides services to the companies we manage, certain conflicts of interest will exist. Moreover, we may decide to terminate a strategic relationship or joint venture partner, which could be costly and time-consuming for our management team.</w:t>
      </w:r>
    </w:p>
    <w:p>
      <w:pPr>
        <w:spacing w:after="0" w:line="94"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Any of the above might subject us to liabilities and thus reduce our returns on our investment with that joint venture partner, which in turn may have an adverse effect on our financial condition and results of operations. In addition, disagreements or disputes between us and our joint venture partner(s) could result in litigation, which could increase our expenses and potentially limit the time and effort our officers and directors are able to devote to our business.</w:t>
      </w:r>
    </w:p>
    <w:p>
      <w:pPr>
        <w:spacing w:after="0" w:line="71" w:lineRule="exact"/>
        <w:rPr>
          <w:sz w:val="20"/>
          <w:szCs w:val="20"/>
          <w:color w:val="auto"/>
        </w:rPr>
      </w:pPr>
    </w:p>
    <w:p>
      <w:pPr>
        <w:ind w:right="540"/>
        <w:spacing w:after="0" w:line="271" w:lineRule="auto"/>
        <w:rPr>
          <w:sz w:val="20"/>
          <w:szCs w:val="20"/>
          <w:color w:val="auto"/>
        </w:rPr>
      </w:pPr>
      <w:r>
        <w:rPr>
          <w:rFonts w:ascii="Arial" w:cs="Arial" w:eastAsia="Arial" w:hAnsi="Arial"/>
          <w:sz w:val="16"/>
          <w:szCs w:val="16"/>
          <w:b w:val="1"/>
          <w:bCs w:val="1"/>
          <w:color w:val="auto"/>
        </w:rPr>
        <w:t>We are subject to substantial litigation risks and may face significant liabilities and damage to our professional reputation as a result of litigation allegations and negative publicity.</w:t>
      </w:r>
    </w:p>
    <w:p>
      <w:pPr>
        <w:spacing w:after="0" w:line="70"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In the ordinary course of business, we are subject to the risk of substantial litigation and face significant regulatory oversight. Such litigation and proceedings, including, regulatory actions and shareholder class action suits, may result in defense costs, settlements, fines or judgments against us, some of which may not be covered by insurance. Litigation could be more likely in connection with a change of control transaction or during periods of market dislocation, shareholder activism or proxy contests. Due to the inherent uncertainties of litigation and regulatory proceedings, we cannot accurately predict the ultimate outcome of any such litigation or proceedings. An unfavorable outcome could negatively impact our cash flow, financial condition, results of operations and trading price of our shares of class A common stock.</w:t>
      </w:r>
    </w:p>
    <w:p>
      <w:pPr>
        <w:spacing w:after="0" w:line="94"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In addition, even in the absence of misconduct, we may be exposed to litigation or other adverse consequences where investments perform poorly and investors in or alongside our managed companies experience losses. We depend to a large extent on our business relationships and our reputation for integrity and high-caliber professional services to attract and retain investors and to pursue investment opportunities for us and our managed companies. As a result,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color w:val="auto"/>
        </w:rPr>
        <w:t>allegations of improper conduct by private litigants (including investors in or alongside our managed companies) or regulators, whether the ultimate outcome is favorable or unfavorable to us, as well as negative publicity and press speculation about us, our investment activities or the private equity industry in general, whether or not valid, may harm our reputation, which may be more damaging to our business than to other types of businesses.</w:t>
      </w:r>
    </w:p>
    <w:p>
      <w:pPr>
        <w:spacing w:after="0" w:line="7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b w:val="1"/>
          <w:bCs w:val="1"/>
          <w:color w:val="auto"/>
        </w:rPr>
        <w:t>Employee misconduct could harm us by impairing our ability to attract and retain clients and subjecting us to significant legal liability and reputational harm. Fraud and other deceptive practices or other misconduct at our funds’ portfolio companies could similarly subject us to liability and reputational damage and also harm performance.</w:t>
      </w:r>
    </w:p>
    <w:p>
      <w:pPr>
        <w:spacing w:after="0" w:line="82"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Our employees could engage in misconduct that adversely affects our business. We are subject to a number of obligations and standards arising from our asset management business and our authority over the assets managed by our asset management business. The violation of these obligations and standards by any of our employees would adversely affect our clients and us. Our business often requires that we deal with confidential matters of great significance to companies in which we may invest. If our employees were to improperly use or disclose confidential information, we could suffer serious harm to our reputation, financial position and current and future business relationships. Detecting or deterring employee misconduct is not always possible, and the extensive precautions we take to detect and prevent this activity may not be effective in all cases. If one of our employees were to engage in misconduct or were to be accused of such misconduct, our business and our reputation could be adversely affected.</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recent years, the U.S. Department of Justice and the SEC have devoted greater resources to enforcement of the FCPA. In addition, the U.K. has also significantly expanded the reach of its anti-bribery laws. While we have developed and implemented policies and procedures designed to ensure strict compliance by us and our personnel with the FCPA, such policies and procedures may not be effective in all instances to prevent violations. Any determination that we have violated the FCPA, the U.K.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common stock.</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addition, we may also be adversely affected if there is misconduct by personnel of portfolio companies in which our funds invest. For example, financial fraud or other deceptive practices at our funds’ portfolio companies, or failures by personnel at our funds’ portfolio companies to comply with anti-bribery, trade sanctions, anti-harassment, anti-discrimination or other legal and regulatory requirements, could subject us to, among other things, civil and criminal penalties or material fines, profit disgorgement, injunctions on future conduct and securities litigation, and could also cause significant reputational and business harm to us. Such misconduct may undermine our due diligence efforts with respect to such portfolio companies and could negatively affect the valuations of the investments by our funds in such portfolio companies. In addition, we may face an increased risk of such misconduct to the extent our investment in non-U.S. markets, particularly emerging markets, increases.</w:t>
      </w:r>
    </w:p>
    <w:p>
      <w:pPr>
        <w:spacing w:after="0" w:line="76"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Risks Related to Financing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generate sufficient cash flow to meet all of our existing or potential future debt service obligations.</w:t>
      </w:r>
    </w:p>
    <w:p>
      <w:pPr>
        <w:spacing w:after="0" w:line="115" w:lineRule="exact"/>
        <w:rPr>
          <w:sz w:val="20"/>
          <w:szCs w:val="20"/>
          <w:color w:val="auto"/>
        </w:rPr>
      </w:pPr>
    </w:p>
    <w:p>
      <w:pPr>
        <w:ind w:right="200" w:firstLine="351"/>
        <w:spacing w:after="0" w:line="245" w:lineRule="auto"/>
        <w:rPr>
          <w:sz w:val="20"/>
          <w:szCs w:val="20"/>
          <w:color w:val="auto"/>
        </w:rPr>
      </w:pPr>
      <w:r>
        <w:rPr>
          <w:rFonts w:ascii="Arial" w:cs="Arial" w:eastAsia="Arial" w:hAnsi="Arial"/>
          <w:sz w:val="16"/>
          <w:szCs w:val="16"/>
          <w:color w:val="auto"/>
        </w:rPr>
        <w:t>Our ability to meet all of our existing or potential future debt service obligations (including those under our securitized debt instruments), to refinance our existing or potential future indebtedness, and to fund our operations, working capital, acquisitions, capital expenditures, and other important business uses, depends on our ability to generate sufficient cash flow in the future. Our future cash flow is subject to, among other factors, general economic, industry, financial, competitive, operating, legislative, and regulatory conditions, many of which are beyond our control.</w:t>
      </w:r>
    </w:p>
    <w:p>
      <w:pPr>
        <w:spacing w:after="0" w:line="91"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sources of cash will be available to us on favorable terms, or at all, in amounts sufficient to enable us to meet all of our existing or potential future debt service obligations, or to fund our other important business uses or liquidity needs. Furthermore, if we incur additional indebtedness in connection with future acquisitions or for any other purpose, our existing or potential future debt service obligations could increase significantly and our ability to meet those obligations could depend, in large part, on the returns from such acquisitions or projects, as to which no assurance can be given.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Furthermore, our obligations under the terms of our borrowings could impact us negatively. For example, such obligations could:</w:t>
      </w:r>
    </w:p>
    <w:p>
      <w:pPr>
        <w:spacing w:after="0" w:line="97" w:lineRule="exact"/>
        <w:rPr>
          <w:sz w:val="20"/>
          <w:szCs w:val="20"/>
          <w:color w:val="auto"/>
        </w:rPr>
      </w:pPr>
    </w:p>
    <w:p>
      <w:pPr>
        <w:ind w:left="480" w:right="40" w:hanging="136"/>
        <w:spacing w:after="0" w:line="248" w:lineRule="auto"/>
        <w:tabs>
          <w:tab w:leader="none" w:pos="4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 our ability to obtain additional financing for working capital, capital expenditures, debt service requirements, acquisitions and general corporate or other purposes;</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cause us to make non-strategic divestitures;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hanging="136"/>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 us from paying dividends to our stockholders;</w:t>
      </w:r>
    </w:p>
    <w:p>
      <w:pPr>
        <w:spacing w:after="0" w:line="96" w:lineRule="exact"/>
        <w:rPr>
          <w:rFonts w:ascii="Arial" w:cs="Arial" w:eastAsia="Arial" w:hAnsi="Arial"/>
          <w:sz w:val="16"/>
          <w:szCs w:val="16"/>
          <w:color w:val="auto"/>
        </w:rPr>
      </w:pPr>
    </w:p>
    <w:p>
      <w:pPr>
        <w:ind w:left="480" w:hanging="136"/>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 our vulnerability to general economic and industry conditions; and</w:t>
      </w:r>
    </w:p>
    <w:p>
      <w:pPr>
        <w:spacing w:after="0" w:line="96" w:lineRule="exact"/>
        <w:rPr>
          <w:rFonts w:ascii="Arial" w:cs="Arial" w:eastAsia="Arial" w:hAnsi="Arial"/>
          <w:sz w:val="16"/>
          <w:szCs w:val="16"/>
          <w:color w:val="auto"/>
        </w:rPr>
      </w:pPr>
    </w:p>
    <w:p>
      <w:pPr>
        <w:ind w:left="480" w:right="180" w:hanging="136"/>
        <w:spacing w:after="0" w:line="248" w:lineRule="auto"/>
        <w:tabs>
          <w:tab w:leader="none" w:pos="4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require a substantial portion of cash flow from operations to be dedicated to the payment of principal and interest on our borrowings, thereby reducing our ability to use cash flow to fund our operations, capital expenditures and future business opportunities.</w:t>
      </w:r>
    </w:p>
    <w:p>
      <w:pPr>
        <w:spacing w:after="0" w:line="88"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We may also need to refinance all or a portion of our indebtedness at or prior to the scheduled maturity. Our ability to refinance our indebtedness or obtain additional financing will depend on, among other things, (i) our business, financial condition, liquidity, results of operations, FFO prospects, and then-current market conditions; and (ii) restrictions in the agreements governing our indebtedness. As a result, we may not be able to refinance any of our indebtedness or obtain additional financing on favorable terms, or at all.</w:t>
      </w:r>
    </w:p>
    <w:p>
      <w:pPr>
        <w:spacing w:after="0" w:line="91"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In particular, our securitization co-issuers’ ability to refinance the securitization debt instruments or sell their interests in the securitization collateral will be affected by a number of factors, including the availability of credit for the collateral, the fair market value of the securitization collateral, our securitization entities’ financial condition, the operating history of the securitization managed funds, tax laws and general economic conditions. The ability of our securitization entities to sell or refinance their interests in the securitization collateral at or before the anticipated repayment date of the securitization debt instruments will also be affected by the degree of our success in forming new funds as additional managed funds for the securitization collateral pool. In the event that our securitization entities are not able to refinance the securitization debt instruments prior to the anticipated repayment date for such instruments, the interest payable on such securitization debt instruments will increase, which will reduce the cash flow available to us for other purposes.</w:t>
      </w:r>
    </w:p>
    <w:p>
      <w:pPr>
        <w:spacing w:after="0" w:line="94"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If we do not generate sufficient cash flow from operations and additional borrowings or refinancings are not available to us, we may be unable to meet all of our existing or potential future debt service obligations. As a result, we would be forced to take other actions to meet those obligations, such as selling properties, raising equity or delaying capital expenditures, any of which could have a material adverse effect on us. Furthermore, we cannot assure you that we will be able to effect any of these actions on favorable terms, or at all.</w:t>
      </w:r>
    </w:p>
    <w:p>
      <w:pPr>
        <w:spacing w:after="0" w:line="73"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auto"/>
        </w:rPr>
        <w:t>The securitization transaction documents impose certain restrictions on our activities or the activities of our subsidiaries, and the failure to comply with such restrictions could adversely affect our business.</w:t>
      </w:r>
    </w:p>
    <w:p>
      <w:pPr>
        <w:spacing w:after="0" w:line="374" w:lineRule="exact"/>
        <w:rPr>
          <w:sz w:val="20"/>
          <w:szCs w:val="20"/>
          <w:color w:val="auto"/>
        </w:rPr>
      </w:pPr>
    </w:p>
    <w:p>
      <w:pPr>
        <w:ind w:right="60" w:firstLine="351"/>
        <w:spacing w:after="0" w:line="317" w:lineRule="auto"/>
        <w:rPr>
          <w:sz w:val="20"/>
          <w:szCs w:val="20"/>
          <w:color w:val="auto"/>
        </w:rPr>
      </w:pPr>
      <w:r>
        <w:rPr>
          <w:rFonts w:ascii="Arial" w:cs="Arial" w:eastAsia="Arial" w:hAnsi="Arial"/>
          <w:sz w:val="14"/>
          <w:szCs w:val="14"/>
          <w:color w:val="auto"/>
        </w:rPr>
        <w:t>The indenture and other agreements entered into by certain of our subsidiaries contain various covenants that limit our and our subsidiaries’ ability to engage in specified types of transactions. For example, among other things covenants restrict (subject to certain exceptions) the ability of certain subsidiaries to:</w:t>
      </w:r>
    </w:p>
    <w:p>
      <w:pPr>
        <w:spacing w:after="0" w:line="42" w:lineRule="exact"/>
        <w:rPr>
          <w:sz w:val="20"/>
          <w:szCs w:val="20"/>
          <w:color w:val="auto"/>
        </w:rPr>
      </w:pPr>
    </w:p>
    <w:p>
      <w:pPr>
        <w:ind w:left="480" w:hanging="136"/>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incur or guarantee additional indebtedness;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sell certain assets;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alter the business conducted by our subsidiaries;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create new subsidiaries or alter our current cash distribution arrangements;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create or incur liens on certain assets; or</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consolidate, merge, sell or otherwise dispose of all or substantially all of the assets held within the securitization entities.</w:t>
      </w:r>
    </w:p>
    <w:p>
      <w:pPr>
        <w:spacing w:after="0" w:line="97" w:lineRule="exact"/>
        <w:rPr>
          <w:sz w:val="20"/>
          <w:szCs w:val="20"/>
          <w:color w:val="auto"/>
        </w:rPr>
      </w:pPr>
    </w:p>
    <w:p>
      <w:pPr>
        <w:ind w:right="820" w:firstLine="351"/>
        <w:spacing w:after="0" w:line="248" w:lineRule="auto"/>
        <w:rPr>
          <w:sz w:val="20"/>
          <w:szCs w:val="20"/>
          <w:color w:val="auto"/>
        </w:rPr>
      </w:pPr>
      <w:r>
        <w:rPr>
          <w:rFonts w:ascii="Arial" w:cs="Arial" w:eastAsia="Arial" w:hAnsi="Arial"/>
          <w:sz w:val="16"/>
          <w:szCs w:val="16"/>
          <w:color w:val="auto"/>
        </w:rPr>
        <w:t>In addition, under the transaction documents related to our securitization transactions, a failure to comply with certain covenants could prevent our securitization entities from distributing any excess cash to us, which may limit our ability to make distributions to our stockholders.</w:t>
      </w:r>
    </w:p>
    <w:p>
      <w:pPr>
        <w:spacing w:after="0" w:line="88"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color w:val="auto"/>
        </w:rPr>
        <w:t>As a result of these restrictions, we may not have adequate resources or the flexibility to continue to manage the business and provide for our growth, which could adversely affect our future growth prospects, financial condition, results of operations and liquidity.</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color w:val="auto"/>
        </w:rPr>
        <w:t>The securitized debt instruments issued by certain of our wholly-owned subsidiaries have restrictive terms, and any failure to comply with such terms could result in default, which could adversely affect our business.</w:t>
      </w:r>
    </w:p>
    <w:p>
      <w:pPr>
        <w:spacing w:after="0" w:line="70"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The securitization debt instruments are subject to a series of covenants and restrictions customary for transactions of this type, including (i) that the securitization co-issuers maintain specified reserve accounts to be used to make required payments in respect of the securitization notes, (ii) provisions relating to optional and mandatory prepayments and the related payment of specified amounts, including specified prepayment consideration in the case of the securitization term notes under certain circumstances, (iii) in the event that the securitization notes are not fully repaid by their applicable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respective anticipated repayment dates, provisions relating to additional interest that will begin to accrue from and after such respective anticipated repayment dates and (iv) covenants relating to record keeping, access to information and similar matters. The securitization notes are also subject to customary amortization events, including events tied to failure to maintain stated debt service coverage ratios. The securitization notes are also subject to certain customary events of default, including events relating to non-payment of required interest, principal, or other amounts due on or with respect to the securitization notes, failure to comply with covenants within certain time frames, certain bankruptcy events, breaches of specified representations and warranties and the termination for cause of certain limited partnership agreements of investment vehicles managed by us resulting in a specified percentage decrease of annualized recurring fees.</w:t>
      </w:r>
    </w:p>
    <w:p>
      <w:pPr>
        <w:spacing w:after="0" w:line="65"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In the event that an amortization event occurs under the indenture which would require repayment of the securitization debt instruments or in the event of failure to repay or refinance the securitized debt instruments prior to the anticipated repayment date, the funds available to us would be reduced, which would in turn reduce our ability to operate and/or grow our business. If our subsidiaries are not able to generate sufficient cash flow to service their debt obligations, they may need to refinance or restructure debt, sell assets, reduce or delay capital investments, or seek to raise additional capital. If our subsidiaries are unable to implement one or more of these alternatives, they may not be able to meet debt payment and other obligations which could have an adverse effect on our financial condition.</w:t>
      </w:r>
    </w:p>
    <w:p>
      <w:pPr>
        <w:spacing w:after="0" w:line="76" w:lineRule="exact"/>
        <w:rPr>
          <w:sz w:val="20"/>
          <w:szCs w:val="20"/>
          <w:color w:val="auto"/>
        </w:rPr>
      </w:pPr>
    </w:p>
    <w:p>
      <w:pPr>
        <w:ind w:right="200"/>
        <w:spacing w:after="0" w:line="344" w:lineRule="auto"/>
        <w:rPr>
          <w:sz w:val="20"/>
          <w:szCs w:val="20"/>
          <w:color w:val="auto"/>
        </w:rPr>
      </w:pPr>
      <w:r>
        <w:rPr>
          <w:rFonts w:ascii="Arial" w:cs="Arial" w:eastAsia="Arial" w:hAnsi="Arial"/>
          <w:sz w:val="14"/>
          <w:szCs w:val="14"/>
          <w:b w:val="1"/>
          <w:bCs w:val="1"/>
          <w:color w:val="auto"/>
        </w:rPr>
        <w:t>Changes in the debt financing markets could negatively impact our ability to obtain attractive financing or re-financing for our investments and could increase the cost of such financing if it is obtained, which could lead to lower-yielding investments and potentially decrease our net income.</w:t>
      </w:r>
    </w:p>
    <w:p>
      <w:pPr>
        <w:spacing w:after="0" w:line="2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A significant contraction in the market for debt financing, such as the contraction that occurred in 2008 and 2009, or other adverse changes relating to the terms of such debt financing with, for example, higher interest rates, higher capital requirements and/or more restrictive covenants, particularly in the area of acquisition financings for leveraged buyout and real assets transactions, could have a material adverse impact on our business. In the event that we are unable to obtain committed debt financing for potential acquisitions or can only obtain debt at an increased interest rate or on unfavorable terms, we may have difficulty completing otherwise profitable acquisitions or may generate profits that are lower than would otherwise be the case, either of which could lead to a decrease in the income earned by us. Similarly, we regularly utilize the corporate debt markets in order to obtain financing for our operations. To the extent that the credit markets render such financing difficult to obtain or more expensive, this may negatively impact our operating performance. In addition, to the extent that the markets make it difficult or impossible to refinance debt that is maturing in the near term, we may be unable to repay such debt at maturity and may be forced to sell assets, undergo a recapitalization or seek bankruptcy protection.</w:t>
      </w:r>
    </w:p>
    <w:p>
      <w:pPr>
        <w:spacing w:after="0" w:line="76"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b w:val="1"/>
          <w:bCs w:val="1"/>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70"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The value of our investments in certain assets may decline if long-term interest rates increase. Declines in the value of our investments may ultimately reduce earnings or result in losses to us, which may negatively affect cash available for distribution to our stockholders. Significant increases in interest rates may, among other things, increase the credit risk of our assets by negatively impacting the ability of the borrowers to pay debt service on our floating rate loan assets or our ability to refinance our assets upon maturity, negatively impact the value of the real estate collateralizing our investments (or the real estate we own directly) through the impact such increases can have on property valuation capitalization rates and decrease the value of our fixed-rate debt investments.</w:t>
      </w:r>
    </w:p>
    <w:p>
      <w:pPr>
        <w:spacing w:after="0" w:line="90" w:lineRule="exact"/>
        <w:rPr>
          <w:sz w:val="20"/>
          <w:szCs w:val="20"/>
          <w:color w:val="auto"/>
        </w:rPr>
      </w:pPr>
    </w:p>
    <w:p>
      <w:pPr>
        <w:ind w:right="180" w:firstLine="351"/>
        <w:spacing w:after="0" w:line="245" w:lineRule="auto"/>
        <w:rPr>
          <w:sz w:val="20"/>
          <w:szCs w:val="20"/>
          <w:color w:val="auto"/>
        </w:rPr>
      </w:pPr>
      <w:r>
        <w:rPr>
          <w:rFonts w:ascii="Arial" w:cs="Arial" w:eastAsia="Arial" w:hAnsi="Arial"/>
          <w:sz w:val="16"/>
          <w:szCs w:val="16"/>
          <w:color w:val="auto"/>
        </w:rPr>
        <w:t>In addition, in a period of rising interest rates, our operating results will partially depend on the difference between the income from our assets and financing costs. We anticipate that, in some cases, the income from such assets will respond more slowly to interest rate fluctuations than the cost of our borrowings. Consequently, changes in interest rates, particularly short-term interest rates, may significantly influence our net interest income, which is the difference between the interest income we earn on our interest-earning investments and the interest expense we incur in financing these investments. Increases in these rates could decrease our net income and the market value of our assets.</w:t>
      </w:r>
    </w:p>
    <w:p>
      <w:pPr>
        <w:spacing w:after="0" w:line="90"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Rising interest rates may also affect the yield on our investments or target investments and the financing cost of our debt. If rising interest rates cause us to be unable to acquire a sufficient volume of our target investments with a yield that is above our borrowing cost, our ability to satisfy our investment objectives and to generate income and pay dividends may be materially and adversely affected. Due to the foregoing, significant fluctuations in interest rates could materially and adversely affect our results of operations, financial conditions and our ability to make distributions to our stockholders.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Changes in the reference rate used in our existing floating rate debt instruments and hedging arrangements is uncertain and may adversely affect interest rates on our current or future indebtedness and could hinder our ability to maintain effective hedges, potentially resulting in adverse impacts to our business operations and financial results.</w:t>
      </w:r>
    </w:p>
    <w:p>
      <w:pPr>
        <w:spacing w:after="0" w:line="82"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Our securitization variable funding notes, certain senior and junior subordinated notes and certain hedging transactions determine the applicable interest rate or payment amount by reference to a benchmark rate, such as the London Interbank Offered Rate (“LIBOR”), or to another financial metric. On March 5, 2021, LIBOR’s regulator, the Financial Conduct Authority, and administrator, ICE Benchmark Administration, Limited, announced that the publication of the one-week and two-month US Dollar LIBOR (“USD LIBOR”) maturities and non-USD LIBOR maturities will cease immediately after December 31, 2021, with the remaining USD LIBOR maturities ceasing immediately after June 30, 2023. In the U.S., the Alternative Rates Reference Committee (the “ARRC”), a group of market participants convened in 2014 to help ensure a successful transition away from USD LIBOR, has identified the Secured Overnight Financing Rate (“SOFR”) as its preferred alternative rate. SOFR is a measure of the cost of borrowing cash overnight, collateralized by U.S. Treasury securities, and is based on directly observable U.S. Treasury-backed repurchase transactions. Liquidity in SOFR-linked products has increased significantly this year after the implementation of the SOFR First best practice as recommended by the Market Risk Advisory Committee of the Commodity Futures Trading Commission.</w:t>
      </w:r>
    </w:p>
    <w:p>
      <w:pPr>
        <w:spacing w:after="0" w:line="94"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We can provide no assurance regarding when our current floating rate debt instruments and hedging arrangements will transition from LIBOR as a reference rate to SOFR or another reference rate. To date we have taken steps intended to minimize disruption in our business operations related to changes in the benchmark rate, including, where possible, by providing mechanisms in our LIBOR based instruments that permit or facilitate the movement from LIBOR to replacement benchmarks upon the occurrence of certain defined events occur related to the discontinuation of LIBOR. However, there can be no assurances that such steps will successfully minimize disruption or result in any of the benefits we anticipate. The discontinuation of a benchmark rate or other financial metric, changes in a benchmark rate or other financial metric, or changes in market perceptions of the acceptability of a benchmark rate or other financial metric, including LIBOR, could, among other things, result in increased interest payments, changes to our risk exposures, or require renegotiation of previous transactions. In addition, any such discontinuation or changes, whether actual or anticipated, could result in market volatility, adverse tax or accounting effects, increased compliance, legal and operational costs, and risks associated with contract negotiations. Further, confusion related to the transition from USD LIBOR to SOFR or another replacement reference rate for our floating debt and hedging instruments could have an uncertain economic effect on these instruments, hinder our ability to establish effective hedges and result in a different economic value over time for these instruments than they otherwise would have had under USD LIBOR, any of which could adversely impact our business operations and financial results.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Ownership of Our Securities</w:t>
      </w:r>
    </w:p>
    <w:p>
      <w:pPr>
        <w:spacing w:after="0" w:line="97"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70"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The market price of our class A common stock has been and may continue to be volatile. Our stockholders may not be able to resell their common stock at or above the implied price at which they acquired such common stock due to fluctuations in the market price of our class A common stock, including changes in market price caused by factors unrelated to our operating performance or prospects. Additionally, this volatility and other factors have and may continue to induce stockholder activism, which has been increasing in publicly traded companies in recent years and to which we have and continue to be subject, and could materially disrupt our business, operations and ability to make distributions to our stockholders.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Specific factors that may have a significant effect on the market price of our class A common stock include, among others, the following:</w:t>
      </w:r>
    </w:p>
    <w:p>
      <w:pPr>
        <w:spacing w:after="0" w:line="97" w:lineRule="exact"/>
        <w:rPr>
          <w:sz w:val="20"/>
          <w:szCs w:val="20"/>
          <w:color w:val="auto"/>
        </w:rPr>
      </w:pPr>
    </w:p>
    <w:p>
      <w:pPr>
        <w:ind w:left="480" w:right="580" w:hanging="136"/>
        <w:spacing w:after="0" w:line="248" w:lineRule="auto"/>
        <w:tabs>
          <w:tab w:leader="none" w:pos="4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stock market analyst recommendations or earnings estimates regarding our class A common stock, other companies comparable to it or companies in the industries we serve;</w:t>
      </w:r>
    </w:p>
    <w:p>
      <w:pPr>
        <w:spacing w:after="0" w:line="40" w:lineRule="exact"/>
        <w:rPr>
          <w:rFonts w:ascii="Arial" w:cs="Arial" w:eastAsia="Arial" w:hAnsi="Arial"/>
          <w:sz w:val="16"/>
          <w:szCs w:val="16"/>
          <w:color w:val="auto"/>
        </w:rPr>
      </w:pPr>
    </w:p>
    <w:p>
      <w:pPr>
        <w:ind w:left="480" w:hanging="136"/>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 or future prospects;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reactions to public announcements by us;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our dividend policy;</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impairment charges affecting the carrying value of one or more of our investments;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media attention about our Company or our management team;</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hanging="136"/>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strategic actions taken by our Company or our competitors, such as business separations, acquisitions or restructurings;</w:t>
      </w:r>
    </w:p>
    <w:p>
      <w:pPr>
        <w:spacing w:after="0" w:line="49" w:lineRule="exact"/>
        <w:rPr>
          <w:rFonts w:ascii="Arial" w:cs="Arial" w:eastAsia="Arial" w:hAnsi="Arial"/>
          <w:sz w:val="16"/>
          <w:szCs w:val="16"/>
          <w:color w:val="auto"/>
        </w:rPr>
      </w:pPr>
    </w:p>
    <w:p>
      <w:pPr>
        <w:ind w:left="480" w:right="160" w:hanging="136"/>
        <w:spacing w:after="0" w:line="248" w:lineRule="auto"/>
        <w:tabs>
          <w:tab w:leader="none" w:pos="4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of our Company to achieve the perceived benefits of certain transactions and restructurings, including financial results and anticipated cost savings and synergies, as rapidly as or to the extent anticipated by financial or industry analysts;</w:t>
      </w:r>
    </w:p>
    <w:p>
      <w:pPr>
        <w:spacing w:after="0" w:line="40" w:lineRule="exact"/>
        <w:rPr>
          <w:rFonts w:ascii="Arial" w:cs="Arial" w:eastAsia="Arial" w:hAnsi="Arial"/>
          <w:sz w:val="16"/>
          <w:szCs w:val="16"/>
          <w:color w:val="auto"/>
        </w:rPr>
      </w:pPr>
    </w:p>
    <w:p>
      <w:pPr>
        <w:ind w:left="480" w:hanging="136"/>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or other announcements regarding our key management personnel;</w:t>
      </w:r>
    </w:p>
    <w:p>
      <w:pPr>
        <w:spacing w:after="0" w:line="49" w:lineRule="exact"/>
        <w:rPr>
          <w:rFonts w:ascii="Arial" w:cs="Arial" w:eastAsia="Arial" w:hAnsi="Arial"/>
          <w:sz w:val="16"/>
          <w:szCs w:val="16"/>
          <w:color w:val="auto"/>
        </w:rPr>
      </w:pPr>
    </w:p>
    <w:p>
      <w:pPr>
        <w:ind w:left="480" w:right="280" w:hanging="136"/>
        <w:spacing w:after="0" w:line="248" w:lineRule="auto"/>
        <w:tabs>
          <w:tab w:leader="none" w:pos="4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adverse conditions in the financial market or general U.S. or international economic conditions, including those resulting from war, incidents of terrorism, outbreaks of disease and epidemics, such as the Coronavirus, and responses to such events; and</w:t>
      </w:r>
    </w:p>
    <w:p>
      <w:pPr>
        <w:spacing w:after="0" w:line="40" w:lineRule="exact"/>
        <w:rPr>
          <w:rFonts w:ascii="Arial" w:cs="Arial" w:eastAsia="Arial" w:hAnsi="Arial"/>
          <w:sz w:val="16"/>
          <w:szCs w:val="16"/>
          <w:color w:val="auto"/>
        </w:rPr>
      </w:pPr>
    </w:p>
    <w:p>
      <w:pPr>
        <w:ind w:left="480" w:hanging="136"/>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sales of common stock by our Company, members of our management team or significant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issue additional equity securities, which may dilute your interest in us.</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order to expand our business, we may consider offering class A common stock and securities that are convertible into our class A common stock and may issue additional common stock in connection with acquisitions or joint ventures. If we issue and sell additional shares of our class A common stock, the ownership interests of our existing stockholders will be diluted to the extent they do not participate in the offering. The number of shares of class A common stock that we may issue for cash in non-public offerings without stockholder approval will be limited by the rules of the NYSE. However, we may issue and sell shares of our class A common stock in public offerings, and there generally are exceptions that allow companies to issue a limited number of equity securities in private offerings without stockholder approval, which could dilute your ownership. In July 2020, the OP issued $300 million in aggregate principal balance of 5.75% exchangeable senior notes due 2023, which are exchangeable by the noteholder at any time prior to maturity into shares of our class A common stock. The initial exchange rate, which is subject to adjustment upon the occurrence of certain events, was 434.7826 shares of class A common stock per $1,000 principal amount of notes. In the fourth quarter of 2021, we issued 73,365,420 shares of class A common stock in exchange for approximately $161.261 million aggregate principal amount of the 5.75% exchangeable notes held by certain noteholders in several privately negotiated transactions. The exchange of some or all of the remaining exchangeable notes will further dilute the ownership interests of existing stockholders, and any sales in the public market of shares of our class A common stock issuable upon such exchange of the notes could adversely affect the prevailing market price.</w:t>
      </w:r>
    </w:p>
    <w:p>
      <w:pPr>
        <w:spacing w:after="0" w:line="94"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In addition, we have and may continue to issue OP Units in the OP to current employees or third parties without stockholder approval. During 2019, we issued an aggregate of 22,090,587 OP Units, representing approximately 4.5% of our outstanding class A common stock, primarily in connection with our acquisition of DBH and ownership interest in an edge data center company. Subject to any applicable vesting or lock-up restrictions and pursuant to the terms and conditions of the OP agreement, a holder of OP Units may elect to redeem such OP Units for cash or, at the Company's option, shares of our class A common stock on a one-for-one basis. As a result of such OP Unit issuances and potential future issuances, your ownership will be diluted.</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Our board of directors may modify our authorized shares of stock of any class or series and may create and issue a class or series of common stock or preferred stock without stockholder approval.</w:t>
      </w:r>
    </w:p>
    <w:p>
      <w:pPr>
        <w:spacing w:after="0" w:line="7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Our Articles of Amendment and Restatement (our "Charter") authorizes our board of directors to, without stockholder approval, classify any unissued shares of common stock or preferred stock; reclassify any previously classified, but unissued, shares of common stock or preferred stock into one or more classes or series of stock; and issue such shares of stock so classified or reclassified. Our board of directors may determine the relative rights, preferences, and privileges of any class or series of common stock or preferred stock issued. As a result, we may issue series or classes of common stock or preferred stock with preferences, dividends, powers, and rights (voting or otherwise) senior to the rights of current holders of our class A common stock. The issuance of any such classes or series of common stock or preferred stock could also have the effect of delaying or preventing a change of control transaction that might otherwise be in the best interests of our stockholders.</w:t>
      </w:r>
    </w:p>
    <w:p>
      <w:pPr>
        <w:spacing w:after="0" w:line="76"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Risks Related to Our Incorporation in Maryland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stock ownership limits imposed by the Code for REITs and our Charter may restrict our business combination opportunities.</w:t>
      </w:r>
    </w:p>
    <w:p>
      <w:pPr>
        <w:spacing w:after="0" w:line="115"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In order for us to maintain our qualification as a REIT under the Code, not more than 50% in value of our outstanding stock may be owned, directly or indirectly, by five or fewer individuals (as defined in the Code to include certain entities) at any time during the last half of each taxable year following our first year. Our Charter, with certain exceptions, authorizes our board of directors to take those actions that are necessary and desirable to preserve our qualification as a REIT. In order to assist us in complying with the limitations on the concentration of ownership of REIT stock imposed by the Code,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Charter generally prohibits any person (other than a person who has been granted an exemption) from actually or constructively owning more than 9.8% of the aggregate of the outstanding shares of our capital stock (as defined in our Charter) by value or 9.8% of the aggregate of the outstanding shares of our common stock (as defined in our Charter) by value or by number of shares, whichever is more restrictive. Our board of directors may, in its sole discretion, grant an exemption to the ownership limits, subject to certain conditions and the receipt by our board of directors of certain representations and undertakings. The ownership limits imposed under the Code are based upon direct or indirect ownership by “individuals,” but only during the last half of a tax year. The ownership limits contained in our Charter are based on the ownership at any time by any “person,” which term includes entities. These ownership limitations are common in REIT charters and are intended to provide added assurance of compliance with the tax law requirements, and to minimize administrative burdens. However, the ownership limit on our common stock might also delay or prevent a transaction or a change in our control that might involve a premium price for our common stock or otherwise be in the best interest of our stockholders, and the proposed reduction in the ownership limit could further restrict such transactions that may otherwise not be so delayed or prevented.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provisions of Maryland law could inhibit changes in control.</w:t>
      </w:r>
    </w:p>
    <w:p>
      <w:pPr>
        <w:spacing w:after="0" w:line="115" w:lineRule="exact"/>
        <w:rPr>
          <w:sz w:val="20"/>
          <w:szCs w:val="20"/>
          <w:color w:val="auto"/>
        </w:rPr>
      </w:pPr>
    </w:p>
    <w:p>
      <w:pPr>
        <w:ind w:right="140" w:firstLine="351"/>
        <w:spacing w:after="0" w:line="246" w:lineRule="auto"/>
        <w:rPr>
          <w:sz w:val="20"/>
          <w:szCs w:val="20"/>
          <w:color w:val="auto"/>
        </w:rPr>
      </w:pPr>
      <w:r>
        <w:rPr>
          <w:rFonts w:ascii="Arial" w:cs="Arial" w:eastAsia="Arial" w:hAnsi="Arial"/>
          <w:sz w:val="16"/>
          <w:szCs w:val="16"/>
          <w:color w:val="auto"/>
        </w:rPr>
        <w:t>Certain provisions of the Maryland General Corporation Law ("MGCL") may have the effect of inhibiting a third party from making a proposal to acquire us or impeding a change of control that could provide our stockholders with the opportunity to realize a premium over the then-prevailing market price of our common stock, including:</w:t>
      </w:r>
    </w:p>
    <w:p>
      <w:pPr>
        <w:spacing w:after="0" w:line="89" w:lineRule="exact"/>
        <w:rPr>
          <w:sz w:val="20"/>
          <w:szCs w:val="20"/>
          <w:color w:val="auto"/>
        </w:rPr>
      </w:pPr>
    </w:p>
    <w:p>
      <w:pPr>
        <w:ind w:left="480" w:right="80" w:hanging="136"/>
        <w:spacing w:after="0" w:line="245" w:lineRule="auto"/>
        <w:tabs>
          <w:tab w:leader="none" w:pos="4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thereof, for five years after the most recent date on which the stockholder becomes an interested stockholder, and thereafter imposes special appraisal rights and supermajority voting requirements on these combinations; and</w:t>
      </w:r>
    </w:p>
    <w:p>
      <w:pPr>
        <w:spacing w:after="0" w:line="90" w:lineRule="exact"/>
        <w:rPr>
          <w:rFonts w:ascii="Arial" w:cs="Arial" w:eastAsia="Arial" w:hAnsi="Arial"/>
          <w:sz w:val="16"/>
          <w:szCs w:val="16"/>
          <w:color w:val="auto"/>
        </w:rPr>
      </w:pPr>
    </w:p>
    <w:p>
      <w:pPr>
        <w:ind w:left="480" w:right="40" w:hanging="136"/>
        <w:spacing w:after="0" w:line="245" w:lineRule="auto"/>
        <w:tabs>
          <w:tab w:leader="none" w:pos="4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“control share” provisions that provide that holders of “control shares” of our company (defined as voting shares which, when aggregated with all other shares owned or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stockholders by the affirmative vote of at least two-thirds of all the votes entitled to be cast on the matter, excluding all interested shares.</w:t>
      </w:r>
    </w:p>
    <w:p>
      <w:pPr>
        <w:spacing w:after="0" w:line="9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a board of directors prior to the time that the “interested stockholder” becomes an interested stockholder. Our board of directors has, by resolution, exempted any business combination between us and any person who is an existing, or becomes in the future, an “interested stockholder,” provided that any such business combination is first approved by our board of directors (including a majority of the directors of our company who are not affiliates or associates of such person). Consequently, the five-year prohibition and the supermajority vote requirements will not apply to business combinations between us and any such person. As a result, such person may be able to enter into business combinations with us that may not be in the best interest of our stockholders, without compliance with the supermajority vote requirements and the other provisions of the statute. Additionally, this resolution may be altered, revoked or repealed in whole or in part at any time and we may opt back into the business combination provisions of the MGCL. If this resolution is revoked or repealed, the statute may discourage others from trying to acquire control of us and increase the difficulty of consummating any offer. In the case of the control share provisions of the MGCL, we have elected to opt out of these provisions of the MGCL pursuant to a provision in our bylaws.</w:t>
      </w:r>
    </w:p>
    <w:p>
      <w:pPr>
        <w:spacing w:after="0" w:line="76"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b w:val="1"/>
          <w:bCs w:val="1"/>
          <w:color w:val="auto"/>
        </w:rPr>
        <w:t>Conflicts of interest may exist or could arise in the future with the OP and its members, which may impede business decisions that could benefit our stockholders.</w:t>
      </w:r>
    </w:p>
    <w:p>
      <w:pPr>
        <w:spacing w:after="0" w:line="7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Conflicts of interest may exist or could arise as a result of the relationships between us and our affiliates, on the one hand, and the OP or any member thereof, on the other. Our directors and officers have duties to our Company and our stockholders under applicable Maryland law in connection with their management of our Company. At the same time, the Company, as sole managing member of the OP, has fiduciary duties to the OP and to its members under Delaware law in connection with the management of the OP. Our duties to the OP and its members, as the sole managing member, may come into conflict with the duties of our directors and officers to our Company and our stockholders. As of the date of this report, Mr. Ganzi indirectly owns approximately 1.7% in the OP. These conflicts may be resolved in a manner that is not in the best interest of our stockholders.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Regulatory Risks</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Extensive regulation in the United States and abroad affects our activities, increases the cost of doing business and creates the potential for significant liabilities that could adversely affect our business and results of operations.</w:t>
      </w:r>
    </w:p>
    <w:p>
      <w:pPr>
        <w:spacing w:after="0" w:line="70"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and state securities commissions in the United States, are empowered to grant, and in specific circumstances to cancel, permissions to carry on particular activities, and to conduct investigations and administrative proceedings that can result in fines, suspensions of personnel or other sanctions, including censure, the issuance of cease-and-desist orders or the suspension or expulsion of applicable licenses and memberships.</w:t>
      </w:r>
    </w:p>
    <w:p>
      <w:pPr>
        <w:spacing w:after="0" w:line="90"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Recent SEC focus areas have also included, among other things, the misuse of material non-public information, material impacts on portfolio companies owned by private funds (e.g., real estate related investments) due to recent economic conditions, and compliance with practices described in fund disclosures regarding the use of limited partner advisory committees, including whether advisory committee approvals were properly obtained in accordance with fund disclosures.</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SEC’s oversight, inspections and examinations of global investment firms, including our firm, have continued to focus on transparency, investor disclosure practices, fees and expenses, valuation and conflicts of interest and whether firms have adequate policies and procedures to ensure compliance with federal securities laws in connection with these and other areas of focus. For example, our managed companies routinely engage our affiliated entities to provide asset level services, in accordance with the relevant fund legal documents. While we believe we have procedures in place reasonably designed to monitor and make appropriate and timely disclosures regarding the engagement and compensation of our affiliated services providers and other matters of current regulatory focus, the SEC’s inspections of our firm have raised concerns about these and other areas of our operations. While we believe we will be able to address such concerns without a material adverse effect on our business, results of operations or financial condition, regulatory matters are uncertain and we may be required to incur costs or take actions that could have a material adverse effect on us.</w:t>
      </w:r>
    </w:p>
    <w:p>
      <w:pPr>
        <w:spacing w:after="0" w:line="94"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In addition, 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the state pension funds (i.e., “ pay to play” practices). Such “pay to play” practices are subject to extensive federal and state regulation, and any failure on our part to comply with rules surrounding “pay to play” practices could expose us to significant penalties and reputational damage.</w:t>
      </w:r>
    </w:p>
    <w:p>
      <w:pPr>
        <w:spacing w:after="0" w:line="91" w:lineRule="exact"/>
        <w:rPr>
          <w:sz w:val="20"/>
          <w:szCs w:val="20"/>
          <w:color w:val="auto"/>
        </w:rPr>
      </w:pPr>
    </w:p>
    <w:p>
      <w:pPr>
        <w:ind w:right="140" w:firstLine="351"/>
        <w:spacing w:after="0" w:line="244" w:lineRule="auto"/>
        <w:rPr>
          <w:sz w:val="20"/>
          <w:szCs w:val="20"/>
          <w:color w:val="auto"/>
        </w:rPr>
      </w:pPr>
      <w:r>
        <w:rPr>
          <w:rFonts w:ascii="Arial" w:cs="Arial" w:eastAsia="Arial" w:hAnsi="Arial"/>
          <w:sz w:val="16"/>
          <w:szCs w:val="16"/>
          <w:color w:val="auto"/>
        </w:rPr>
        <w:t>Further, we expect a greater level of SEC enforcement activity under the Biden administration, and it is possible this enforcement activity will target practices that we believe are compliant and that were not targeted by prior administrations. We regularly are subject to requests for information and informal or formal investigations by the SEC and other regulatory authorities, with which we routinely cooperate and, in the current environment, even historical practices that have been previously examined are being revisited. Even if an investigation or proceeding does not result in a sanction or the sanction imposed against us or our personnel by a regulator were small in monetary amount, the costs incurred in responding to such matters could be material and the adverse publicity relating to the investigation, proceeding or imposition of these sanctions could harm our reputation and cause us to lose existing investors or fail to gain new investors or discourage others from doing business with us.</w:t>
      </w:r>
    </w:p>
    <w:p>
      <w:pPr>
        <w:spacing w:after="0" w:line="94" w:lineRule="exact"/>
        <w:rPr>
          <w:sz w:val="20"/>
          <w:szCs w:val="20"/>
          <w:color w:val="auto"/>
        </w:rPr>
      </w:pPr>
    </w:p>
    <w:p>
      <w:pPr>
        <w:ind w:right="100" w:firstLine="351"/>
        <w:spacing w:after="0" w:line="286" w:lineRule="auto"/>
        <w:rPr>
          <w:sz w:val="20"/>
          <w:szCs w:val="20"/>
          <w:color w:val="auto"/>
        </w:rPr>
      </w:pPr>
      <w:r>
        <w:rPr>
          <w:rFonts w:ascii="Arial" w:cs="Arial" w:eastAsia="Arial" w:hAnsi="Arial"/>
          <w:sz w:val="14"/>
          <w:szCs w:val="14"/>
          <w:color w:val="auto"/>
        </w:rPr>
        <w:t>In addition, we regularly rely on exemptions from various requirements of the Securities Act, the Exchange Act, the 1940 Act, the Commodity Exchange Act and ERISA in conducting our investment activities in the United States. Similarly, in conducting our investment activities outside the United States, we rely on available exemptions from the regulatory regimes of various foreign jurisdictions. These exemptions from regulation within the United States and abroad are sometimes highly complex and may, in certain circumstances, depend on compliance by third parties whom we do not control. If for any reason these exemptions were to become unavailable to us, we could become subject to regulatory action or third party claims and our business could be materially and adversely affected. Moreover, the requirements imposed by our regulators are designed primarily to ensure the integrity of the financial markets and to protect investors 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funds and are not designed to protect our stockholders. Consequently, these regulations often serve to limit our activities and impose burdensome compliance requirements.</w:t>
      </w:r>
    </w:p>
    <w:p>
      <w:pPr>
        <w:spacing w:after="0" w:line="88"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as a result of, among others, the Dodd-Frank Wall Street Reform and Consumer Protection Act, may impose additional costs on us, require the attention of our senior management or result in limitations on the manner in which we conduct our business. It is expected that the Biden administration will increase the number of financial regulations and regulators. Furthermore, we may become subject to additional regulatory and compliance burdens as we expand our product offerings and investment platform, including raising additional funds. Moreover, as calls for additional regulation have increased as a result of heightened regulatory focus in the financial industry, there may be a related increase in regulatory investigations of the trading and other investment activities of alternative asset management funds, including our managed companies. Compliance with any new laws or regulations could make compliance more difficult and expensive, affect the manner in which we conduct our business and adversely affect our profitability.</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b w:val="1"/>
          <w:bCs w:val="1"/>
          <w:color w:val="auto"/>
        </w:rPr>
        <w:t>Failure to satisfy the 40% limitation or to qualify for an exception or exemption from registration under the 1940 Act could require us to register as an investment company or substantially change the way we conduct our business, either of which may have an adverse effect on us and the market price for shares of our class A common stock.</w:t>
      </w:r>
    </w:p>
    <w:p>
      <w:pPr>
        <w:spacing w:after="0" w:line="82" w:lineRule="exact"/>
        <w:rPr>
          <w:sz w:val="20"/>
          <w:szCs w:val="20"/>
          <w:color w:val="auto"/>
        </w:rPr>
      </w:pPr>
    </w:p>
    <w:p>
      <w:pPr>
        <w:ind w:right="20" w:firstLine="351"/>
        <w:spacing w:after="0" w:line="291" w:lineRule="auto"/>
        <w:rPr>
          <w:sz w:val="20"/>
          <w:szCs w:val="20"/>
          <w:color w:val="auto"/>
        </w:rPr>
      </w:pPr>
      <w:r>
        <w:rPr>
          <w:rFonts w:ascii="Arial" w:cs="Arial" w:eastAsia="Arial" w:hAnsi="Arial"/>
          <w:sz w:val="14"/>
          <w:szCs w:val="14"/>
          <w:color w:val="auto"/>
        </w:rPr>
        <w:t>We intend to conduct our operations so that we and our subsidiaries are not required to register as investment companies under the 1940 Act. Compliance with the 40% limitation on holding investment securities under the 1940 Act and maintenance of applicable exceptions or exemptions impose certain requirements on how we structure our balance sheet investments and manage our sponsored funds. Continuing satisfaction of the 40% limitation or qualification for an exception or exemption from registration under the 1940 Act will limit our ability to make certain investments or change the relevant mix of our investments.</w:t>
      </w:r>
    </w:p>
    <w:p>
      <w:pPr>
        <w:spacing w:after="0" w:line="61" w:lineRule="exact"/>
        <w:rPr>
          <w:sz w:val="20"/>
          <w:szCs w:val="20"/>
          <w:color w:val="auto"/>
        </w:rPr>
      </w:pPr>
    </w:p>
    <w:p>
      <w:pPr>
        <w:ind w:right="220" w:firstLine="351"/>
        <w:spacing w:after="0" w:line="244" w:lineRule="auto"/>
        <w:rPr>
          <w:sz w:val="20"/>
          <w:szCs w:val="20"/>
          <w:color w:val="auto"/>
        </w:rPr>
      </w:pPr>
      <w:r>
        <w:rPr>
          <w:rFonts w:ascii="Arial" w:cs="Arial" w:eastAsia="Arial" w:hAnsi="Arial"/>
          <w:sz w:val="16"/>
          <w:szCs w:val="16"/>
          <w:color w:val="auto"/>
        </w:rPr>
        <w:t>If we fail to satisfy the 40% limitation or to maintain any applicable exception or exemption from registration as an investment company under the 1940 Act, either because of changes in SEC guidance or otherwise, we could be required to, among other things: (i) substantially change the manner in which we conduct our operations and the assets that we own to avoid being required to register as an investment company under the 1940 Act; or (ii) register as an investment company. Either of (i) or (ii) could have an adverse effect on us and the market price for shares of our class A common stock. If we are required to register as an investment company under the 1940 Act, we would become subject to substantial regulation with respect to our capital structure (including our ability to use leverage), management, operations, transactions with affiliated persons (as defined in the 1940 Act), portfolio composition, including restrictions with respect to diversification and industry concentration, and other matters.</w:t>
      </w:r>
    </w:p>
    <w:p>
      <w:pPr>
        <w:spacing w:after="0" w:line="38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b w:val="1"/>
          <w:bCs w:val="1"/>
          <w:color w:val="auto"/>
        </w:rPr>
        <w:t>Regulation of subsidiaries of our company under the Investment Advisers Act subjects us to the anti-fraud provisions of the Investment Advisers Act and to fiduciary duties derived from these provisions.</w:t>
      </w:r>
    </w:p>
    <w:p>
      <w:pPr>
        <w:spacing w:after="0" w:line="70"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We have subsidiaries that are registered with the SEC as investment advisers under the Investment Advisers Act. As a result, we are subject to the anti-fraud provisions of the Investment Advisers Act and to fiduciary duties derived from these provisions that apply to our relationships with our managed companies. These provisions and duties impose restrictions and obligations on us with respect to our dealings with our managed companies' investors and our investments, including, for example, restrictions on agency, cross and principal transactions, and transactions with affiliated service providers. We or our registered investment adviser subsidiaries will be subject to periodic SEC examinations and other requirements under the Investment Advisers Act and related regulations primarily intended to benefit advisory clients. These additional requirements relate to, among other things, maintaining an effective and comprehensive compliance program, recordkeeping and reporting requirements and disclosure requirements. Examinations of private fund advisers have resulted in a range of actions, including deficiency letters and, where appropriate, referrals to the Division of Enforcement. The Investment Advisers Act generally grants the SEC broad administrative powers, including the power to limit or restrict an investment adviser from conducting advisory activities in the event it fails to comply with federal securities laws. Additional sanctions that may be imposed for failure to comply with applicable requirements under the Investment Advisers Act include the prohibition of individuals from associating with an investment adviser, the revocation of registrations and other censures and fines. We expect continued focus by the SEC on private fund advisers and a greater level of SEC enforcement activity under the Biden administration.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regarding climate change may adversely affect our financial condition and results of operations.</w:t>
      </w:r>
    </w:p>
    <w:p>
      <w:pPr>
        <w:spacing w:after="0" w:line="115"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Changes in federal and state legislation and regulations on climate change could result in utility expenses and/or capital expenditures to improve the energy efficiency of our existing properties or other related aspects of our properties in order to comply with such regulations or otherwise adapt to climate change. These regulations may require unplanned capital improvements, and increased engagement to manage occupant energy use, which is a large driver of building performance. If our properties cannot meet performance standards, we could be exposed to fines for non-compliance, as well as a decrease in demand and a decline in value. As a result, our financial condition and results of operations could be adversely affected.</w:t>
      </w:r>
    </w:p>
    <w:p>
      <w:pPr>
        <w:spacing w:after="0" w:line="72"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Risks Related to Taxation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qualification as a REIT involves complying with highly technical and complex provisions of the Code.</w:t>
      </w:r>
    </w:p>
    <w:p>
      <w:pPr>
        <w:spacing w:after="0" w:line="115"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We elected to be taxed as a REIT under the U.S. federal income tax laws commencing with our taxable year ended December 31, 2017. Our qualification as a REIT involves the application of highly technical and complex provisions of the Code for which only limited judicial and administrative authorities exist and even a technical or inadvertent violation could jeopardize our REIT qualification. New legislation, court decisions or administrative guidance, in each case possibly with retroactive effect, may make it more difficult or impossible for us to qualify as a REIT. In addition, the pace of growth of our investment management business, coupled with the completion of our legacy asset monetizations, may result in a decision to not continue as a REIT in 2022 or thereafter.</w:t>
      </w:r>
    </w:p>
    <w:p>
      <w:pPr>
        <w:spacing w:after="0" w:line="90" w:lineRule="exact"/>
        <w:rPr>
          <w:sz w:val="20"/>
          <w:szCs w:val="20"/>
          <w:color w:val="auto"/>
        </w:rPr>
      </w:pPr>
    </w:p>
    <w:p>
      <w:pPr>
        <w:ind w:right="100" w:firstLine="351"/>
        <w:spacing w:after="0" w:line="248" w:lineRule="auto"/>
        <w:rPr>
          <w:sz w:val="20"/>
          <w:szCs w:val="20"/>
          <w:color w:val="auto"/>
        </w:rPr>
      </w:pPr>
      <w:r>
        <w:rPr>
          <w:rFonts w:ascii="Arial" w:cs="Arial" w:eastAsia="Arial" w:hAnsi="Arial"/>
          <w:sz w:val="16"/>
          <w:szCs w:val="16"/>
          <w:color w:val="auto"/>
        </w:rPr>
        <w:t>Our qualification as a REIT depends on our ongoing satisfaction of certain gross asset, gross income, organizational, distribution, stockholder ownership and other requirements:</w:t>
      </w:r>
    </w:p>
    <w:p>
      <w:pPr>
        <w:spacing w:after="0" w:line="88" w:lineRule="exact"/>
        <w:rPr>
          <w:sz w:val="20"/>
          <w:szCs w:val="20"/>
          <w:color w:val="auto"/>
        </w:rPr>
      </w:pPr>
    </w:p>
    <w:p>
      <w:pPr>
        <w:ind w:left="480" w:right="60" w:hanging="136"/>
        <w:spacing w:after="0" w:line="245" w:lineRule="auto"/>
        <w:tabs>
          <w:tab w:leader="none" w:pos="4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compliance depends upon the characterization of our assets and income for REIT purposes, as well as the relative values of our assets, some of which are not susceptible to a precise determination and for which we typically do not obtain independent appraisals. Moreover, we invest in certain assets with respect to which the rules applicable to REITs may be particularly difficult to interpret or to apply, including certain of our target digital infrastructure and real estate assets. If the IRS challenged our treatment of investments for purposes of the REIT asset and income tests, and if such a challenge were sustained, we could fail to qualify as a REIT.</w:t>
      </w:r>
    </w:p>
    <w:p>
      <w:pPr>
        <w:spacing w:after="0" w:line="89" w:lineRule="exact"/>
        <w:rPr>
          <w:rFonts w:ascii="Arial" w:cs="Arial" w:eastAsia="Arial" w:hAnsi="Arial"/>
          <w:sz w:val="16"/>
          <w:szCs w:val="16"/>
          <w:color w:val="auto"/>
        </w:rPr>
      </w:pPr>
    </w:p>
    <w:p>
      <w:pPr>
        <w:ind w:left="480" w:right="100" w:hanging="136"/>
        <w:spacing w:after="0" w:line="245" w:lineRule="auto"/>
        <w:tabs>
          <w:tab w:leader="none" w:pos="4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fact that we own direct or indirect interests in several REITs, each a Subsidiary REIT, further complicates the application of the REIT requirements for us. Each Subsidiary REIT is subject to the various REIT qualification requirements that are applicable to us and certain other requirements. If a Subsidiary REIT were to fail to qualify as a REIT, then (i) that Subsidiary REIT would become subject to regular U.S. federal corporate income tax, (ii) our interest in such Subsidiary REIT would cease to be a qualifying asset for purposes of the REIT asset tests, and (iii) it is possible that we would fail certain of the REIT asset tests, in which event we also would fail to qualify as a REIT unless we could avail ourselves of relief provisions.</w:t>
      </w:r>
    </w:p>
    <w:p>
      <w:pPr>
        <w:spacing w:after="0" w:line="90" w:lineRule="exact"/>
        <w:rPr>
          <w:sz w:val="20"/>
          <w:szCs w:val="20"/>
          <w:color w:val="auto"/>
        </w:rPr>
      </w:pPr>
    </w:p>
    <w:p>
      <w:pPr>
        <w:ind w:firstLine="351"/>
        <w:spacing w:after="0" w:line="288" w:lineRule="auto"/>
        <w:rPr>
          <w:sz w:val="20"/>
          <w:szCs w:val="20"/>
          <w:color w:val="auto"/>
        </w:rPr>
      </w:pPr>
      <w:r>
        <w:rPr>
          <w:rFonts w:ascii="Arial" w:cs="Arial" w:eastAsia="Arial" w:hAnsi="Arial"/>
          <w:sz w:val="14"/>
          <w:szCs w:val="14"/>
          <w:color w:val="auto"/>
        </w:rPr>
        <w:t>If we were to fail to qualify as a REIT in any taxable year, we would be subject to U.S. federal corporate income tax on our taxable income at the regular corporate rate, and dividends paid to our stockholders would not be deductible by us in computing our taxable income. Any resulting corporate tax liability could be substantial and would reduce the amount of cash available for distribution to our stockholders, which in turn could have an adverse impact on the value of our class A Common Stock. In addition, we would no longer be required to make distributions to stockholders. Unless we were entitled to relief under certain Code provisions, we also would be disqualified from taxation as a REIT for the four taxable years following the year in which we failed to qualify as a REIT.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Complying with REIT requirements may force us to forgo and/or liquidate otherwise attractive investment opportunities.</w:t>
      </w:r>
    </w:p>
    <w:p>
      <w:pPr>
        <w:spacing w:after="0" w:line="115"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To qualify as a REIT, we must ensure that we meet the REIT gross income tests annually and that at the end of each calendar quarter, at least 75% of the value of our assets consists of cash, cash items, government securities and qualified REIT real estate assets. Compliance with these limitations, particularly given the nature of some of our digital and other investments (including international investments and certain hedging transactions), may hinder our ability to acquire, optimally finance, or maintain ownership of otherwise attractive investments. To maintain our REIT qualification we could sell or be required to sell assets more quickly and on less favorable terms than in a sale not required for REIT qualification.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ownership of assets and conduct of operations through our TRSs is limited and involves certain risks for us.</w:t>
      </w:r>
    </w:p>
    <w:p>
      <w:pPr>
        <w:spacing w:after="0" w:line="115" w:lineRule="exact"/>
        <w:rPr>
          <w:sz w:val="20"/>
          <w:szCs w:val="20"/>
          <w:color w:val="auto"/>
        </w:rPr>
      </w:pPr>
    </w:p>
    <w:p>
      <w:pPr>
        <w:ind w:right="660" w:firstLine="351"/>
        <w:spacing w:after="0" w:line="248" w:lineRule="auto"/>
        <w:rPr>
          <w:sz w:val="20"/>
          <w:szCs w:val="20"/>
          <w:color w:val="auto"/>
        </w:rPr>
      </w:pPr>
      <w:r>
        <w:rPr>
          <w:rFonts w:ascii="Arial" w:cs="Arial" w:eastAsia="Arial" w:hAnsi="Arial"/>
          <w:sz w:val="16"/>
          <w:szCs w:val="16"/>
          <w:color w:val="auto"/>
        </w:rPr>
        <w:t>Consistent with the REIT qualification requirements, we acquire and own significant assets through our TRSs, including our investment management business. Our TRSs generally will be subject to U.S. federal income tax, and/or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applicable foreign, state and local tax. Only their after-tax net income is available for distribution to us and our stockholders. The REIT rules limit our use of TRSs, including as follows:</w:t>
      </w:r>
    </w:p>
    <w:p>
      <w:pPr>
        <w:spacing w:after="0" w:line="88" w:lineRule="exact"/>
        <w:rPr>
          <w:sz w:val="20"/>
          <w:szCs w:val="20"/>
          <w:color w:val="auto"/>
        </w:rPr>
      </w:pPr>
    </w:p>
    <w:p>
      <w:pPr>
        <w:ind w:left="480" w:right="80" w:hanging="136"/>
        <w:spacing w:after="0" w:line="248" w:lineRule="auto"/>
        <w:tabs>
          <w:tab w:leader="none" w:pos="4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more than 20% of the value of our gross assets may consist of stock or securities of one or more TRSs and no more than 25% of our gross income can consist of dividend, non-mortgage interest income, or gain from our TRSs securities.</w:t>
      </w:r>
    </w:p>
    <w:p>
      <w:pPr>
        <w:spacing w:after="0" w:line="87" w:lineRule="exact"/>
        <w:rPr>
          <w:rFonts w:ascii="Arial" w:cs="Arial" w:eastAsia="Arial" w:hAnsi="Arial"/>
          <w:sz w:val="16"/>
          <w:szCs w:val="16"/>
          <w:color w:val="auto"/>
        </w:rPr>
      </w:pPr>
    </w:p>
    <w:p>
      <w:pPr>
        <w:ind w:left="480" w:hanging="136"/>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100% excise tax applies to certain amounts related to transactions involving a TRS and its parent REIT that are not priced on an arm’s-length basis.</w:t>
      </w:r>
    </w:p>
    <w:p>
      <w:pPr>
        <w:spacing w:after="0" w:line="96" w:lineRule="exact"/>
        <w:rPr>
          <w:rFonts w:ascii="Arial" w:cs="Arial" w:eastAsia="Arial" w:hAnsi="Arial"/>
          <w:sz w:val="16"/>
          <w:szCs w:val="16"/>
          <w:color w:val="auto"/>
        </w:rPr>
      </w:pPr>
    </w:p>
    <w:p>
      <w:pPr>
        <w:ind w:left="480" w:right="280" w:hanging="136"/>
        <w:spacing w:after="0" w:line="246" w:lineRule="auto"/>
        <w:tabs>
          <w:tab w:leader="none" w:pos="4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leases with our TRSs must be respected as true leases for U.S. federal income tax purposes and must not be treated as service contracts, joint ventures or some other type of arrangement in order for us to qualify as a REIT and our TRSs must not directly or indirectly operate hotels or healthcare property.</w:t>
      </w:r>
    </w:p>
    <w:p>
      <w:pPr>
        <w:spacing w:after="0" w:line="89" w:lineRule="exact"/>
        <w:rPr>
          <w:sz w:val="20"/>
          <w:szCs w:val="20"/>
          <w:color w:val="auto"/>
        </w:rPr>
      </w:pPr>
    </w:p>
    <w:p>
      <w:pPr>
        <w:ind w:right="360" w:firstLine="351"/>
        <w:spacing w:after="0" w:line="248" w:lineRule="auto"/>
        <w:rPr>
          <w:sz w:val="20"/>
          <w:szCs w:val="20"/>
          <w:color w:val="auto"/>
        </w:rPr>
      </w:pPr>
      <w:r>
        <w:rPr>
          <w:rFonts w:ascii="Arial" w:cs="Arial" w:eastAsia="Arial" w:hAnsi="Arial"/>
          <w:sz w:val="16"/>
          <w:szCs w:val="16"/>
          <w:color w:val="auto"/>
        </w:rPr>
        <w:t>We are mindful of these limitations and analyze and structure the income and operations of our TRSs to mitigate these costs and risks to us to the extent practicable, but we may not always be successful in all cases.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ability of our board of directors to revoke our REIT election without stockholder approval may cause adverse consequences to our stockholders.</w:t>
      </w:r>
    </w:p>
    <w:p>
      <w:pPr>
        <w:spacing w:after="0" w:line="138" w:lineRule="exact"/>
        <w:rPr>
          <w:sz w:val="20"/>
          <w:szCs w:val="20"/>
          <w:color w:val="auto"/>
        </w:rPr>
      </w:pPr>
    </w:p>
    <w:p>
      <w:pPr>
        <w:ind w:right="220" w:firstLine="351"/>
        <w:spacing w:after="0" w:line="245" w:lineRule="auto"/>
        <w:rPr>
          <w:sz w:val="20"/>
          <w:szCs w:val="20"/>
          <w:color w:val="auto"/>
        </w:rPr>
      </w:pPr>
      <w:r>
        <w:rPr>
          <w:rFonts w:ascii="Arial" w:cs="Arial" w:eastAsia="Arial" w:hAnsi="Arial"/>
          <w:sz w:val="16"/>
          <w:szCs w:val="16"/>
          <w:color w:val="auto"/>
        </w:rPr>
        <w:t>Our Charter provides that the board of directors may revoke or otherwise terminate our REIT election, without the approval of our stockholders, if the board determines that it is no longer in our best interest to continue to qualify as a REIT. If we cease to qualify as a REIT, we would become subject to U.S. federal income tax on our net taxable income and we generally would no longer be required to distribute any of our net taxable income to our stockholders, which could adversely affect the attractiveness and value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a risk of changes in the tax law applicable to REITs.</w:t>
      </w:r>
    </w:p>
    <w:p>
      <w:pPr>
        <w:spacing w:after="0" w:line="115"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The IRS, the United States Treasury Department and Congress frequently review U.S. federal income tax legislation, regulations and other guidance. We cannot predict whether, when or to what extent new U.S. federal tax laws, regulations, interpretations or rulings will be adopted. Any legislative action may prospectively or retroactively modify our tax treatment and, therefore, may adversely affect our taxation or our stockholders. We urge you to consult with your tax advisor with respect to the status of legislative, regulatory or administrative developments and proposals and their potential effect on an investment in our stock. Although REITs generally receive certain tax advantages compared to entities taxed as non-REIT “C” corporations, it is possible that future legislation would result in a REIT having fewer tax advantages, and it could become more advantageous for us to elect to be treated for U.S. federal income tax purposes as a non-REIT “C” corporation.</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color w:val="auto"/>
        </w:rPr>
        <w:t>The REIT distribution requirements apply only if we have taxable income and, if we are required to make distributions, we will have less cash available to execute our business plan.</w:t>
      </w:r>
    </w:p>
    <w:p>
      <w:pPr>
        <w:spacing w:after="0" w:line="70"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We generally must distribute annually at least 90% of our “REIT taxable income” (subject to certain adjustments and excluding any net capital gain) in order to qualify as a REIT, and any REIT taxable income that we do not distribute will be subject to U.S. corporate income tax at regular rates. If we do not have REIT taxable income or to the extent we utilize loss carryovers from prior years to reduce REIT taxable income, we will not be required to make distributions to stockholders.</w:t>
      </w:r>
    </w:p>
    <w:p>
      <w:pPr>
        <w:spacing w:after="0" w:line="91"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We may generate taxable income greater than our income for financial reporting purposes prepared in accordance with GAAP, or differences in timing between the recognition of taxable income and the actual receipt of cash may occur. As a result of both the requirement to distribute 90% of our REIT taxable income each year (and to pay tax on any REIT taxable income that we do not distribute) and the fact that our taxable income could exceed our cash income, we may find it difficult to meet the REIT distribution requirements in certain circumstances while also having adequate cash resources to execute our business plan. In particular, where we experience differences in timing between the recognition of taxable income and the actual receipt of cash, the requirement to distribute a substantial portion of our taxable income could cause us to: (i) sell assets in adverse market conditions, (ii) borrow on unfavorable terms, or (iii) distribute amounts that would otherwise be invested in future acquisitions, capital expenditures or repayment of debt in order to comply with REIT requirements. These alternatives could increase our costs, reduce our equity, and/or result in stockholders being taxed on distributions of shares of stock without receiving cash sufficient to pay the resulting taxes. Thus, compliance with the REIT distribution requirements may hinder our ability to grow, which could adversely affect the value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payable by REITs do not qualify for the preferential tax rates available for some dividends.</w:t>
      </w:r>
    </w:p>
    <w:p>
      <w:pPr>
        <w:spacing w:after="0" w:line="115" w:lineRule="exact"/>
        <w:rPr>
          <w:sz w:val="20"/>
          <w:szCs w:val="20"/>
          <w:color w:val="auto"/>
        </w:rPr>
      </w:pPr>
    </w:p>
    <w:p>
      <w:pPr>
        <w:ind w:right="120" w:firstLine="351"/>
        <w:spacing w:after="0" w:line="246" w:lineRule="auto"/>
        <w:rPr>
          <w:sz w:val="20"/>
          <w:szCs w:val="20"/>
          <w:color w:val="auto"/>
        </w:rPr>
      </w:pPr>
      <w:r>
        <w:rPr>
          <w:rFonts w:ascii="Arial" w:cs="Arial" w:eastAsia="Arial" w:hAnsi="Arial"/>
          <w:sz w:val="16"/>
          <w:szCs w:val="16"/>
          <w:color w:val="auto"/>
        </w:rPr>
        <w:t>The maximum U.S. federal income tax rate applicable to "qualified dividend income" paid by non-REIT "C" corporations to U.S. stockholders that are individuals, trusts and estates generally is 20%, whereas ordinary income dividends payable by REITs to those U.S. stockholders generally are not eligible for the 20% rate. Although the reduced</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rates applicable to dividend income from non-REIT "C" corporations do not adversely affect the taxation of REITs or dividends payable by REITs, it could cause investors who are non-corporate taxpayers to perceive investments in REITs to be relatively less attractive than investments in the shares of non-REIT "C" corporations that pay dividends, which could adversely affect the value of our Common Stock.</w:t>
      </w:r>
    </w:p>
    <w:p>
      <w:pPr>
        <w:spacing w:after="0" w:line="71"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b w:val="1"/>
          <w:bCs w:val="1"/>
          <w:color w:val="auto"/>
        </w:rPr>
        <w:t>We might elect to distribute our common stock in a taxable distribution in order to satisfy the REIT distribution requirements, in which case stockholders may sell shares of our common stock to pay tax on such distributions, placing downward pressure on the market price of our common stock.</w:t>
      </w:r>
    </w:p>
    <w:p>
      <w:pPr>
        <w:spacing w:after="0" w:line="82"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To make required REIT distributions and preserve cash, we might elect to make taxable distributions that are payable partly in cash and partly in shares of our common stock. If we made a taxable dividend payable in cash and shares of our common stock, taxable stockholders receiving such distributions will be taxed on the full amount of the distribution that otherwise would be a dividend for tax purposes, even though part is paid in stock. If we made a taxable dividend payable in cash and our common stock and a significant number of stockholders determine to sell shares of our common stock in order to pay taxes owed on dividends, it may put downward pressure on the trading price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 if we continue to qualify as a REIT, we may face other tax liabilities that reduce our cash available for distribution to stockholders.</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We are subject to U.S. federal and state income tax (and any applicable non-U.S. taxes) on the net income earned by our TRSs. Our TRSs generally are expected to have material assets and income. In addition, we have substantial operations and assets outside of the U.S. that are subject to tax in those countries, which are not likely to generate an offsetting credit for taxes in the U.S. Even if we qualify for taxation as a REIT, we may be subject to certain U.S. federal, state and local taxes on our income and assets, including taxes on any undistributed income, tax on income from assets or activities that we undertake after foreclosing on our tenants or borrowers, and state or local income, property and transfer taxes, such as mortgage recording taxes. In addition, if we have net income from “prohibited transactions,” that income will be subject to a 100% tax. In general, “prohibited transactions” are sales or other dispositions of property, other than foreclosure property held primarily for sale to customers in the ordinary course of business. Finally, we could, in certain circumstances, be required to pay an excise or penalty tax (which could be significant in amount) in order to utilize one or more relief provisions under the Code to maintain our qualification as a REIT. Any of these taxes would decrease cash available for distribution to our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our tax benefits could be substantially limited if we experience an “ownership change.”</w:t>
      </w:r>
    </w:p>
    <w:p>
      <w:pPr>
        <w:spacing w:after="0" w:line="115" w:lineRule="exact"/>
        <w:rPr>
          <w:sz w:val="20"/>
          <w:szCs w:val="20"/>
          <w:color w:val="auto"/>
        </w:rPr>
      </w:pPr>
    </w:p>
    <w:p>
      <w:pPr>
        <w:ind w:right="140" w:firstLine="351"/>
        <w:spacing w:after="0" w:line="244" w:lineRule="auto"/>
        <w:rPr>
          <w:sz w:val="20"/>
          <w:szCs w:val="20"/>
          <w:color w:val="auto"/>
        </w:rPr>
      </w:pPr>
      <w:r>
        <w:rPr>
          <w:rFonts w:ascii="Arial" w:cs="Arial" w:eastAsia="Arial" w:hAnsi="Arial"/>
          <w:sz w:val="16"/>
          <w:szCs w:val="16"/>
          <w:color w:val="auto"/>
        </w:rPr>
        <w:t>Our net operating loss (“NOL”) carryforwards and certain recognized built-in losses may be limited by Sections 382 and 383 of the Code if we experience an “ownership change.” In general, an “ownership change” occurs if 5% stockholders increase their collective ownership of the aggregate amount of the outstanding shares of our company by more than 50 percentage points looking back over the relevant testing period. If an ownership change occurs, our ability to use our NOLs and certain recognized built-in losses to reduce our REIT distribution requirements or taxable income in a future year would be limited to a Section 382 limitation equal to the fair market value of our stock immediately prior to the ownership change multiplied by the long-term tax-exempt interest rate in effect for the month of the ownership change. The determination of whether an ownership change has occurred or will occur is complicated and depends on changes in percentage stock ownership among stockholders. Therefore, no assurance can be provided as to whether an ownership change has occurred or will occur in the future</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We will be subject to corporate income tax on the sale of assets acquired from or previously held by a non-REIT “C” corporation within five years of our acquisition of those assets or our becoming a REIT.</w:t>
      </w:r>
    </w:p>
    <w:p>
      <w:pPr>
        <w:spacing w:after="0" w:line="70"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If a REIT previously was a non-REIT “C” corporation, or it acquires any asset from a non-REIT “C” corporation, or a corporation that generally is subject to full corporate-level tax, in a merger or other transaction in which it acquires a basis in the asset that is determined by reference either to the non-REIT “C” corporation’s basis in the asset or to another asset, the REIT generally will pay tax at the highest regular corporate rate applicable if it recognizes gain on the sale or disposition of the asset during the five-year period after it becomes a REIT or it acquires the asset.</w:t>
      </w:r>
    </w:p>
    <w:p>
      <w:pPr>
        <w:spacing w:after="0" w:line="73" w:lineRule="exact"/>
        <w:rPr>
          <w:sz w:val="20"/>
          <w:szCs w:val="20"/>
          <w:color w:val="auto"/>
        </w:rPr>
      </w:pPr>
    </w:p>
    <w:p>
      <w:pPr>
        <w:ind w:right="580"/>
        <w:spacing w:after="0" w:line="271" w:lineRule="auto"/>
        <w:rPr>
          <w:sz w:val="20"/>
          <w:szCs w:val="20"/>
          <w:color w:val="auto"/>
        </w:rPr>
      </w:pPr>
      <w:r>
        <w:rPr>
          <w:rFonts w:ascii="Arial" w:cs="Arial" w:eastAsia="Arial" w:hAnsi="Arial"/>
          <w:sz w:val="16"/>
          <w:szCs w:val="16"/>
          <w:b w:val="1"/>
          <w:bCs w:val="1"/>
          <w:color w:val="auto"/>
        </w:rPr>
        <w:t>We may incur adverse tax consequences if DigitalBridge was to have failed to qualify as a REIT for U.S. federal income tax purposes prior to the Merger.</w:t>
      </w:r>
    </w:p>
    <w:p>
      <w:pPr>
        <w:spacing w:after="0" w:line="70"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In connection with the closing of the Merger, we received an opinion of counsel to the effect that DigitalBridge qualified as a REIT for U.S. federal income tax purposes under the Code through the time of the Merger. We did not request a ruling from the Internal Revenue Service (the “IRS”) that DigitalBridge qualified as a REIT. If, notwithstanding the opinion, DigitalBridge’s REIT status for periods prior to the Merger were successfully challenged, we would face serious adverse tax consequences (ranging from corporate tax liability to loss of REIT status for past and future years) that would substantially reduce our FFO, including cash available to pay dividends to our stockholders.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color w:val="auto"/>
        </w:rPr>
        <w:t>We could be subject to increased taxes if the tax authorities in various international jurisdictions were to modify tax rules and regulations on which we have relied in structuring our international investments.</w:t>
      </w:r>
    </w:p>
    <w:p>
      <w:pPr>
        <w:spacing w:after="0" w:line="70" w:lineRule="exact"/>
        <w:rPr>
          <w:sz w:val="20"/>
          <w:szCs w:val="20"/>
          <w:color w:val="auto"/>
        </w:rPr>
      </w:pPr>
    </w:p>
    <w:p>
      <w:pPr>
        <w:ind w:right="140" w:firstLine="351"/>
        <w:spacing w:after="0" w:line="246" w:lineRule="auto"/>
        <w:rPr>
          <w:sz w:val="20"/>
          <w:szCs w:val="20"/>
          <w:color w:val="auto"/>
        </w:rPr>
      </w:pPr>
      <w:r>
        <w:rPr>
          <w:rFonts w:ascii="Arial" w:cs="Arial" w:eastAsia="Arial" w:hAnsi="Arial"/>
          <w:sz w:val="16"/>
          <w:szCs w:val="16"/>
          <w:color w:val="auto"/>
        </w:rPr>
        <w:t>We currently receive favorable tax treatment in various international jurisdictions through tax rules, regulations, tax authority rulings, and international tax treaties. Should changes occur to these rules, regulations, rulings or treaties, we may no longer receive such benefits, and consequently, the amount of taxes we pay with respect to our international investments may increase.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61" w:lineRule="exact"/>
        <w:rPr>
          <w:sz w:val="20"/>
          <w:szCs w:val="20"/>
          <w:color w:val="auto"/>
        </w:rPr>
      </w:pPr>
    </w:p>
    <w:p>
      <w:pPr>
        <w:jc w:val="both"/>
        <w:ind w:right="20" w:firstLine="351"/>
        <w:spacing w:after="0" w:line="246" w:lineRule="auto"/>
        <w:rPr>
          <w:sz w:val="20"/>
          <w:szCs w:val="20"/>
          <w:color w:val="auto"/>
        </w:rPr>
      </w:pPr>
      <w:r>
        <w:rPr>
          <w:rFonts w:ascii="Arial" w:cs="Arial" w:eastAsia="Arial" w:hAnsi="Arial"/>
          <w:sz w:val="16"/>
          <w:szCs w:val="16"/>
          <w:color w:val="auto"/>
        </w:rPr>
        <w:t>Our corporate headquarters are located in Boca Raton, Florida, where we lease approximately 31,500 square feet of office space. We also lease office space for the remaining eight corporate locations in four countries across the U.S., Europe and Asia. We believe that our offices are suitable and adequate for conducting our business.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Investment Properties</w:t>
      </w:r>
    </w:p>
    <w:p>
      <w:pPr>
        <w:spacing w:after="0" w:line="115"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16"/>
          <w:szCs w:val="16"/>
          <w:color w:val="auto"/>
        </w:rPr>
        <w:t>At December 31, 2021, the Company's investment properties were composed of 13 hyperscale data centers in North America, and 65 colocation data centers across U.S. and Europe, providing a combined 326 megawatts of power capacity and 1.95 million rentable square feet, of which 80% of the total square footage is leased. 50 of the 78 data centers are leasehold properties.</w:t>
      </w:r>
    </w:p>
    <w:p>
      <w:pPr>
        <w:spacing w:after="0" w:line="89" w:lineRule="exact"/>
        <w:rPr>
          <w:sz w:val="20"/>
          <w:szCs w:val="20"/>
          <w:color w:val="auto"/>
        </w:rPr>
      </w:pPr>
    </w:p>
    <w:p>
      <w:pPr>
        <w:ind w:right="260" w:firstLine="351"/>
        <w:spacing w:after="0" w:line="248" w:lineRule="auto"/>
        <w:rPr>
          <w:sz w:val="20"/>
          <w:szCs w:val="20"/>
          <w:color w:val="auto"/>
        </w:rPr>
      </w:pPr>
      <w:r>
        <w:rPr>
          <w:rFonts w:ascii="Arial" w:cs="Arial" w:eastAsia="Arial" w:hAnsi="Arial"/>
          <w:sz w:val="16"/>
          <w:szCs w:val="16"/>
          <w:color w:val="auto"/>
        </w:rPr>
        <w:t>The Company's portfolio included 322,000 square feet of pre-stabilized data centers (properties with more than 5% of rentable square feet currently under development or expected to be under development in the next 12 months).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3" w:name="page44"/>
    <w:bookmarkEnd w:id="43"/>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6"/>
        <w:spacing w:after="0"/>
        <w:rPr>
          <w:sz w:val="20"/>
          <w:szCs w:val="20"/>
          <w:color w:val="auto"/>
        </w:rPr>
      </w:pPr>
      <w:r>
        <w:rPr>
          <w:rFonts w:ascii="Arial" w:cs="Arial" w:eastAsia="Arial" w:hAnsi="Arial"/>
          <w:sz w:val="16"/>
          <w:szCs w:val="16"/>
          <w:color w:val="auto"/>
        </w:rPr>
        <w:t>Below is an overview of the Company's data center portfolio at December 31, 2021.</w:t>
      </w:r>
    </w:p>
    <w:p>
      <w:pPr>
        <w:spacing w:after="0" w:line="256" w:lineRule="exact"/>
        <w:rPr>
          <w:sz w:val="20"/>
          <w:szCs w:val="20"/>
          <w:color w:val="auto"/>
        </w:rPr>
      </w:pPr>
    </w:p>
    <w:tbl>
      <w:tblPr>
        <w:tblLayout w:type="fixed"/>
        <w:tblInd w:w="6" w:type="dxa"/>
        <w:tblCellMar>
          <w:top w:w="0" w:type="dxa"/>
          <w:left w:w="0" w:type="dxa"/>
          <w:bottom w:w="0" w:type="dxa"/>
          <w:right w:w="0" w:type="dxa"/>
        </w:tblCellMar>
      </w:tblPr>
      <w:tr>
        <w:trPr>
          <w:trHeight w:val="146"/>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5"/>
          </w:tcPr>
          <w:p>
            <w:pPr>
              <w:jc w:val="center"/>
              <w:ind w:left="591"/>
              <w:spacing w:after="0"/>
              <w:rPr>
                <w:sz w:val="20"/>
                <w:szCs w:val="20"/>
                <w:color w:val="auto"/>
              </w:rPr>
            </w:pPr>
            <w:r>
              <w:rPr>
                <w:rFonts w:ascii="Arial" w:cs="Arial" w:eastAsia="Arial" w:hAnsi="Arial"/>
                <w:sz w:val="11"/>
                <w:szCs w:val="11"/>
                <w:b w:val="1"/>
                <w:bCs w:val="1"/>
                <w:color w:val="auto"/>
                <w:w w:val="99"/>
              </w:rPr>
              <w:t>Number of Properties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Maximum Critical IT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47"/>
        </w:trPr>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jc w:val="center"/>
              <w:ind w:right="100"/>
              <w:spacing w:after="0" w:line="47" w:lineRule="exact"/>
              <w:rPr>
                <w:sz w:val="20"/>
                <w:szCs w:val="20"/>
                <w:color w:val="auto"/>
              </w:rPr>
            </w:pPr>
            <w:r>
              <w:rPr>
                <w:rFonts w:ascii="Arial" w:cs="Arial" w:eastAsia="Arial" w:hAnsi="Arial"/>
                <w:sz w:val="4"/>
                <w:szCs w:val="4"/>
                <w:b w:val="1"/>
                <w:bCs w:val="1"/>
                <w:color w:val="auto"/>
              </w:rPr>
              <w:t xml:space="preserve">Square Feet </w:t>
            </w:r>
            <w:r>
              <w:rPr>
                <w:rFonts w:ascii="Arial" w:cs="Arial" w:eastAsia="Arial" w:hAnsi="Arial"/>
                <w:sz w:val="5"/>
                <w:szCs w:val="5"/>
                <w:b w:val="1"/>
                <w:bCs w:val="1"/>
                <w:color w:val="auto"/>
                <w:vertAlign w:val="superscript"/>
              </w:rPr>
              <w:t>(1)</w:t>
            </w: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tcPr>
          <w:p>
            <w:pPr>
              <w:jc w:val="center"/>
              <w:ind w:right="100"/>
              <w:spacing w:after="0" w:line="47" w:lineRule="exact"/>
              <w:rPr>
                <w:sz w:val="20"/>
                <w:szCs w:val="20"/>
                <w:color w:val="auto"/>
              </w:rPr>
            </w:pPr>
            <w:r>
              <w:rPr>
                <w:rFonts w:ascii="Arial" w:cs="Arial" w:eastAsia="Arial" w:hAnsi="Arial"/>
                <w:sz w:val="5"/>
                <w:szCs w:val="5"/>
                <w:b w:val="1"/>
                <w:bCs w:val="1"/>
                <w:color w:val="auto"/>
              </w:rPr>
              <w:t>Power Capacity</w:t>
            </w:r>
          </w:p>
        </w:tc>
        <w:tc>
          <w:tcPr>
            <w:tcW w:w="100" w:type="dxa"/>
            <w:vAlign w:val="bottom"/>
          </w:tcPr>
          <w:p>
            <w:pPr>
              <w:spacing w:after="0"/>
              <w:rPr>
                <w:sz w:val="4"/>
                <w:szCs w:val="4"/>
                <w:color w:val="auto"/>
              </w:rPr>
            </w:pPr>
          </w:p>
        </w:tc>
        <w:tc>
          <w:tcPr>
            <w:tcW w:w="1140" w:type="dxa"/>
            <w:vAlign w:val="bottom"/>
          </w:tcPr>
          <w:p>
            <w:pPr>
              <w:jc w:val="right"/>
              <w:ind w:right="72"/>
              <w:spacing w:after="0" w:line="47" w:lineRule="exact"/>
              <w:rPr>
                <w:sz w:val="20"/>
                <w:szCs w:val="20"/>
                <w:color w:val="auto"/>
              </w:rPr>
            </w:pPr>
            <w:r>
              <w:rPr>
                <w:rFonts w:ascii="Arial" w:cs="Arial" w:eastAsia="Arial" w:hAnsi="Arial"/>
                <w:sz w:val="4"/>
                <w:szCs w:val="4"/>
                <w:b w:val="1"/>
                <w:bCs w:val="1"/>
                <w:color w:val="auto"/>
              </w:rPr>
              <w:t xml:space="preserve">Annualized MRR </w:t>
            </w:r>
            <w:r>
              <w:rPr>
                <w:rFonts w:ascii="Arial" w:cs="Arial" w:eastAsia="Arial" w:hAnsi="Arial"/>
                <w:sz w:val="5"/>
                <w:szCs w:val="5"/>
                <w:b w:val="1"/>
                <w:bCs w:val="1"/>
                <w:color w:val="auto"/>
                <w:vertAlign w:val="superscript"/>
              </w:rPr>
              <w:t>(4)</w:t>
            </w:r>
          </w:p>
        </w:tc>
      </w:tr>
      <w:tr>
        <w:trPr>
          <w:trHeight w:val="155"/>
        </w:trPr>
        <w:tc>
          <w:tcPr>
            <w:tcW w:w="3460" w:type="dxa"/>
            <w:vAlign w:val="bottom"/>
            <w:gridSpan w:val="4"/>
          </w:tcPr>
          <w:p>
            <w:pPr>
              <w:ind w:left="1460"/>
              <w:spacing w:after="0"/>
              <w:rPr>
                <w:sz w:val="20"/>
                <w:szCs w:val="20"/>
                <w:color w:val="auto"/>
              </w:rPr>
            </w:pPr>
            <w:r>
              <w:rPr>
                <w:rFonts w:ascii="Arial" w:cs="Arial" w:eastAsia="Arial" w:hAnsi="Arial"/>
                <w:sz w:val="11"/>
                <w:szCs w:val="11"/>
                <w:b w:val="1"/>
                <w:bCs w:val="1"/>
                <w:color w:val="auto"/>
              </w:rPr>
              <w:t>Location</w:t>
            </w:r>
          </w:p>
        </w:tc>
        <w:tc>
          <w:tcPr>
            <w:tcW w:w="900" w:type="dxa"/>
            <w:vAlign w:val="bottom"/>
            <w:gridSpan w:val="2"/>
          </w:tcPr>
          <w:p>
            <w:pPr>
              <w:ind w:left="240"/>
              <w:spacing w:after="0"/>
              <w:rPr>
                <w:sz w:val="20"/>
                <w:szCs w:val="20"/>
                <w:color w:val="auto"/>
              </w:rPr>
            </w:pPr>
            <w:r>
              <w:rPr>
                <w:rFonts w:ascii="Arial" w:cs="Arial" w:eastAsia="Arial" w:hAnsi="Arial"/>
                <w:sz w:val="11"/>
                <w:szCs w:val="11"/>
                <w:b w:val="1"/>
                <w:bCs w:val="1"/>
                <w:color w:val="auto"/>
              </w:rPr>
              <w:t>Owned</w:t>
            </w:r>
          </w:p>
        </w:tc>
        <w:tc>
          <w:tcPr>
            <w:tcW w:w="10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Leased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('000)</w:t>
            </w:r>
          </w:p>
        </w:tc>
        <w:tc>
          <w:tcPr>
            <w:tcW w:w="100" w:type="dxa"/>
            <w:vAlign w:val="bottom"/>
          </w:tcPr>
          <w:p>
            <w:pPr>
              <w:spacing w:after="0"/>
              <w:rPr>
                <w:sz w:val="13"/>
                <w:szCs w:val="13"/>
                <w:color w:val="auto"/>
              </w:rPr>
            </w:pPr>
          </w:p>
        </w:tc>
        <w:tc>
          <w:tcPr>
            <w:tcW w:w="1240" w:type="dxa"/>
            <w:vAlign w:val="bottom"/>
            <w:gridSpan w:val="2"/>
          </w:tcPr>
          <w:p>
            <w:pPr>
              <w:ind w:left="260"/>
              <w:spacing w:after="0" w:line="155" w:lineRule="exact"/>
              <w:rPr>
                <w:sz w:val="20"/>
                <w:szCs w:val="20"/>
                <w:color w:val="auto"/>
              </w:rPr>
            </w:pPr>
            <w:r>
              <w:rPr>
                <w:rFonts w:ascii="Arial" w:cs="Arial" w:eastAsia="Arial" w:hAnsi="Arial"/>
                <w:sz w:val="11"/>
                <w:szCs w:val="11"/>
                <w:b w:val="1"/>
                <w:bCs w:val="1"/>
                <w:color w:val="auto"/>
              </w:rPr>
              <w:t xml:space="preserve">Leased % </w:t>
            </w:r>
            <w:r>
              <w:rPr>
                <w:rFonts w:ascii="Arial" w:cs="Arial" w:eastAsia="Arial" w:hAnsi="Arial"/>
                <w:sz w:val="14"/>
                <w:szCs w:val="14"/>
                <w:b w:val="1"/>
                <w:bCs w:val="1"/>
                <w:color w:val="auto"/>
                <w:vertAlign w:val="superscript"/>
              </w:rPr>
              <w:t>(2)</w:t>
            </w:r>
          </w:p>
        </w:tc>
        <w:tc>
          <w:tcPr>
            <w:tcW w:w="1320" w:type="dxa"/>
            <w:vAlign w:val="bottom"/>
            <w:gridSpan w:val="2"/>
          </w:tcPr>
          <w:p>
            <w:pPr>
              <w:jc w:val="center"/>
              <w:ind w:right="120"/>
              <w:spacing w:after="0" w:line="156" w:lineRule="exact"/>
              <w:rPr>
                <w:sz w:val="20"/>
                <w:szCs w:val="20"/>
                <w:color w:val="auto"/>
              </w:rPr>
            </w:pPr>
            <w:r>
              <w:rPr>
                <w:rFonts w:ascii="Arial" w:cs="Arial" w:eastAsia="Arial" w:hAnsi="Arial"/>
                <w:sz w:val="18"/>
                <w:szCs w:val="18"/>
                <w:b w:val="1"/>
                <w:bCs w:val="1"/>
                <w:color w:val="auto"/>
                <w:w w:val="98"/>
                <w:vertAlign w:val="subscript"/>
              </w:rPr>
              <w:t>mW</w:t>
            </w:r>
            <w:r>
              <w:rPr>
                <w:rFonts w:ascii="Arial" w:cs="Arial" w:eastAsia="Arial" w:hAnsi="Arial"/>
                <w:sz w:val="7"/>
                <w:szCs w:val="7"/>
                <w:b w:val="1"/>
                <w:bCs w:val="1"/>
                <w:color w:val="auto"/>
                <w:w w:val="98"/>
              </w:rPr>
              <w:t xml:space="preserve"> (3)</w:t>
            </w:r>
          </w:p>
        </w:tc>
        <w:tc>
          <w:tcPr>
            <w:tcW w:w="100" w:type="dxa"/>
            <w:vAlign w:val="bottom"/>
          </w:tcPr>
          <w:p>
            <w:pPr>
              <w:spacing w:after="0"/>
              <w:rPr>
                <w:sz w:val="13"/>
                <w:szCs w:val="13"/>
                <w:color w:val="auto"/>
              </w:rPr>
            </w:pPr>
          </w:p>
        </w:tc>
        <w:tc>
          <w:tcPr>
            <w:tcW w:w="1140" w:type="dxa"/>
            <w:vAlign w:val="bottom"/>
          </w:tcPr>
          <w:p>
            <w:pPr>
              <w:jc w:val="right"/>
              <w:ind w:right="212"/>
              <w:spacing w:after="0"/>
              <w:rPr>
                <w:sz w:val="20"/>
                <w:szCs w:val="20"/>
                <w:color w:val="auto"/>
              </w:rPr>
            </w:pPr>
            <w:r>
              <w:rPr>
                <w:rFonts w:ascii="Arial" w:cs="Arial" w:eastAsia="Arial" w:hAnsi="Arial"/>
                <w:sz w:val="11"/>
                <w:szCs w:val="11"/>
                <w:b w:val="1"/>
                <w:bCs w:val="1"/>
                <w:color w:val="auto"/>
              </w:rPr>
              <w:t>($ in millions)</w:t>
            </w:r>
          </w:p>
        </w:tc>
      </w:tr>
      <w:tr>
        <w:trPr>
          <w:trHeight w:val="151"/>
        </w:trPr>
        <w:tc>
          <w:tcPr>
            <w:tcW w:w="3380" w:type="dxa"/>
            <w:vAlign w:val="bottom"/>
            <w:tcBorders>
              <w:top w:val="single" w:sz="8" w:color="auto"/>
            </w:tcBorders>
            <w:gridSpan w:val="3"/>
          </w:tcPr>
          <w:p>
            <w:pPr>
              <w:spacing w:after="0" w:line="144" w:lineRule="exact"/>
              <w:rPr>
                <w:sz w:val="20"/>
                <w:szCs w:val="20"/>
                <w:color w:val="auto"/>
              </w:rPr>
            </w:pPr>
            <w:r>
              <w:rPr>
                <w:rFonts w:ascii="Arial" w:cs="Arial" w:eastAsia="Arial" w:hAnsi="Arial"/>
                <w:sz w:val="14"/>
                <w:szCs w:val="14"/>
                <w:b w:val="1"/>
                <w:bCs w:val="1"/>
                <w:color w:val="auto"/>
              </w:rPr>
              <w:t>Hyperscale Data Centers</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95"/>
        </w:trPr>
        <w:tc>
          <w:tcPr>
            <w:tcW w:w="16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North America</w:t>
            </w:r>
          </w:p>
        </w:tc>
        <w:tc>
          <w:tcPr>
            <w:tcW w:w="1800" w:type="dxa"/>
            <w:vAlign w:val="bottom"/>
            <w:gridSpan w:val="2"/>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California</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Washington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5"/>
        </w:trPr>
        <w:tc>
          <w:tcPr>
            <w:tcW w:w="3460" w:type="dxa"/>
            <w:vAlign w:val="bottom"/>
            <w:tcBorders>
              <w:bottom w:val="single" w:sz="8" w:color="CCEEFF"/>
            </w:tcBorders>
            <w:gridSpan w:val="4"/>
          </w:tcPr>
          <w:p>
            <w:pPr>
              <w:ind w:left="200"/>
              <w:spacing w:after="0"/>
              <w:rPr>
                <w:sz w:val="20"/>
                <w:szCs w:val="20"/>
                <w:color w:val="auto"/>
              </w:rPr>
            </w:pPr>
            <w:r>
              <w:rPr>
                <w:rFonts w:ascii="Arial" w:cs="Arial" w:eastAsia="Arial" w:hAnsi="Arial"/>
                <w:sz w:val="14"/>
                <w:szCs w:val="14"/>
                <w:color w:val="auto"/>
              </w:rPr>
              <w:t>Canada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81"/>
        </w:trPr>
        <w:tc>
          <w:tcPr>
            <w:tcW w:w="1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140"/>
        </w:trPr>
        <w:tc>
          <w:tcPr>
            <w:tcW w:w="1640" w:type="dxa"/>
            <w:vAlign w:val="bottom"/>
            <w:tcBorders>
              <w:bottom w:val="single" w:sz="8" w:color="auto"/>
            </w:tcBorders>
          </w:tcPr>
          <w:p>
            <w:pPr>
              <w:spacing w:after="0" w:line="132" w:lineRule="exact"/>
              <w:rPr>
                <w:sz w:val="20"/>
                <w:szCs w:val="20"/>
                <w:color w:val="auto"/>
              </w:rPr>
            </w:pPr>
            <w:r>
              <w:rPr>
                <w:rFonts w:ascii="Arial" w:cs="Arial" w:eastAsia="Arial" w:hAnsi="Arial"/>
                <w:sz w:val="14"/>
                <w:szCs w:val="14"/>
                <w:b w:val="1"/>
                <w:bCs w:val="1"/>
                <w:color w:val="auto"/>
                <w:w w:val="99"/>
              </w:rPr>
              <w:t>Colocation Data Centers</w:t>
            </w:r>
          </w:p>
        </w:tc>
        <w:tc>
          <w:tcPr>
            <w:tcW w:w="1820" w:type="dxa"/>
            <w:vAlign w:val="bottom"/>
            <w:gridSpan w:val="3"/>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95"/>
        </w:trPr>
        <w:tc>
          <w:tcPr>
            <w:tcW w:w="3460" w:type="dxa"/>
            <w:vAlign w:val="bottom"/>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North America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Arizona</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California</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Colorado</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Florida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Georgia</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Illinois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Indiana</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Kansas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7"/>
        </w:trPr>
        <w:tc>
          <w:tcPr>
            <w:tcW w:w="3460" w:type="dxa"/>
            <w:vAlign w:val="bottom"/>
            <w:gridSpan w:val="4"/>
          </w:tcPr>
          <w:p>
            <w:pPr>
              <w:ind w:left="200"/>
              <w:spacing w:after="0" w:line="187" w:lineRule="exact"/>
              <w:rPr>
                <w:sz w:val="20"/>
                <w:szCs w:val="20"/>
                <w:color w:val="auto"/>
              </w:rPr>
            </w:pPr>
            <w:r>
              <w:rPr>
                <w:rFonts w:ascii="Arial" w:cs="Arial" w:eastAsia="Arial" w:hAnsi="Arial"/>
                <w:sz w:val="14"/>
                <w:szCs w:val="14"/>
                <w:color w:val="auto"/>
              </w:rPr>
              <w:t xml:space="preserve">Maryland </w:t>
            </w:r>
            <w:r>
              <w:rPr>
                <w:rFonts w:ascii="Arial" w:cs="Arial" w:eastAsia="Arial" w:hAnsi="Arial"/>
                <w:sz w:val="18"/>
                <w:szCs w:val="18"/>
                <w:color w:val="auto"/>
                <w:vertAlign w:val="superscript"/>
              </w:rPr>
              <w:t>(5)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7"/>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Massachusetts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Minnesota</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Nevada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New Jersey</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New York</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Ohio</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Pennsylvania</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Tennessee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Texas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Utah</w:t>
            </w: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89"/>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Virginia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Washington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3460" w:type="dxa"/>
            <w:vAlign w:val="bottom"/>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Europe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3460" w:type="dxa"/>
            <w:vAlign w:val="bottom"/>
            <w:gridSpan w:val="4"/>
          </w:tcPr>
          <w:p>
            <w:pPr>
              <w:ind w:left="200"/>
              <w:spacing w:after="0"/>
              <w:rPr>
                <w:sz w:val="20"/>
                <w:szCs w:val="20"/>
                <w:color w:val="auto"/>
              </w:rPr>
            </w:pPr>
            <w:r>
              <w:rPr>
                <w:rFonts w:ascii="Arial" w:cs="Arial" w:eastAsia="Arial" w:hAnsi="Arial"/>
                <w:sz w:val="14"/>
                <w:szCs w:val="14"/>
                <w:color w:val="auto"/>
              </w:rPr>
              <w:t>France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7"/>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United Kingdom</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9"/>
        </w:trPr>
        <w:tc>
          <w:tcPr>
            <w:tcW w:w="1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w:t>
            </w:r>
          </w:p>
        </w:tc>
      </w:tr>
      <w:tr>
        <w:trPr>
          <w:trHeight w:val="204"/>
        </w:trPr>
        <w:tc>
          <w:tcPr>
            <w:tcW w:w="1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w:t>
      </w:r>
    </w:p>
    <w:p>
      <w:pPr>
        <w:spacing w:after="0" w:line="17" w:lineRule="exact"/>
        <w:rPr>
          <w:sz w:val="20"/>
          <w:szCs w:val="20"/>
          <w:color w:val="auto"/>
        </w:rPr>
      </w:pPr>
    </w:p>
    <w:p>
      <w:pPr>
        <w:ind w:left="186" w:hanging="186"/>
        <w:spacing w:after="0"/>
        <w:tabs>
          <w:tab w:leader="none" w:pos="18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Represents rentable square footage with available power capacity.</w:t>
      </w:r>
    </w:p>
    <w:p>
      <w:pPr>
        <w:spacing w:after="0" w:line="38" w:lineRule="exact"/>
        <w:rPr>
          <w:rFonts w:ascii="Arial" w:cs="Arial" w:eastAsia="Arial" w:hAnsi="Arial"/>
          <w:sz w:val="16"/>
          <w:szCs w:val="16"/>
          <w:color w:val="auto"/>
          <w:vertAlign w:val="superscript"/>
        </w:rPr>
      </w:pPr>
    </w:p>
    <w:p>
      <w:pPr>
        <w:ind w:left="186" w:hanging="186"/>
        <w:spacing w:after="0" w:line="194" w:lineRule="auto"/>
        <w:tabs>
          <w:tab w:leader="none" w:pos="18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Percentage of rentable square footage under lease contracts, including leases that have not commenced billing.</w:t>
      </w:r>
    </w:p>
    <w:p>
      <w:pPr>
        <w:spacing w:after="0" w:line="38" w:lineRule="exact"/>
        <w:rPr>
          <w:rFonts w:ascii="Arial" w:cs="Arial" w:eastAsia="Arial" w:hAnsi="Arial"/>
          <w:sz w:val="16"/>
          <w:szCs w:val="16"/>
          <w:color w:val="auto"/>
          <w:vertAlign w:val="superscript"/>
        </w:rPr>
      </w:pPr>
    </w:p>
    <w:p>
      <w:pPr>
        <w:ind w:left="186" w:hanging="186"/>
        <w:spacing w:after="0" w:line="194" w:lineRule="auto"/>
        <w:tabs>
          <w:tab w:leader="none" w:pos="18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Represents power capacity that has been installed and available to support customer information technology load.</w:t>
      </w:r>
    </w:p>
    <w:p>
      <w:pPr>
        <w:spacing w:after="0" w:line="38" w:lineRule="exact"/>
        <w:rPr>
          <w:rFonts w:ascii="Arial" w:cs="Arial" w:eastAsia="Arial" w:hAnsi="Arial"/>
          <w:sz w:val="16"/>
          <w:szCs w:val="16"/>
          <w:color w:val="auto"/>
          <w:vertAlign w:val="superscript"/>
        </w:rPr>
      </w:pPr>
    </w:p>
    <w:p>
      <w:pPr>
        <w:ind w:left="206" w:right="120" w:hanging="206"/>
        <w:spacing w:after="0" w:line="215" w:lineRule="auto"/>
        <w:tabs>
          <w:tab w:leader="none" w:pos="185"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Monthly recurring revenue ("MRR") is revenue from ongoing services that is generally fixed in price and contracted for longer than 30 days. Annualized MRR is calculated as MRR for the last month of the period multiplied by 12.</w:t>
      </w:r>
    </w:p>
    <w:p>
      <w:pPr>
        <w:spacing w:after="0" w:line="3" w:lineRule="exact"/>
        <w:rPr>
          <w:rFonts w:ascii="Arial" w:cs="Arial" w:eastAsia="Arial" w:hAnsi="Arial"/>
          <w:sz w:val="16"/>
          <w:szCs w:val="16"/>
          <w:color w:val="auto"/>
          <w:vertAlign w:val="superscript"/>
        </w:rPr>
      </w:pPr>
    </w:p>
    <w:p>
      <w:pPr>
        <w:ind w:left="186" w:hanging="186"/>
        <w:spacing w:after="0"/>
        <w:tabs>
          <w:tab w:leader="none" w:pos="18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Not a co-location site. Revenues earned through data center services.</w:t>
      </w: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firstLine="351"/>
        <w:spacing w:after="0" w:line="236" w:lineRule="auto"/>
        <w:rPr>
          <w:sz w:val="20"/>
          <w:szCs w:val="20"/>
          <w:color w:val="auto"/>
        </w:rPr>
      </w:pPr>
      <w:r>
        <w:rPr>
          <w:rFonts w:ascii="Arial" w:cs="Arial" w:eastAsia="Arial" w:hAnsi="Arial"/>
          <w:sz w:val="16"/>
          <w:szCs w:val="16"/>
          <w:color w:val="auto"/>
        </w:rPr>
        <w:t>The Company's data centers are leased to over 2,500 customers, with its largest customers in the information technology and communications sectors. The Company's top 10 customers based upon annualized MRR as of December 31, 2021 are summarized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7500" w:type="dxa"/>
            <w:vAlign w:val="bottom"/>
            <w:vMerge w:val="restart"/>
          </w:tcPr>
          <w:p>
            <w:pPr>
              <w:ind w:left="3260"/>
              <w:spacing w:after="0"/>
              <w:rPr>
                <w:sz w:val="20"/>
                <w:szCs w:val="20"/>
                <w:color w:val="auto"/>
              </w:rPr>
            </w:pPr>
            <w:r>
              <w:rPr>
                <w:rFonts w:ascii="Arial" w:cs="Arial" w:eastAsia="Arial" w:hAnsi="Arial"/>
                <w:sz w:val="11"/>
                <w:szCs w:val="11"/>
                <w:b w:val="1"/>
                <w:bCs w:val="1"/>
                <w:color w:val="auto"/>
              </w:rPr>
              <w:t>Customer Industry</w:t>
            </w:r>
          </w:p>
        </w:tc>
        <w:tc>
          <w:tcPr>
            <w:tcW w:w="100" w:type="dxa"/>
            <w:vAlign w:val="bottom"/>
            <w:vMerge w:val="restart"/>
          </w:tcPr>
          <w:p>
            <w:pPr>
              <w:spacing w:after="0"/>
              <w:rPr>
                <w:sz w:val="10"/>
                <w:szCs w:val="10"/>
                <w:color w:val="auto"/>
              </w:rPr>
            </w:pPr>
          </w:p>
        </w:tc>
        <w:tc>
          <w:tcPr>
            <w:tcW w:w="16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 Properties with</w:t>
            </w:r>
          </w:p>
        </w:tc>
        <w:tc>
          <w:tcPr>
            <w:tcW w:w="1680" w:type="dxa"/>
            <w:vAlign w:val="bottom"/>
          </w:tcPr>
          <w:p>
            <w:pPr>
              <w:jc w:val="right"/>
              <w:spacing w:after="0"/>
              <w:rPr>
                <w:sz w:val="20"/>
                <w:szCs w:val="20"/>
                <w:color w:val="auto"/>
              </w:rPr>
            </w:pPr>
            <w:r>
              <w:rPr>
                <w:rFonts w:ascii="Arial" w:cs="Arial" w:eastAsia="Arial" w:hAnsi="Arial"/>
                <w:sz w:val="11"/>
                <w:szCs w:val="11"/>
                <w:b w:val="1"/>
                <w:bCs w:val="1"/>
                <w:color w:val="auto"/>
                <w:w w:val="99"/>
              </w:rPr>
              <w:t>% of Total Portfolio Annualized</w:t>
            </w:r>
          </w:p>
        </w:tc>
        <w:tc>
          <w:tcPr>
            <w:tcW w:w="0" w:type="dxa"/>
            <w:vAlign w:val="bottom"/>
          </w:tcPr>
          <w:p>
            <w:pPr>
              <w:spacing w:after="0"/>
              <w:rPr>
                <w:sz w:val="1"/>
                <w:szCs w:val="1"/>
                <w:color w:val="auto"/>
              </w:rPr>
            </w:pPr>
          </w:p>
        </w:tc>
      </w:tr>
      <w:tr>
        <w:trPr>
          <w:trHeight w:val="147"/>
        </w:trPr>
        <w:tc>
          <w:tcPr>
            <w:tcW w:w="340" w:type="dxa"/>
            <w:vAlign w:val="bottom"/>
            <w:tcBorders>
              <w:bottom w:val="single" w:sz="8" w:color="CCEEFF"/>
            </w:tcBorders>
          </w:tcPr>
          <w:p>
            <w:pPr>
              <w:spacing w:after="0"/>
              <w:rPr>
                <w:sz w:val="12"/>
                <w:szCs w:val="12"/>
                <w:color w:val="auto"/>
              </w:rPr>
            </w:pPr>
          </w:p>
        </w:tc>
        <w:tc>
          <w:tcPr>
            <w:tcW w:w="7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Leased Space</w:t>
            </w: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MRR</w:t>
            </w:r>
          </w:p>
        </w:tc>
        <w:tc>
          <w:tcPr>
            <w:tcW w:w="0" w:type="dxa"/>
            <w:vAlign w:val="bottom"/>
          </w:tcPr>
          <w:p>
            <w:pPr>
              <w:spacing w:after="0"/>
              <w:rPr>
                <w:sz w:val="1"/>
                <w:szCs w:val="1"/>
                <w:color w:val="auto"/>
              </w:rPr>
            </w:pPr>
          </w:p>
        </w:tc>
      </w:tr>
      <w:tr>
        <w:trPr>
          <w:trHeight w:val="183"/>
        </w:trPr>
        <w:tc>
          <w:tcPr>
            <w:tcW w:w="7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1 Software &amp; 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19.6 %</w:t>
            </w:r>
          </w:p>
        </w:tc>
        <w:tc>
          <w:tcPr>
            <w:tcW w:w="0" w:type="dxa"/>
            <w:vAlign w:val="bottom"/>
          </w:tcPr>
          <w:p>
            <w:pPr>
              <w:spacing w:after="0"/>
              <w:rPr>
                <w:sz w:val="1"/>
                <w:szCs w:val="1"/>
                <w:color w:val="auto"/>
              </w:rPr>
            </w:pPr>
          </w:p>
        </w:tc>
      </w:tr>
      <w:tr>
        <w:trPr>
          <w:trHeight w:val="185"/>
        </w:trPr>
        <w:tc>
          <w:tcPr>
            <w:tcW w:w="7940" w:type="dxa"/>
            <w:vAlign w:val="bottom"/>
            <w:gridSpan w:val="3"/>
          </w:tcPr>
          <w:p>
            <w:pPr>
              <w:ind w:left="240"/>
              <w:spacing w:after="0"/>
              <w:rPr>
                <w:sz w:val="20"/>
                <w:szCs w:val="20"/>
                <w:color w:val="auto"/>
              </w:rPr>
            </w:pPr>
            <w:r>
              <w:rPr>
                <w:rFonts w:ascii="Arial" w:cs="Arial" w:eastAsia="Arial" w:hAnsi="Arial"/>
                <w:sz w:val="14"/>
                <w:szCs w:val="14"/>
                <w:color w:val="auto"/>
              </w:rPr>
              <w:t>2 Semiconductors &amp; Semiconductor Equipment</w:t>
            </w:r>
          </w:p>
        </w:tc>
        <w:tc>
          <w:tcPr>
            <w:tcW w:w="15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89"/>
        </w:trPr>
        <w:tc>
          <w:tcPr>
            <w:tcW w:w="7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3 Software &amp; 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85"/>
        </w:trPr>
        <w:tc>
          <w:tcPr>
            <w:tcW w:w="7940" w:type="dxa"/>
            <w:vAlign w:val="bottom"/>
            <w:gridSpan w:val="3"/>
          </w:tcPr>
          <w:p>
            <w:pPr>
              <w:ind w:left="240"/>
              <w:spacing w:after="0"/>
              <w:rPr>
                <w:sz w:val="20"/>
                <w:szCs w:val="20"/>
                <w:color w:val="auto"/>
              </w:rPr>
            </w:pPr>
            <w:r>
              <w:rPr>
                <w:rFonts w:ascii="Arial" w:cs="Arial" w:eastAsia="Arial" w:hAnsi="Arial"/>
                <w:sz w:val="14"/>
                <w:szCs w:val="14"/>
                <w:color w:val="auto"/>
              </w:rPr>
              <w:t>4 Semiconductors &amp; Semiconductor Equipment</w:t>
            </w: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7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5 Capital Goods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5"/>
        </w:trPr>
        <w:tc>
          <w:tcPr>
            <w:tcW w:w="7940" w:type="dxa"/>
            <w:vAlign w:val="bottom"/>
            <w:gridSpan w:val="3"/>
          </w:tcPr>
          <w:p>
            <w:pPr>
              <w:ind w:left="240"/>
              <w:spacing w:after="0"/>
              <w:rPr>
                <w:sz w:val="20"/>
                <w:szCs w:val="20"/>
                <w:color w:val="auto"/>
              </w:rPr>
            </w:pPr>
            <w:r>
              <w:rPr>
                <w:rFonts w:ascii="Arial" w:cs="Arial" w:eastAsia="Arial" w:hAnsi="Arial"/>
                <w:sz w:val="14"/>
                <w:szCs w:val="14"/>
                <w:color w:val="auto"/>
              </w:rPr>
              <w:t>6 Real Estate</w:t>
            </w:r>
          </w:p>
        </w:tc>
        <w:tc>
          <w:tcPr>
            <w:tcW w:w="15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7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7 Media &amp; Entertainment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5"/>
        </w:trPr>
        <w:tc>
          <w:tcPr>
            <w:tcW w:w="7940" w:type="dxa"/>
            <w:vAlign w:val="bottom"/>
            <w:gridSpan w:val="3"/>
          </w:tcPr>
          <w:p>
            <w:pPr>
              <w:ind w:left="240"/>
              <w:spacing w:after="0"/>
              <w:rPr>
                <w:sz w:val="20"/>
                <w:szCs w:val="20"/>
                <w:color w:val="auto"/>
              </w:rPr>
            </w:pPr>
            <w:r>
              <w:rPr>
                <w:rFonts w:ascii="Arial" w:cs="Arial" w:eastAsia="Arial" w:hAnsi="Arial"/>
                <w:sz w:val="14"/>
                <w:szCs w:val="14"/>
                <w:color w:val="auto"/>
              </w:rPr>
              <w:t>8 Software &amp; Services</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7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9 Technology Hardware &amp; Equipment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5"/>
        </w:trPr>
        <w:tc>
          <w:tcPr>
            <w:tcW w:w="79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10 Technology Hardware &amp; Equipment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7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42.4 %</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60" w:firstLine="351"/>
        <w:spacing w:after="0" w:line="248" w:lineRule="auto"/>
        <w:rPr>
          <w:sz w:val="20"/>
          <w:szCs w:val="20"/>
          <w:color w:val="auto"/>
        </w:rPr>
      </w:pPr>
      <w:r>
        <w:rPr>
          <w:rFonts w:ascii="Arial" w:cs="Arial" w:eastAsia="Arial" w:hAnsi="Arial"/>
          <w:sz w:val="16"/>
          <w:szCs w:val="16"/>
          <w:color w:val="auto"/>
        </w:rPr>
        <w:t>A listing of the Company's investment properties is also included in Schedule III. Real Estate and Accumulated Depreciation in Item 15. "Exhibits and Financial Statement Schedules" of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15" w:lineRule="exact"/>
        <w:rPr>
          <w:sz w:val="20"/>
          <w:szCs w:val="20"/>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The information set forth under "</w:t>
      </w:r>
      <w:hyperlink w:anchor="page172">
        <w:r>
          <w:rPr>
            <w:rFonts w:ascii="Arial" w:cs="Arial" w:eastAsia="Arial" w:hAnsi="Arial"/>
            <w:sz w:val="16"/>
            <w:szCs w:val="16"/>
            <w:u w:val="single" w:color="auto"/>
            <w:color w:val="0000FF"/>
          </w:rPr>
          <w:t>Litigation</w:t>
        </w:r>
      </w:hyperlink>
      <w:r>
        <w:rPr>
          <w:rFonts w:ascii="Arial" w:cs="Arial" w:eastAsia="Arial" w:hAnsi="Arial"/>
          <w:sz w:val="16"/>
          <w:szCs w:val="16"/>
          <w:color w:val="auto"/>
        </w:rPr>
        <w:t>" in Note 21 to the consolidated financial statements in Item 15 of this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Annual Report is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5" w:name="page46"/>
    <w:bookmarkEnd w:id="45"/>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PART II—OTHER INFORMATION</w:t>
      </w:r>
    </w:p>
    <w:p>
      <w:pPr>
        <w:spacing w:after="0" w:line="237" w:lineRule="exact"/>
        <w:rPr>
          <w:sz w:val="20"/>
          <w:szCs w:val="20"/>
          <w:color w:val="auto"/>
        </w:rPr>
      </w:pPr>
    </w:p>
    <w:p>
      <w:pPr>
        <w:ind w:left="6" w:right="2260"/>
        <w:spacing w:after="0" w:line="408"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6" w:right="5600" w:firstLine="351"/>
        <w:spacing w:after="0" w:line="396" w:lineRule="auto"/>
        <w:rPr>
          <w:sz w:val="20"/>
          <w:szCs w:val="20"/>
          <w:color w:val="auto"/>
        </w:rPr>
      </w:pPr>
      <w:r>
        <w:rPr>
          <w:rFonts w:ascii="Arial" w:cs="Arial" w:eastAsia="Arial" w:hAnsi="Arial"/>
          <w:sz w:val="16"/>
          <w:szCs w:val="16"/>
          <w:color w:val="auto"/>
        </w:rPr>
        <w:t xml:space="preserve">Our class A common stock is traded on the NYSE under the symbol “DBRG.” </w:t>
      </w:r>
      <w:r>
        <w:rPr>
          <w:rFonts w:ascii="Arial" w:cs="Arial" w:eastAsia="Arial" w:hAnsi="Arial"/>
          <w:sz w:val="16"/>
          <w:szCs w:val="16"/>
          <w:b w:val="1"/>
          <w:bCs w:val="1"/>
          <w:color w:val="auto"/>
        </w:rPr>
        <w:t>Holders of Common Equity</w:t>
      </w:r>
    </w:p>
    <w:p>
      <w:pPr>
        <w:spacing w:after="0" w:line="1" w:lineRule="exact"/>
        <w:rPr>
          <w:sz w:val="20"/>
          <w:szCs w:val="20"/>
          <w:color w:val="auto"/>
        </w:rPr>
      </w:pPr>
    </w:p>
    <w:p>
      <w:pPr>
        <w:ind w:left="6" w:right="280" w:firstLine="351"/>
        <w:spacing w:after="0" w:line="248" w:lineRule="auto"/>
        <w:rPr>
          <w:sz w:val="20"/>
          <w:szCs w:val="20"/>
          <w:color w:val="auto"/>
        </w:rPr>
      </w:pPr>
      <w:r>
        <w:rPr>
          <w:rFonts w:ascii="Arial" w:cs="Arial" w:eastAsia="Arial" w:hAnsi="Arial"/>
          <w:sz w:val="16"/>
          <w:szCs w:val="16"/>
          <w:color w:val="auto"/>
        </w:rPr>
        <w:t>On February 21, 2022, there were 2,423 holders of our class A common stock and one holder of our class B common stock (which, in each case, does not reflect the beneficial ownership of shares held in nominee name).</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Distributions</w:t>
      </w:r>
    </w:p>
    <w:p>
      <w:pPr>
        <w:spacing w:after="0" w:line="115" w:lineRule="exact"/>
        <w:rPr>
          <w:sz w:val="20"/>
          <w:szCs w:val="20"/>
          <w:color w:val="auto"/>
        </w:rPr>
      </w:pPr>
    </w:p>
    <w:p>
      <w:pPr>
        <w:ind w:left="6" w:right="20" w:firstLine="351"/>
        <w:spacing w:after="0" w:line="244" w:lineRule="auto"/>
        <w:rPr>
          <w:sz w:val="20"/>
          <w:szCs w:val="20"/>
          <w:color w:val="auto"/>
        </w:rPr>
      </w:pPr>
      <w:r>
        <w:rPr>
          <w:rFonts w:ascii="Arial" w:cs="Arial" w:eastAsia="Arial" w:hAnsi="Arial"/>
          <w:sz w:val="16"/>
          <w:szCs w:val="16"/>
          <w:color w:val="auto"/>
        </w:rPr>
        <w:t>Holders of our common stock are entitled to receive distributions if and when the board of directors authorizes and declares distributions. The board of directors has not established any minimum distribution level. In order to maintain our qualification as a REIT, we intend to pay dividends to our stockholders that, on an annual basis, will represent at least 90% of our taxable income (which may not necessarily equal net income as calculated in accordance with GAAP), determined without regard to the deduction for dividends paid and excluding any net capital gains. No distributions can be paid on our class A and class B common stock unless we have paid all cumulative dividends on our outstanding preferred stock. The Company suspended dividends on its class A common stock beginning with the second quarter of 2020. Payment of common dividends was previously subject to certain restrictions under the terms of the corporate credit facility, which was terminated in July 2021. The Company continues to monitor its financial performance and liquidity position, and will reevaluate its dividend policy as conditions improve. We cannot assure our stockholders that we will make any future distributions.</w:t>
      </w:r>
    </w:p>
    <w:p>
      <w:pPr>
        <w:spacing w:after="0" w:line="94" w:lineRule="exact"/>
        <w:rPr>
          <w:sz w:val="20"/>
          <w:szCs w:val="20"/>
          <w:color w:val="auto"/>
        </w:rPr>
      </w:pPr>
    </w:p>
    <w:p>
      <w:pPr>
        <w:ind w:left="346"/>
        <w:spacing w:after="0"/>
        <w:rPr>
          <w:sz w:val="20"/>
          <w:szCs w:val="20"/>
          <w:color w:val="auto"/>
        </w:rPr>
      </w:pPr>
      <w:r>
        <w:rPr>
          <w:rFonts w:ascii="Arial" w:cs="Arial" w:eastAsia="Arial" w:hAnsi="Arial"/>
          <w:sz w:val="14"/>
          <w:szCs w:val="14"/>
          <w:color w:val="auto"/>
        </w:rPr>
        <w:t>Dividends paid to stockholders, for income tax purposes, represent distributions of ordinary income, capital gains, return of capital or a combination thereof.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presents the income tax treatment of dividends per share of common and preferred stock.</w:t>
      </w:r>
    </w:p>
    <w:p>
      <w:pPr>
        <w:spacing w:after="0" w:line="131" w:lineRule="exact"/>
        <w:rPr>
          <w:sz w:val="20"/>
          <w:szCs w:val="20"/>
          <w:color w:val="auto"/>
        </w:rPr>
      </w:pPr>
    </w:p>
    <w:tbl>
      <w:tblPr>
        <w:tblLayout w:type="fixed"/>
        <w:tblInd w:w="116" w:type="dxa"/>
        <w:tblCellMar>
          <w:top w:w="0" w:type="dxa"/>
          <w:left w:w="0" w:type="dxa"/>
          <w:bottom w:w="0" w:type="dxa"/>
          <w:right w:w="0" w:type="dxa"/>
        </w:tblCellMar>
      </w:tblPr>
      <w:tr>
        <w:trPr>
          <w:trHeight w:val="166"/>
        </w:trPr>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520"/>
              <w:spacing w:after="0"/>
              <w:rPr>
                <w:sz w:val="20"/>
                <w:szCs w:val="20"/>
                <w:color w:val="auto"/>
              </w:rPr>
            </w:pPr>
            <w:r>
              <w:rPr>
                <w:rFonts w:ascii="Arial" w:cs="Arial" w:eastAsia="Arial" w:hAnsi="Arial"/>
                <w:sz w:val="11"/>
                <w:szCs w:val="11"/>
                <w:b w:val="1"/>
                <w:bCs w:val="1"/>
                <w:color w:val="auto"/>
              </w:rPr>
              <w:t xml:space="preserve">Preferred Stock </w:t>
            </w:r>
            <w:r>
              <w:rPr>
                <w:rFonts w:ascii="Arial" w:cs="Arial" w:eastAsia="Arial" w:hAnsi="Arial"/>
                <w:sz w:val="14"/>
                <w:szCs w:val="14"/>
                <w:b w:val="1"/>
                <w:bCs w:val="1"/>
                <w:color w:val="auto"/>
                <w:vertAlign w:val="superscript"/>
              </w:rPr>
              <w:t>(2)</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Common Stock </w:t>
            </w:r>
            <w:r>
              <w:rPr>
                <w:rFonts w:ascii="Arial" w:cs="Arial" w:eastAsia="Arial" w:hAnsi="Arial"/>
                <w:sz w:val="14"/>
                <w:szCs w:val="14"/>
                <w:b w:val="1"/>
                <w:bCs w:val="1"/>
                <w:color w:val="auto"/>
                <w:vertAlign w:val="superscript"/>
              </w:rPr>
              <w:t>(1)</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Series B</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Series E</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Series G</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Series H</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Series I</w:t>
            </w:r>
          </w:p>
        </w:tc>
        <w:tc>
          <w:tcPr>
            <w:tcW w:w="240" w:type="dxa"/>
            <w:vAlign w:val="bottom"/>
          </w:tcPr>
          <w:p>
            <w:pPr>
              <w:spacing w:after="0"/>
              <w:rPr>
                <w:sz w:val="14"/>
                <w:szCs w:val="14"/>
                <w:color w:val="auto"/>
              </w:rPr>
            </w:pPr>
          </w:p>
        </w:tc>
        <w:tc>
          <w:tcPr>
            <w:tcW w:w="920" w:type="dxa"/>
            <w:vAlign w:val="bottom"/>
          </w:tcPr>
          <w:p>
            <w:pPr>
              <w:jc w:val="right"/>
              <w:ind w:right="299"/>
              <w:spacing w:after="0"/>
              <w:rPr>
                <w:sz w:val="20"/>
                <w:szCs w:val="20"/>
                <w:color w:val="auto"/>
              </w:rPr>
            </w:pPr>
            <w:r>
              <w:rPr>
                <w:rFonts w:ascii="Arial" w:cs="Arial" w:eastAsia="Arial" w:hAnsi="Arial"/>
                <w:sz w:val="11"/>
                <w:szCs w:val="11"/>
                <w:b w:val="1"/>
                <w:bCs w:val="1"/>
                <w:color w:val="auto"/>
              </w:rPr>
              <w:t>Series J</w:t>
            </w:r>
          </w:p>
        </w:tc>
      </w:tr>
      <w:tr>
        <w:trPr>
          <w:trHeight w:val="97"/>
        </w:trPr>
        <w:tc>
          <w:tcPr>
            <w:tcW w:w="2360" w:type="dxa"/>
            <w:vAlign w:val="bottom"/>
            <w:tcBorders>
              <w:top w:val="single" w:sz="8" w:color="CCEEFF"/>
              <w:left w:val="single" w:sz="8" w:color="CCEEFF"/>
            </w:tcBorders>
            <w:gridSpan w:val="2"/>
            <w:shd w:val="clear" w:color="auto" w:fill="CCEEFF"/>
          </w:tcPr>
          <w:p>
            <w:pPr>
              <w:ind w:left="20"/>
              <w:spacing w:after="0" w:line="97" w:lineRule="exact"/>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r>
      <w:tr>
        <w:trPr>
          <w:trHeight w:val="35"/>
        </w:trPr>
        <w:tc>
          <w:tcPr>
            <w:tcW w:w="260" w:type="dxa"/>
            <w:vAlign w:val="bottom"/>
            <w:tcBorders>
              <w:left w:val="single" w:sz="8" w:color="CCEEFF"/>
            </w:tcBorders>
            <w:shd w:val="clear" w:color="auto" w:fill="000000"/>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40"/>
        </w:trPr>
        <w:tc>
          <w:tcPr>
            <w:tcW w:w="2360" w:type="dxa"/>
            <w:vAlign w:val="bottom"/>
            <w:gridSpan w:val="2"/>
          </w:tcPr>
          <w:p>
            <w:pPr>
              <w:ind w:left="80"/>
              <w:spacing w:after="0" w:line="141" w:lineRule="exact"/>
              <w:rPr>
                <w:sz w:val="20"/>
                <w:szCs w:val="20"/>
                <w:color w:val="auto"/>
              </w:rPr>
            </w:pPr>
            <w:r>
              <w:rPr>
                <w:rFonts w:ascii="Arial" w:cs="Arial" w:eastAsia="Arial" w:hAnsi="Arial"/>
                <w:sz w:val="12"/>
                <w:szCs w:val="12"/>
                <w:color w:val="auto"/>
              </w:rPr>
              <w:t xml:space="preserve">Return of capital </w:t>
            </w:r>
            <w:r>
              <w:rPr>
                <w:rFonts w:ascii="Arial" w:cs="Arial" w:eastAsia="Arial" w:hAnsi="Arial"/>
                <w:sz w:val="16"/>
                <w:szCs w:val="16"/>
                <w:color w:val="auto"/>
                <w:vertAlign w:val="superscript"/>
              </w:rPr>
              <w:t>(3)</w:t>
            </w:r>
          </w:p>
        </w:tc>
        <w:tc>
          <w:tcPr>
            <w:tcW w:w="100" w:type="dxa"/>
            <w:vAlign w:val="bottom"/>
          </w:tcPr>
          <w:p>
            <w:pPr>
              <w:spacing w:after="0"/>
              <w:rPr>
                <w:sz w:val="12"/>
                <w:szCs w:val="12"/>
                <w:color w:val="auto"/>
              </w:rPr>
            </w:pPr>
          </w:p>
        </w:tc>
        <w:tc>
          <w:tcPr>
            <w:tcW w:w="1160" w:type="dxa"/>
            <w:vAlign w:val="bottom"/>
            <w:gridSpan w:val="2"/>
          </w:tcPr>
          <w:p>
            <w:pPr>
              <w:ind w:left="840"/>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2"/>
                <w:szCs w:val="12"/>
                <w:color w:val="auto"/>
              </w:rPr>
            </w:pPr>
          </w:p>
        </w:tc>
        <w:tc>
          <w:tcPr>
            <w:tcW w:w="1020" w:type="dxa"/>
            <w:vAlign w:val="bottom"/>
            <w:gridSpan w:val="2"/>
          </w:tcPr>
          <w:p>
            <w:pPr>
              <w:ind w:left="700"/>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2"/>
                <w:szCs w:val="12"/>
                <w:color w:val="auto"/>
              </w:rPr>
            </w:pP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N/A</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2"/>
                <w:szCs w:val="12"/>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2"/>
                <w:szCs w:val="12"/>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2"/>
                <w:szCs w:val="12"/>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1.78</w:t>
            </w: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0"/>
        </w:trPr>
        <w:tc>
          <w:tcPr>
            <w:tcW w:w="2360" w:type="dxa"/>
            <w:vAlign w:val="bottom"/>
            <w:tcBorders>
              <w:left w:val="single" w:sz="8" w:color="CCEEFF"/>
            </w:tcBorders>
            <w:gridSpan w:val="2"/>
            <w:shd w:val="clear" w:color="auto" w:fill="CCEEFF"/>
          </w:tcPr>
          <w:p>
            <w:pPr>
              <w:ind w:left="20"/>
              <w:spacing w:after="0" w:line="81" w:lineRule="exact"/>
              <w:rPr>
                <w:sz w:val="20"/>
                <w:szCs w:val="20"/>
                <w:color w:val="auto"/>
              </w:rPr>
            </w:pPr>
            <w:r>
              <w:rPr>
                <w:rFonts w:ascii="Arial" w:cs="Arial" w:eastAsia="Arial" w:hAnsi="Arial"/>
                <w:sz w:val="9"/>
                <w:szCs w:val="9"/>
                <w:b w:val="1"/>
                <w:bCs w:val="1"/>
                <w:color w:val="auto"/>
              </w:rPr>
              <w:t>2020</w:t>
            </w: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35"/>
        </w:trPr>
        <w:tc>
          <w:tcPr>
            <w:tcW w:w="260" w:type="dxa"/>
            <w:vAlign w:val="bottom"/>
            <w:tcBorders>
              <w:left w:val="single" w:sz="8" w:color="CCEEFF"/>
            </w:tcBorders>
            <w:shd w:val="clear" w:color="auto" w:fill="000000"/>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40"/>
        </w:trPr>
        <w:tc>
          <w:tcPr>
            <w:tcW w:w="2360" w:type="dxa"/>
            <w:vAlign w:val="bottom"/>
            <w:gridSpan w:val="2"/>
          </w:tcPr>
          <w:p>
            <w:pPr>
              <w:ind w:left="80"/>
              <w:spacing w:after="0" w:line="141" w:lineRule="exact"/>
              <w:rPr>
                <w:sz w:val="20"/>
                <w:szCs w:val="20"/>
                <w:color w:val="auto"/>
              </w:rPr>
            </w:pPr>
            <w:r>
              <w:rPr>
                <w:rFonts w:ascii="Arial" w:cs="Arial" w:eastAsia="Arial" w:hAnsi="Arial"/>
                <w:sz w:val="12"/>
                <w:szCs w:val="12"/>
                <w:color w:val="auto"/>
              </w:rPr>
              <w:t xml:space="preserve">Return of capital </w:t>
            </w:r>
            <w:r>
              <w:rPr>
                <w:rFonts w:ascii="Arial" w:cs="Arial" w:eastAsia="Arial" w:hAnsi="Arial"/>
                <w:sz w:val="16"/>
                <w:szCs w:val="16"/>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700"/>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2"/>
                <w:szCs w:val="12"/>
                <w:color w:val="auto"/>
              </w:rPr>
            </w:pP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N/A</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2"/>
                <w:szCs w:val="12"/>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2"/>
                <w:szCs w:val="12"/>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2"/>
                <w:szCs w:val="12"/>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1.78</w:t>
            </w: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0"/>
        </w:trPr>
        <w:tc>
          <w:tcPr>
            <w:tcW w:w="2360" w:type="dxa"/>
            <w:vAlign w:val="bottom"/>
            <w:tcBorders>
              <w:left w:val="single" w:sz="8" w:color="CCEEFF"/>
            </w:tcBorders>
            <w:gridSpan w:val="2"/>
            <w:shd w:val="clear" w:color="auto" w:fill="CCEEFF"/>
          </w:tcPr>
          <w:p>
            <w:pPr>
              <w:ind w:left="20"/>
              <w:spacing w:after="0" w:line="81" w:lineRule="exact"/>
              <w:rPr>
                <w:sz w:val="20"/>
                <w:szCs w:val="20"/>
                <w:color w:val="auto"/>
              </w:rPr>
            </w:pPr>
            <w:r>
              <w:rPr>
                <w:rFonts w:ascii="Arial" w:cs="Arial" w:eastAsia="Arial" w:hAnsi="Arial"/>
                <w:sz w:val="9"/>
                <w:szCs w:val="9"/>
                <w:b w:val="1"/>
                <w:bCs w:val="1"/>
                <w:color w:val="auto"/>
              </w:rPr>
              <w:t>2019</w:t>
            </w: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35"/>
        </w:trPr>
        <w:tc>
          <w:tcPr>
            <w:tcW w:w="260" w:type="dxa"/>
            <w:vAlign w:val="bottom"/>
            <w:tcBorders>
              <w:left w:val="single" w:sz="8" w:color="CCEEFF"/>
            </w:tcBorders>
            <w:shd w:val="clear" w:color="auto" w:fill="000000"/>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4"/>
        </w:trPr>
        <w:tc>
          <w:tcPr>
            <w:tcW w:w="2360" w:type="dxa"/>
            <w:vAlign w:val="bottom"/>
            <w:gridSpan w:val="2"/>
          </w:tcPr>
          <w:p>
            <w:pPr>
              <w:ind w:left="80"/>
              <w:spacing w:after="0"/>
              <w:rPr>
                <w:sz w:val="20"/>
                <w:szCs w:val="20"/>
                <w:color w:val="auto"/>
              </w:rPr>
            </w:pPr>
            <w:r>
              <w:rPr>
                <w:rFonts w:ascii="Arial" w:cs="Arial" w:eastAsia="Arial" w:hAnsi="Arial"/>
                <w:sz w:val="12"/>
                <w:szCs w:val="12"/>
                <w:color w:val="auto"/>
              </w:rPr>
              <w:t>Ordinary income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0.14</w:t>
            </w:r>
          </w:p>
        </w:tc>
        <w:tc>
          <w:tcPr>
            <w:tcW w:w="10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0.84</w:t>
            </w:r>
          </w:p>
        </w:tc>
        <w:tc>
          <w:tcPr>
            <w:tcW w:w="10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0.89</w:t>
            </w:r>
          </w:p>
        </w:tc>
        <w:tc>
          <w:tcPr>
            <w:tcW w:w="10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0.76</w:t>
            </w:r>
          </w:p>
        </w:tc>
        <w:tc>
          <w:tcPr>
            <w:tcW w:w="80" w:type="dxa"/>
            <w:vAlign w:val="bottom"/>
          </w:tcPr>
          <w:p>
            <w:pPr>
              <w:spacing w:after="0"/>
              <w:rPr>
                <w:sz w:val="14"/>
                <w:szCs w:val="14"/>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0.72</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0.72</w:t>
            </w:r>
          </w:p>
        </w:tc>
      </w:tr>
      <w:tr>
        <w:trPr>
          <w:trHeight w:val="164"/>
        </w:trPr>
        <w:tc>
          <w:tcPr>
            <w:tcW w:w="23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Capital gains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r>
      <w:tr>
        <w:trPr>
          <w:trHeight w:val="164"/>
        </w:trPr>
        <w:tc>
          <w:tcPr>
            <w:tcW w:w="2360" w:type="dxa"/>
            <w:vAlign w:val="bottom"/>
            <w:gridSpan w:val="2"/>
          </w:tcPr>
          <w:p>
            <w:pPr>
              <w:ind w:left="80"/>
              <w:spacing w:after="0" w:line="164" w:lineRule="exact"/>
              <w:rPr>
                <w:sz w:val="20"/>
                <w:szCs w:val="20"/>
                <w:color w:val="auto"/>
              </w:rPr>
            </w:pPr>
            <w:r>
              <w:rPr>
                <w:rFonts w:ascii="Arial" w:cs="Arial" w:eastAsia="Arial" w:hAnsi="Arial"/>
                <w:sz w:val="12"/>
                <w:szCs w:val="12"/>
                <w:color w:val="auto"/>
              </w:rPr>
              <w:t xml:space="preserve">Return of capital </w:t>
            </w:r>
            <w:r>
              <w:rPr>
                <w:rFonts w:ascii="Arial" w:cs="Arial" w:eastAsia="Arial" w:hAnsi="Arial"/>
                <w:sz w:val="16"/>
                <w:szCs w:val="16"/>
                <w:color w:val="auto"/>
                <w:vertAlign w:val="superscript"/>
              </w:rPr>
              <w:t>(3)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360" w:type="dxa"/>
            <w:vAlign w:val="bottom"/>
            <w:tcBorders>
              <w:top w:val="single" w:sz="8" w:color="CCEEFF"/>
              <w:left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49" w:lineRule="exact"/>
        <w:rPr>
          <w:sz w:val="20"/>
          <w:szCs w:val="20"/>
          <w:color w:val="auto"/>
        </w:rPr>
      </w:pPr>
    </w:p>
    <w:p>
      <w:pPr>
        <w:ind w:left="206" w:right="140" w:hanging="206"/>
        <w:spacing w:after="0" w:line="262" w:lineRule="auto"/>
        <w:tabs>
          <w:tab w:leader="none" w:pos="185" w:val="left"/>
        </w:tabs>
        <w:numPr>
          <w:ilvl w:val="0"/>
          <w:numId w:val="35"/>
        </w:numPr>
        <w:rPr>
          <w:rFonts w:ascii="Arial" w:cs="Arial" w:eastAsia="Arial" w:hAnsi="Arial"/>
          <w:sz w:val="8"/>
          <w:szCs w:val="8"/>
          <w:color w:val="auto"/>
        </w:rPr>
      </w:pPr>
      <w:r>
        <w:rPr>
          <w:rFonts w:ascii="Arial" w:cs="Arial" w:eastAsia="Arial" w:hAnsi="Arial"/>
          <w:sz w:val="12"/>
          <w:szCs w:val="12"/>
          <w:color w:val="auto"/>
        </w:rPr>
        <w:t>Common stock dividends declared in November 2019 and paid in January 2020 were considered distributions in the year paid for federal income tax purposes. The Company suspended dividends on its class A common stock beginning with the second quarter of 2020.</w:t>
      </w:r>
    </w:p>
    <w:p>
      <w:pPr>
        <w:spacing w:after="0" w:line="26" w:lineRule="exact"/>
        <w:rPr>
          <w:rFonts w:ascii="Arial" w:cs="Arial" w:eastAsia="Arial" w:hAnsi="Arial"/>
          <w:sz w:val="8"/>
          <w:szCs w:val="8"/>
          <w:color w:val="auto"/>
        </w:rPr>
      </w:pPr>
    </w:p>
    <w:p>
      <w:pPr>
        <w:ind w:left="206" w:right="240" w:hanging="206"/>
        <w:spacing w:after="0" w:line="262" w:lineRule="auto"/>
        <w:tabs>
          <w:tab w:leader="none" w:pos="185" w:val="left"/>
        </w:tabs>
        <w:numPr>
          <w:ilvl w:val="0"/>
          <w:numId w:val="35"/>
        </w:numPr>
        <w:rPr>
          <w:rFonts w:ascii="Arial" w:cs="Arial" w:eastAsia="Arial" w:hAnsi="Arial"/>
          <w:sz w:val="8"/>
          <w:szCs w:val="8"/>
          <w:color w:val="auto"/>
        </w:rPr>
      </w:pPr>
      <w:r>
        <w:rPr>
          <w:rFonts w:ascii="Arial" w:cs="Arial" w:eastAsia="Arial" w:hAnsi="Arial"/>
          <w:sz w:val="12"/>
          <w:szCs w:val="12"/>
          <w:color w:val="auto"/>
        </w:rPr>
        <w:t>Distributions on the Company's Series G, H, I and J preferred stock declared in November 2018 and 2019 and paid in January 2019 and 2020, respectively, were considered distributions in the year paid for federal income tax purposes.</w:t>
      </w:r>
    </w:p>
    <w:p>
      <w:pPr>
        <w:spacing w:after="0" w:line="26" w:lineRule="exact"/>
        <w:rPr>
          <w:rFonts w:ascii="Arial" w:cs="Arial" w:eastAsia="Arial" w:hAnsi="Arial"/>
          <w:sz w:val="8"/>
          <w:szCs w:val="8"/>
          <w:color w:val="auto"/>
        </w:rPr>
      </w:pPr>
    </w:p>
    <w:p>
      <w:pPr>
        <w:ind w:left="206" w:hanging="206"/>
        <w:spacing w:after="0" w:line="253" w:lineRule="auto"/>
        <w:tabs>
          <w:tab w:leader="none" w:pos="185" w:val="left"/>
        </w:tabs>
        <w:numPr>
          <w:ilvl w:val="0"/>
          <w:numId w:val="35"/>
        </w:numPr>
        <w:rPr>
          <w:rFonts w:ascii="Arial" w:cs="Arial" w:eastAsia="Arial" w:hAnsi="Arial"/>
          <w:sz w:val="8"/>
          <w:szCs w:val="8"/>
          <w:color w:val="auto"/>
        </w:rPr>
      </w:pPr>
      <w:r>
        <w:rPr>
          <w:rFonts w:ascii="Arial" w:cs="Arial" w:eastAsia="Arial" w:hAnsi="Arial"/>
          <w:sz w:val="12"/>
          <w:szCs w:val="12"/>
          <w:color w:val="auto"/>
        </w:rPr>
        <w:t>Represents dividends paid in excess of our current and accumulated earnings and profit ("E&amp;P"), which is a tax-based measure calculated by making adjustments to taxable income for items that are treated differently for E&amp;P purposes. A return of capital reduces the basis of a stockholder's investment in our common and/or preferred stock to the extent of such basis. Distributions of return of capital dividends in excess of a shareholder's basis are treated as capital gains.</w:t>
      </w: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 Use of Proceeds from Registered Securities</w:t>
      </w:r>
    </w:p>
    <w:p>
      <w:pPr>
        <w:spacing w:after="0" w:line="9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6"/>
          <w:szCs w:val="16"/>
          <w:i w:val="1"/>
          <w:iCs w:val="1"/>
          <w:color w:val="auto"/>
        </w:rPr>
        <w:t>Exchangeable Notes—</w:t>
      </w:r>
      <w:r>
        <w:rPr>
          <w:rFonts w:ascii="Arial" w:cs="Arial" w:eastAsia="Arial" w:hAnsi="Arial"/>
          <w:sz w:val="16"/>
          <w:szCs w:val="16"/>
          <w:color w:val="auto"/>
        </w:rPr>
        <w:t>In the fourth quarter of 2021, 73,365,420 shares of our class A common stock were issued to certain holders of the 5.75%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notes upon exchange by such holders of $161.3 million of outstanding principal on the 5.75% exchangeable notes. No consideration was received by the Company for the exchange.</w:t>
      </w:r>
    </w:p>
    <w:p>
      <w:pPr>
        <w:spacing w:after="0" w:line="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6"/>
          <w:szCs w:val="16"/>
          <w:i w:val="1"/>
          <w:iCs w:val="1"/>
          <w:color w:val="auto"/>
        </w:rPr>
        <w:t>Redemption of Membership Units in OP ("OP Units")</w:t>
      </w:r>
      <w:r>
        <w:rPr>
          <w:rFonts w:ascii="Arial" w:cs="Arial" w:eastAsia="Arial" w:hAnsi="Arial"/>
          <w:sz w:val="16"/>
          <w:szCs w:val="16"/>
          <w:color w:val="auto"/>
        </w:rPr>
        <w:t>—Holders of OP Units have the right to require the OP to redeem all or a portion of their OP Units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cash or, at our option, shares of our class A common stock on a one-for-one basis. In the fourth quarter of 2021, in satisfaction of redemption requests by former employee OP Unit holders, 1,500,000 shares of our class A common stock were issued to the former employees.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Such shares of class A common stock were issued in reliance on Section 4(a)(2) of the Securities Act of 1933, as amended.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5" w:lineRule="exact"/>
        <w:rPr>
          <w:sz w:val="20"/>
          <w:szCs w:val="20"/>
          <w:color w:val="auto"/>
        </w:rPr>
      </w:pPr>
    </w:p>
    <w:p>
      <w:pPr>
        <w:ind w:firstLine="351"/>
        <w:spacing w:after="0" w:line="285" w:lineRule="auto"/>
        <w:rPr>
          <w:sz w:val="20"/>
          <w:szCs w:val="20"/>
          <w:color w:val="auto"/>
        </w:rPr>
      </w:pPr>
      <w:r>
        <w:rPr>
          <w:rFonts w:ascii="Arial" w:cs="Arial" w:eastAsia="Arial" w:hAnsi="Arial"/>
          <w:sz w:val="14"/>
          <w:szCs w:val="14"/>
          <w:color w:val="auto"/>
        </w:rPr>
        <w:t>The following graph compares the cumulative total return on our class A common stock with the cumulative total returns on the Standard &amp; Poor’s 500 Composite Stock Price Index (the “S&amp;P 500 Index”) and the MSCI US REIT Index, comprising equity REITs ("RMZ Index") from December 31, 2016 to December 31, 2021. Our stock price in the period preceding the merger among Colony Capital, Inc. ("CLNY") as the Company was formerly known, NorthStar Asset Management Group Inc. ("NSAM") and NorthStar Realty Finance Corp ("NRF") on January 10, 2017 represents the then stock price of CLNY adjusted to reflect the equity structure of NSAM as the legal acquirer by applying the share exchange ratio of one share of CLNY common stock for 1.4663 shares of common stock of the Company after the merger. The graph assumes an investment of $100 in our common stock and each of the indices on December 31, 2016 and the reinvestment of all dividends. The cumulative total return on our class A common stock as presented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279390" cy="2599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79390" cy="259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61" w:lineRule="exact"/>
        <w:rPr>
          <w:sz w:val="20"/>
          <w:szCs w:val="20"/>
          <w:color w:val="auto"/>
        </w:rPr>
      </w:pPr>
    </w:p>
    <w:p>
      <w:pPr>
        <w:ind w:firstLine="351"/>
        <w:spacing w:after="0" w:line="248"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accompanying notes thereto, which are included in Item 15. "Exhibits and Financial Statement Schedules" of this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Developments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significant developments in 2021 and through the date of this filing that affected our business and results of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w:t>
      </w:r>
    </w:p>
    <w:p>
      <w:pPr>
        <w:spacing w:after="0" w:line="99" w:lineRule="exact"/>
        <w:rPr>
          <w:sz w:val="20"/>
          <w:szCs w:val="20"/>
          <w:color w:val="auto"/>
        </w:rPr>
      </w:pPr>
    </w:p>
    <w:p>
      <w:pPr>
        <w:ind w:left="420" w:right="60" w:hanging="146"/>
        <w:spacing w:after="0" w:line="248" w:lineRule="auto"/>
        <w:tabs>
          <w:tab w:leader="none" w:pos="41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Securitized Financing Facility—</w:t>
      </w:r>
      <w:r>
        <w:rPr>
          <w:rFonts w:ascii="Arial" w:cs="Arial" w:eastAsia="Arial" w:hAnsi="Arial"/>
          <w:sz w:val="16"/>
          <w:szCs w:val="16"/>
          <w:color w:val="auto"/>
        </w:rPr>
        <w:t>In July 2021, our corporate credit facility was terminated and replaced with $500 million aggregate principal amount of Series</w:t>
      </w:r>
      <w:r>
        <w:rPr>
          <w:rFonts w:ascii="Arial" w:cs="Arial" w:eastAsia="Arial" w:hAnsi="Arial"/>
          <w:sz w:val="16"/>
          <w:szCs w:val="16"/>
          <w:i w:val="1"/>
          <w:iCs w:val="1"/>
          <w:color w:val="auto"/>
        </w:rPr>
        <w:t xml:space="preserve"> </w:t>
      </w:r>
      <w:r>
        <w:rPr>
          <w:rFonts w:ascii="Arial" w:cs="Arial" w:eastAsia="Arial" w:hAnsi="Arial"/>
          <w:sz w:val="16"/>
          <w:szCs w:val="16"/>
          <w:color w:val="auto"/>
        </w:rPr>
        <w:t>2021-1 Secured Fund Fee Revenue Notes issued by subsidiaries of the OP (the "Co-Issuers"), composed of: (i) $300 million aggregate principal amount of 3.933% Secured Fund Fee Revenue Notes, Series 2021-1, Class A-2 (the “Class A-2 Notes”); and (ii) up to $200 million Secured Fund Fee Revenue Variable Funding Notes, Series 2021-1, Class A-1 (the “VFN Notes” and, together with the Class A-2 Notes, the “Series 2021-1 Notes”). The VFN Notes allow the Co-Issuers to borrow on a revolving basis. Proceeds from issuance of the Class A-2 Notes of $285 million, net of offering costs and $5.4 million of interest reserve deposit, are being applied for acquisitions of digital infrastructure investments, funding of commitments to sponsored funds, redemption or repayment of other higher cost corporate securities, and/or general corporate purposes.</w:t>
      </w:r>
    </w:p>
    <w:p>
      <w:pPr>
        <w:spacing w:after="0" w:line="8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The issuance of the Series 2021-1 Notes represents a key milestone for the Company on a number of fronts:</w:t>
      </w:r>
    </w:p>
    <w:p>
      <w:pPr>
        <w:spacing w:after="0" w:line="33" w:lineRule="exact"/>
        <w:rPr>
          <w:rFonts w:ascii="Arial" w:cs="Arial" w:eastAsia="Arial" w:hAnsi="Arial"/>
          <w:sz w:val="16"/>
          <w:szCs w:val="16"/>
          <w:color w:val="auto"/>
        </w:rPr>
      </w:pPr>
    </w:p>
    <w:p>
      <w:pPr>
        <w:ind w:left="620" w:hanging="135"/>
        <w:spacing w:after="0"/>
        <w:tabs>
          <w:tab w:leader="none" w:pos="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Longer-duration financing</w:t>
      </w:r>
      <w:r>
        <w:rPr>
          <w:rFonts w:ascii="Arial" w:cs="Arial" w:eastAsia="Arial" w:hAnsi="Arial"/>
          <w:sz w:val="16"/>
          <w:szCs w:val="16"/>
          <w:i w:val="1"/>
          <w:iCs w:val="1"/>
          <w:color w:val="auto"/>
        </w:rPr>
        <w:t>—</w:t>
      </w:r>
      <w:r>
        <w:rPr>
          <w:rFonts w:ascii="Arial" w:cs="Arial" w:eastAsia="Arial" w:hAnsi="Arial"/>
          <w:sz w:val="16"/>
          <w:szCs w:val="16"/>
          <w:color w:val="auto"/>
        </w:rPr>
        <w:t>We effectively refinanced our corporate credit facility and extended the maturity of our revolving credit from 2022 to 2026.</w:t>
      </w:r>
    </w:p>
    <w:p>
      <w:pPr>
        <w:spacing w:after="0" w:line="65" w:lineRule="exact"/>
        <w:rPr>
          <w:rFonts w:ascii="Arial" w:cs="Arial" w:eastAsia="Arial" w:hAnsi="Arial"/>
          <w:sz w:val="16"/>
          <w:szCs w:val="16"/>
          <w:color w:val="auto"/>
        </w:rPr>
      </w:pPr>
    </w:p>
    <w:p>
      <w:pPr>
        <w:ind w:left="620" w:hanging="135"/>
        <w:spacing w:after="0"/>
        <w:tabs>
          <w:tab w:leader="none" w:pos="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First-of-its-kind securitization backed by investment management fees.</w:t>
      </w:r>
    </w:p>
    <w:p>
      <w:pPr>
        <w:spacing w:after="0" w:line="33" w:lineRule="exact"/>
        <w:rPr>
          <w:rFonts w:ascii="Arial" w:cs="Arial" w:eastAsia="Arial" w:hAnsi="Arial"/>
          <w:sz w:val="16"/>
          <w:szCs w:val="16"/>
          <w:color w:val="auto"/>
        </w:rPr>
      </w:pPr>
    </w:p>
    <w:p>
      <w:pPr>
        <w:ind w:left="620" w:hanging="135"/>
        <w:spacing w:after="0" w:line="268" w:lineRule="auto"/>
        <w:tabs>
          <w:tab w:leader="none" w:pos="617" w:val="left"/>
        </w:tabs>
        <w:numPr>
          <w:ilvl w:val="1"/>
          <w:numId w:val="36"/>
        </w:numPr>
        <w:rPr>
          <w:rFonts w:ascii="Arial" w:cs="Arial" w:eastAsia="Arial" w:hAnsi="Arial"/>
          <w:sz w:val="16"/>
          <w:szCs w:val="16"/>
          <w:color w:val="auto"/>
        </w:rPr>
      </w:pPr>
      <w:r>
        <w:rPr>
          <w:rFonts w:ascii="Arial" w:cs="Arial" w:eastAsia="Arial" w:hAnsi="Arial"/>
          <w:sz w:val="16"/>
          <w:szCs w:val="16"/>
          <w:color w:val="auto"/>
        </w:rPr>
        <w:t>Lower cost of capital</w:t>
      </w:r>
      <w:r>
        <w:rPr>
          <w:rFonts w:ascii="Arial" w:cs="Arial" w:eastAsia="Arial" w:hAnsi="Arial"/>
          <w:sz w:val="16"/>
          <w:szCs w:val="16"/>
          <w:i w:val="1"/>
          <w:iCs w:val="1"/>
          <w:color w:val="auto"/>
        </w:rPr>
        <w:t>—</w:t>
      </w:r>
      <w:r>
        <w:rPr>
          <w:rFonts w:ascii="Arial" w:cs="Arial" w:eastAsia="Arial" w:hAnsi="Arial"/>
          <w:sz w:val="16"/>
          <w:szCs w:val="16"/>
          <w:color w:val="auto"/>
        </w:rPr>
        <w:t>Successful rotation from “diversified to digital” has positioned us to issue securitized notes with a high-quality digital collateral base, which lowers our effective cost of capital.</w:t>
      </w:r>
    </w:p>
    <w:p>
      <w:pPr>
        <w:spacing w:after="0" w:line="10" w:lineRule="exact"/>
        <w:rPr>
          <w:rFonts w:ascii="Arial" w:cs="Arial" w:eastAsia="Arial" w:hAnsi="Arial"/>
          <w:sz w:val="16"/>
          <w:szCs w:val="16"/>
          <w:color w:val="auto"/>
        </w:rPr>
      </w:pPr>
    </w:p>
    <w:p>
      <w:pPr>
        <w:jc w:val="both"/>
        <w:ind w:left="620" w:right="140" w:hanging="135"/>
        <w:spacing w:after="0" w:line="341" w:lineRule="auto"/>
        <w:tabs>
          <w:tab w:leader="none" w:pos="617" w:val="left"/>
        </w:tabs>
        <w:numPr>
          <w:ilvl w:val="1"/>
          <w:numId w:val="36"/>
        </w:numPr>
        <w:rPr>
          <w:rFonts w:ascii="Arial" w:cs="Arial" w:eastAsia="Arial" w:hAnsi="Arial"/>
          <w:sz w:val="14"/>
          <w:szCs w:val="14"/>
          <w:color w:val="auto"/>
        </w:rPr>
      </w:pPr>
      <w:r>
        <w:rPr>
          <w:rFonts w:ascii="Arial" w:cs="Arial" w:eastAsia="Arial" w:hAnsi="Arial"/>
          <w:sz w:val="14"/>
          <w:szCs w:val="14"/>
          <w:color w:val="auto"/>
        </w:rPr>
        <w:t>Greater flexibility</w:t>
      </w:r>
      <w:r>
        <w:rPr>
          <w:rFonts w:ascii="Arial" w:cs="Arial" w:eastAsia="Arial" w:hAnsi="Arial"/>
          <w:sz w:val="14"/>
          <w:szCs w:val="14"/>
          <w:i w:val="1"/>
          <w:iCs w:val="1"/>
          <w:color w:val="auto"/>
        </w:rPr>
        <w:t>—</w:t>
      </w:r>
      <w:r>
        <w:rPr>
          <w:rFonts w:ascii="Arial" w:cs="Arial" w:eastAsia="Arial" w:hAnsi="Arial"/>
          <w:sz w:val="14"/>
          <w:szCs w:val="14"/>
          <w:color w:val="auto"/>
        </w:rPr>
        <w:t>This new financing structure, which we intend to continue to utilize as it grows, creates greater flexibility around capital allocation and corporate liability management, including our ability to retire higher cost debt or securities and pay regular dividends on our common stock in the future.</w:t>
      </w:r>
    </w:p>
    <w:p>
      <w:pPr>
        <w:spacing w:after="0" w:line="26" w:lineRule="exact"/>
        <w:rPr>
          <w:rFonts w:ascii="Arial" w:cs="Arial" w:eastAsia="Arial" w:hAnsi="Arial"/>
          <w:sz w:val="14"/>
          <w:szCs w:val="14"/>
          <w:color w:val="auto"/>
        </w:rPr>
      </w:pPr>
    </w:p>
    <w:p>
      <w:pPr>
        <w:ind w:left="420" w:right="520" w:hanging="146"/>
        <w:spacing w:after="0" w:line="246" w:lineRule="auto"/>
        <w:tabs>
          <w:tab w:leader="none" w:pos="416"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In 2021, we reduced higher cost corporate indebtedness by $343 million. This reduction encompasses: (i) $193 million of corporate debt extinguished through $32 million repayment upon maturity and early exchange of $161 million of senior notes into shares of our class A common stock; and (ii) $150 million of preferred stock redeemed.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Digital Business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Digital IM</w:t>
      </w:r>
    </w:p>
    <w:p>
      <w:pPr>
        <w:spacing w:after="0" w:line="113" w:lineRule="exact"/>
        <w:rPr>
          <w:sz w:val="20"/>
          <w:szCs w:val="20"/>
          <w:color w:val="auto"/>
        </w:rPr>
      </w:pPr>
    </w:p>
    <w:p>
      <w:pPr>
        <w:jc w:val="both"/>
        <w:ind w:left="420" w:right="40" w:hanging="146"/>
        <w:spacing w:after="0" w:line="246" w:lineRule="auto"/>
        <w:tabs>
          <w:tab w:leader="none" w:pos="416" w:val="left"/>
        </w:tabs>
        <w:numPr>
          <w:ilvl w:val="0"/>
          <w:numId w:val="37"/>
        </w:numPr>
        <w:rPr>
          <w:rFonts w:ascii="Arial" w:cs="Arial" w:eastAsia="Arial" w:hAnsi="Arial"/>
          <w:sz w:val="16"/>
          <w:szCs w:val="16"/>
          <w:b w:val="1"/>
          <w:bCs w:val="1"/>
          <w:i w:val="1"/>
          <w:iCs w:val="1"/>
          <w:color w:val="auto"/>
        </w:rPr>
      </w:pPr>
      <w:r>
        <w:rPr>
          <w:rFonts w:ascii="Arial" w:cs="Arial" w:eastAsia="Arial" w:hAnsi="Arial"/>
          <w:sz w:val="16"/>
          <w:szCs w:val="16"/>
          <w:color w:val="auto"/>
        </w:rPr>
        <w:t>DBP II, our second flagship digital infrastructure fund, had its final closing in December 2021 with commitments totaling $8.3 billion (inclusive of $120 million of our commitments as limited partner and general partner). The successful fundraising for DBP II significantly exceeded our initial target and stands at twice the size of DBP I.</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Digital Operating</w:t>
      </w:r>
    </w:p>
    <w:p>
      <w:pPr>
        <w:spacing w:after="0" w:line="113" w:lineRule="exact"/>
        <w:rPr>
          <w:sz w:val="20"/>
          <w:szCs w:val="20"/>
          <w:color w:val="auto"/>
        </w:rPr>
      </w:pPr>
    </w:p>
    <w:p>
      <w:pPr>
        <w:ind w:left="420" w:right="120" w:hanging="146"/>
        <w:spacing w:after="0" w:line="248" w:lineRule="auto"/>
        <w:tabs>
          <w:tab w:leader="none" w:pos="416"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DataBank subsidiary completed its restructuring in the second quarter of 2021 and expects to elect REIT status for the 2021 taxable year, resulting in a write-off of $67 million of net deferred tax liabilities.</w:t>
      </w:r>
    </w:p>
    <w:p>
      <w:pPr>
        <w:spacing w:after="0" w:line="87" w:lineRule="exact"/>
        <w:rPr>
          <w:rFonts w:ascii="Arial" w:cs="Arial" w:eastAsia="Arial" w:hAnsi="Arial"/>
          <w:sz w:val="16"/>
          <w:szCs w:val="16"/>
          <w:color w:val="auto"/>
        </w:rPr>
      </w:pPr>
    </w:p>
    <w:p>
      <w:pPr>
        <w:ind w:left="420" w:hanging="146"/>
        <w:spacing w:after="0"/>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February 2021, DataBank completed the acquisition of zColo's remaining five data centers in France for $33 million.</w:t>
      </w:r>
    </w:p>
    <w:p>
      <w:pPr>
        <w:spacing w:after="0" w:line="96" w:lineRule="exact"/>
        <w:rPr>
          <w:rFonts w:ascii="Arial" w:cs="Arial" w:eastAsia="Arial" w:hAnsi="Arial"/>
          <w:sz w:val="16"/>
          <w:szCs w:val="16"/>
          <w:color w:val="auto"/>
        </w:rPr>
      </w:pPr>
    </w:p>
    <w:p>
      <w:pPr>
        <w:ind w:left="420" w:hanging="146"/>
        <w:spacing w:after="0" w:line="248" w:lineRule="auto"/>
        <w:tabs>
          <w:tab w:leader="none" w:pos="416" w:val="left"/>
        </w:tabs>
        <w:numPr>
          <w:ilvl w:val="0"/>
          <w:numId w:val="38"/>
        </w:numPr>
        <w:rPr>
          <w:rFonts w:ascii="Arial" w:cs="Arial" w:eastAsia="Arial" w:hAnsi="Arial"/>
          <w:sz w:val="16"/>
          <w:szCs w:val="16"/>
          <w:i w:val="1"/>
          <w:iCs w:val="1"/>
          <w:color w:val="auto"/>
        </w:rPr>
      </w:pPr>
      <w:r>
        <w:rPr>
          <w:rFonts w:ascii="Arial" w:cs="Arial" w:eastAsia="Arial" w:hAnsi="Arial"/>
          <w:sz w:val="16"/>
          <w:szCs w:val="16"/>
          <w:color w:val="auto"/>
        </w:rPr>
        <w:t>We acquired an additional data center and build-out of expansion capacity within the Vantage SDC portfolio, including lease-up of the expanded capacity and existing inventory, for aggregate payments of $505 million, funded primarily through borrowings by Vantage SDC.</w:t>
      </w:r>
    </w:p>
    <w:p>
      <w:pPr>
        <w:spacing w:after="0" w:line="87" w:lineRule="exact"/>
        <w:rPr>
          <w:rFonts w:ascii="Arial" w:cs="Arial" w:eastAsia="Arial" w:hAnsi="Arial"/>
          <w:sz w:val="16"/>
          <w:szCs w:val="16"/>
          <w:i w:val="1"/>
          <w:iCs w:val="1"/>
          <w:color w:val="auto"/>
        </w:rPr>
      </w:pPr>
    </w:p>
    <w:p>
      <w:pPr>
        <w:ind w:left="420" w:right="160" w:hanging="146"/>
        <w:spacing w:after="0" w:line="248" w:lineRule="auto"/>
        <w:tabs>
          <w:tab w:leader="none" w:pos="416"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In January 2022, DataBank entered into a definitive agreement to acquire four colocation data centers in Houston, Texas for $670 million. Based upon total equity investment by DataBank, our share of the investment is $91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right="360"/>
        <w:spacing w:after="0" w:line="245" w:lineRule="auto"/>
        <w:rPr>
          <w:sz w:val="20"/>
          <w:szCs w:val="20"/>
          <w:color w:val="auto"/>
        </w:rPr>
      </w:pPr>
      <w:r>
        <w:rPr>
          <w:rFonts w:ascii="Arial" w:cs="Arial" w:eastAsia="Arial" w:hAnsi="Arial"/>
          <w:sz w:val="16"/>
          <w:szCs w:val="16"/>
          <w:color w:val="auto"/>
        </w:rPr>
        <w:t>The new facilities will collectively add approximately 308,000 built square feet and 42.5 MW of installed critical IT load, as well as a roster of blue-chip customers. Additionally, one of the facilities being acquired is the region’s primary interconnection point that is strategically positioned with access to significant and redundant utility power feeds and access to fast and reliable telecommunications networks. The transaction is expected to close in March 2022, subject to customary closing conditions and regulatory approval.</w:t>
      </w:r>
    </w:p>
    <w:p>
      <w:pPr>
        <w:spacing w:after="0" w:line="91" w:lineRule="exact"/>
        <w:rPr>
          <w:sz w:val="20"/>
          <w:szCs w:val="20"/>
          <w:color w:val="auto"/>
        </w:rPr>
      </w:pPr>
    </w:p>
    <w:p>
      <w:pPr>
        <w:ind w:left="420" w:right="60" w:hanging="146"/>
        <w:spacing w:after="0" w:line="245" w:lineRule="auto"/>
        <w:tabs>
          <w:tab w:leader="none" w:pos="4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March 2021 and October 2021, DataBank raised $658 million and $332 million of 5-year securitized notes at blended fixed rates of 2.32% and 2.43% per annum, respectively. Proceeds from the March securitization were applied principally to refinance $514 million of outstanding debt, which meaningfully reduced DataBank's overall cost of debt and extended its debt maturities, while the October proceeds were used to repay borrowings on its credit facility and to finance the future Houston acquisition.</w:t>
      </w:r>
    </w:p>
    <w:p>
      <w:pPr>
        <w:spacing w:after="0" w:line="90" w:lineRule="exact"/>
        <w:rPr>
          <w:rFonts w:ascii="Arial" w:cs="Arial" w:eastAsia="Arial" w:hAnsi="Arial"/>
          <w:sz w:val="16"/>
          <w:szCs w:val="16"/>
          <w:color w:val="auto"/>
        </w:rPr>
      </w:pPr>
    </w:p>
    <w:p>
      <w:pPr>
        <w:ind w:left="420" w:right="80" w:hanging="146"/>
        <w:spacing w:after="0" w:line="246" w:lineRule="auto"/>
        <w:tabs>
          <w:tab w:leader="none" w:pos="4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November 2021, Vantage SDC issued $530 million of 5-year securitized notes at a blended per annum fixed rate of 2.17%. Proceeds were applied to replace its current bridge financing and fund capital expenditures on the September 2021 add-on acquisition, as well as to fund payments for future build-out and lease-up of expansion capacity.</w:t>
      </w:r>
    </w:p>
    <w:p>
      <w:pPr>
        <w:spacing w:after="0" w:line="89" w:lineRule="exact"/>
        <w:rPr>
          <w:rFonts w:ascii="Arial" w:cs="Arial" w:eastAsia="Arial" w:hAnsi="Arial"/>
          <w:sz w:val="16"/>
          <w:szCs w:val="16"/>
          <w:color w:val="auto"/>
        </w:rPr>
      </w:pPr>
    </w:p>
    <w:p>
      <w:pPr>
        <w:ind w:left="280" w:right="120" w:hanging="6"/>
        <w:spacing w:after="0" w:line="366" w:lineRule="auto"/>
        <w:tabs>
          <w:tab w:leader="none" w:pos="4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January 2022, we acquired additional interest in DataBank from a selling investor for $32.0 million, which increased our ownership in DataBank to 21.9%. </w:t>
      </w:r>
      <w:r>
        <w:rPr>
          <w:rFonts w:ascii="Arial" w:cs="Arial" w:eastAsia="Arial" w:hAnsi="Arial"/>
          <w:sz w:val="16"/>
          <w:szCs w:val="16"/>
          <w:i w:val="1"/>
          <w:iCs w:val="1"/>
          <w:color w:val="auto"/>
        </w:rPr>
        <w:t>Other</w:t>
      </w:r>
    </w:p>
    <w:p>
      <w:pPr>
        <w:ind w:left="420" w:right="360" w:hanging="146"/>
        <w:spacing w:after="0" w:line="246" w:lineRule="auto"/>
        <w:tabs>
          <w:tab w:leader="none" w:pos="4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DBP II, together with other third party co-invest capital, acquired a digital communications infrastructure business in October 2021. No capital was drawn from DBRG's balance sheet to bridge the financing for this acquisition and DBRG's previous commitment to a preferred equity investment has been cancelled.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Non-Digital Assets</w:t>
      </w:r>
    </w:p>
    <w:p>
      <w:pPr>
        <w:spacing w:after="0" w:line="115" w:lineRule="exact"/>
        <w:rPr>
          <w:sz w:val="20"/>
          <w:szCs w:val="20"/>
          <w:color w:val="auto"/>
        </w:rPr>
      </w:pPr>
    </w:p>
    <w:p>
      <w:pPr>
        <w:ind w:left="420" w:right="180" w:hanging="146"/>
        <w:spacing w:after="0" w:line="248" w:lineRule="auto"/>
        <w:tabs>
          <w:tab w:leader="none" w:pos="41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first half of 2021, we determined we would accelerate the monetization of our remaining non-digital assets in Wellness Infrastructure, OED and Other IM.</w:t>
      </w:r>
    </w:p>
    <w:p>
      <w:pPr>
        <w:spacing w:after="0" w:line="87" w:lineRule="exact"/>
        <w:rPr>
          <w:rFonts w:ascii="Arial" w:cs="Arial" w:eastAsia="Arial" w:hAnsi="Arial"/>
          <w:sz w:val="16"/>
          <w:szCs w:val="16"/>
          <w:color w:val="auto"/>
        </w:rPr>
      </w:pPr>
    </w:p>
    <w:p>
      <w:pPr>
        <w:ind w:left="620" w:right="60" w:hanging="135"/>
        <w:spacing w:after="0" w:line="298" w:lineRule="auto"/>
        <w:tabs>
          <w:tab w:leader="none" w:pos="617" w:val="left"/>
        </w:tabs>
        <w:numPr>
          <w:ilvl w:val="1"/>
          <w:numId w:val="40"/>
        </w:numPr>
        <w:rPr>
          <w:rFonts w:ascii="Arial" w:cs="Arial" w:eastAsia="Arial" w:hAnsi="Arial"/>
          <w:sz w:val="12"/>
          <w:szCs w:val="12"/>
          <w:b w:val="1"/>
          <w:bCs w:val="1"/>
          <w:i w:val="1"/>
          <w:iCs w:val="1"/>
          <w:color w:val="auto"/>
        </w:rPr>
      </w:pPr>
      <w:r>
        <w:rPr>
          <w:rFonts w:ascii="Arial" w:cs="Arial" w:eastAsia="Arial" w:hAnsi="Arial"/>
          <w:sz w:val="14"/>
          <w:szCs w:val="14"/>
          <w:color w:val="auto"/>
        </w:rPr>
        <w:t>In December 2021, pursuant to a definitive agreement entered into in June 2021, we sold our interests in a substantial majority of our OED investments and Other IM business for cash consideration of $443 million, net of closing adjustments of $31 million, representing net cash already received, largely for asset monetizations realized prior to closing. Approximately $510 million of consolidated investment-level debt was assumed by the acquirer.</w:t>
      </w:r>
    </w:p>
    <w:p>
      <w:pPr>
        <w:spacing w:after="0" w:line="55" w:lineRule="exact"/>
        <w:rPr>
          <w:rFonts w:ascii="Arial" w:cs="Arial" w:eastAsia="Arial" w:hAnsi="Arial"/>
          <w:sz w:val="12"/>
          <w:szCs w:val="12"/>
          <w:b w:val="1"/>
          <w:bCs w:val="1"/>
          <w:i w:val="1"/>
          <w:iCs w:val="1"/>
          <w:color w:val="auto"/>
        </w:rPr>
      </w:pPr>
    </w:p>
    <w:p>
      <w:pPr>
        <w:ind w:left="620" w:hanging="135"/>
        <w:spacing w:after="0" w:line="245" w:lineRule="auto"/>
        <w:tabs>
          <w:tab w:leader="none" w:pos="617" w:val="left"/>
        </w:tabs>
        <w:numPr>
          <w:ilvl w:val="1"/>
          <w:numId w:val="40"/>
        </w:numPr>
        <w:rPr>
          <w:rFonts w:ascii="Arial" w:cs="Arial" w:eastAsia="Arial" w:hAnsi="Arial"/>
          <w:sz w:val="12"/>
          <w:szCs w:val="12"/>
          <w:b w:val="1"/>
          <w:bCs w:val="1"/>
          <w:i w:val="1"/>
          <w:iCs w:val="1"/>
          <w:color w:val="auto"/>
        </w:rPr>
      </w:pPr>
      <w:r>
        <w:rPr>
          <w:rFonts w:ascii="Arial" w:cs="Arial" w:eastAsia="Arial" w:hAnsi="Arial"/>
          <w:sz w:val="16"/>
          <w:szCs w:val="16"/>
          <w:color w:val="auto"/>
        </w:rPr>
        <w:t>In February 2022, pursuant to a definitive agreement entered into in September 2021 (as amended in February 2022), we sold our Wellness Infrastructure business in a transaction valued at $3.1 billion, including the acquirer's assumption of $2.86 billion of consolidated investment-level debt. The sales price was $281 million, composed of $126 million in cash and a $155 million 5-year seller note. In addition, we received a $35 million cash distribution from NRF Holdco prior to closing.</w:t>
      </w:r>
    </w:p>
    <w:p>
      <w:pPr>
        <w:spacing w:after="0" w:line="90" w:lineRule="exact"/>
        <w:rPr>
          <w:rFonts w:ascii="Arial" w:cs="Arial" w:eastAsia="Arial" w:hAnsi="Arial"/>
          <w:sz w:val="12"/>
          <w:szCs w:val="12"/>
          <w:b w:val="1"/>
          <w:bCs w:val="1"/>
          <w:i w:val="1"/>
          <w:iCs w:val="1"/>
          <w:color w:val="auto"/>
        </w:rPr>
      </w:pPr>
    </w:p>
    <w:p>
      <w:pPr>
        <w:ind w:left="620" w:right="360" w:hanging="135"/>
        <w:spacing w:after="0" w:line="248" w:lineRule="auto"/>
        <w:tabs>
          <w:tab w:leader="none" w:pos="616" w:val="left"/>
        </w:tabs>
        <w:numPr>
          <w:ilvl w:val="1"/>
          <w:numId w:val="40"/>
        </w:numPr>
        <w:rPr>
          <w:rFonts w:ascii="Arial" w:cs="Arial" w:eastAsia="Arial" w:hAnsi="Arial"/>
          <w:sz w:val="16"/>
          <w:szCs w:val="16"/>
          <w:b w:val="1"/>
          <w:bCs w:val="1"/>
          <w:i w:val="1"/>
          <w:iCs w:val="1"/>
          <w:color w:val="auto"/>
        </w:rPr>
      </w:pPr>
      <w:r>
        <w:rPr>
          <w:rFonts w:ascii="Arial" w:cs="Arial" w:eastAsia="Arial" w:hAnsi="Arial"/>
          <w:sz w:val="16"/>
          <w:szCs w:val="16"/>
          <w:color w:val="auto"/>
        </w:rPr>
        <w:t>Based upon the sales price for the Wellness Infrastructure assets, OED investments and Other IM business, the carrying values of these assets were written down by $625 million in aggregate, of which $265 million was attributable to the OP, included in discontinued operations.</w:t>
      </w:r>
    </w:p>
    <w:p>
      <w:pPr>
        <w:spacing w:after="0" w:line="87" w:lineRule="exact"/>
        <w:rPr>
          <w:rFonts w:ascii="Arial" w:cs="Arial" w:eastAsia="Arial" w:hAnsi="Arial"/>
          <w:sz w:val="16"/>
          <w:szCs w:val="16"/>
          <w:b w:val="1"/>
          <w:bCs w:val="1"/>
          <w:i w:val="1"/>
          <w:iCs w:val="1"/>
          <w:color w:val="auto"/>
        </w:rPr>
      </w:pPr>
    </w:p>
    <w:p>
      <w:pPr>
        <w:ind w:left="620" w:right="120" w:hanging="135"/>
        <w:spacing w:after="0" w:line="245" w:lineRule="auto"/>
        <w:tabs>
          <w:tab w:leader="none" w:pos="616" w:val="left"/>
        </w:tabs>
        <w:numPr>
          <w:ilvl w:val="1"/>
          <w:numId w:val="40"/>
        </w:numPr>
        <w:rPr>
          <w:rFonts w:ascii="Arial" w:cs="Arial" w:eastAsia="Arial" w:hAnsi="Arial"/>
          <w:sz w:val="16"/>
          <w:szCs w:val="16"/>
          <w:color w:val="auto"/>
        </w:rPr>
      </w:pPr>
      <w:r>
        <w:rPr>
          <w:rFonts w:ascii="Arial" w:cs="Arial" w:eastAsia="Arial" w:hAnsi="Arial"/>
          <w:sz w:val="16"/>
          <w:szCs w:val="16"/>
          <w:color w:val="auto"/>
        </w:rPr>
        <w:t>On April 30, 2021, we terminated the BRSP management contract, which resided in the Other IM business, for a one-time termination payment of $102.3 million at closing. Consequently, the Other IM goodwill balance of $81.6 million was fully written off as the remaining value of the Other IM reporting unit represented principally the BRSP management contract. This resulted in a net gain of $20.7 million, recognized within other gain (loss) in discontinued operations.</w:t>
      </w:r>
    </w:p>
    <w:p>
      <w:pPr>
        <w:spacing w:after="0" w:line="90" w:lineRule="exact"/>
        <w:rPr>
          <w:rFonts w:ascii="Arial" w:cs="Arial" w:eastAsia="Arial" w:hAnsi="Arial"/>
          <w:sz w:val="16"/>
          <w:szCs w:val="16"/>
          <w:color w:val="auto"/>
        </w:rPr>
      </w:pPr>
    </w:p>
    <w:p>
      <w:pPr>
        <w:ind w:left="420" w:right="460" w:hanging="146"/>
        <w:spacing w:after="0" w:line="245" w:lineRule="auto"/>
        <w:tabs>
          <w:tab w:leader="none" w:pos="416"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In March 2021, we sold five of the six hotel portfolios in our Hospitality segment and our 55.6% interest in the THL Hotel Portfolio in the Other segment, generating net proceeds of $45.6 million. The transaction was valued at $2.8 billion, including aggregate selling price of $67.5 million and the buyer's assumption of $2.7 billion of consolidated investment-level debt. The remaining one hotel portfolio that was in receivership was sold by the lender in September 2021 for no proceeds to us.</w:t>
      </w:r>
    </w:p>
    <w:p>
      <w:pPr>
        <w:spacing w:after="0" w:line="90" w:lineRule="exact"/>
        <w:rPr>
          <w:rFonts w:ascii="Arial" w:cs="Arial" w:eastAsia="Arial" w:hAnsi="Arial"/>
          <w:sz w:val="16"/>
          <w:szCs w:val="16"/>
          <w:i w:val="1"/>
          <w:iCs w:val="1"/>
          <w:color w:val="auto"/>
        </w:rPr>
      </w:pPr>
    </w:p>
    <w:p>
      <w:pPr>
        <w:ind w:left="420" w:hanging="146"/>
        <w:spacing w:after="0"/>
        <w:tabs>
          <w:tab w:leader="none" w:pos="42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In August 2021, we sold 9.5 million BRSP shares for net proceeds of approximately $82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9" w:name="page50"/>
    <w:bookmarkEnd w:id="49"/>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6" w:right="160" w:hanging="146"/>
        <w:spacing w:after="0" w:line="236" w:lineRule="auto"/>
        <w:tabs>
          <w:tab w:leader="none" w:pos="418"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In October 2021, our equity interest in a private healthcare real estate investor/manager (the "Investee") was diluted following an acquisition of the Investee in conjunction with a merger of the Investee's co-sponsored non-traded REITs. In connection with this transaction, we received distributions of $7.8 million cash and units in the operating company of the new combined non-traded healthcare REIT, valued at approximately $45 million, based upon the net asset value of the non-traded healthcare REIT. As a result, we recorded a $7.4 million realized gain and approximately $37 million of unrealized gain.</w:t>
      </w:r>
    </w:p>
    <w:p>
      <w:pPr>
        <w:spacing w:after="0" w:line="95" w:lineRule="exact"/>
        <w:rPr>
          <w:rFonts w:ascii="Arial" w:cs="Arial" w:eastAsia="Arial" w:hAnsi="Arial"/>
          <w:sz w:val="21"/>
          <w:szCs w:val="21"/>
          <w:color w:val="auto"/>
          <w:vertAlign w:val="superscript"/>
        </w:rPr>
      </w:pPr>
    </w:p>
    <w:p>
      <w:pPr>
        <w:ind w:left="426" w:right="40" w:hanging="146"/>
        <w:spacing w:after="0" w:line="245" w:lineRule="auto"/>
        <w:tabs>
          <w:tab w:leader="none" w:pos="4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April 2021, we received proceeds from the sale of the two largest assets securing our Irish loan portfolio, which were applied to repay $305 million of our outstanding loan receivable and extinguish the full $155 million of debt financing the portfolio. This removed all encumbrances on the remaining assets in the portfolio. Our share of excess net proceeds was $103.5 million. The Irish loan portfolio is composed of distressed loans that were previously acquired at a discount.</w:t>
      </w:r>
    </w:p>
    <w:p>
      <w:pPr>
        <w:spacing w:after="0" w:line="90" w:lineRule="exact"/>
        <w:rPr>
          <w:rFonts w:ascii="Arial" w:cs="Arial" w:eastAsia="Arial" w:hAnsi="Arial"/>
          <w:sz w:val="16"/>
          <w:szCs w:val="16"/>
          <w:color w:val="auto"/>
        </w:rPr>
      </w:pPr>
    </w:p>
    <w:p>
      <w:pPr>
        <w:ind w:left="426" w:right="380" w:hanging="146"/>
        <w:spacing w:after="0" w:line="246" w:lineRule="auto"/>
        <w:tabs>
          <w:tab w:leader="none" w:pos="422" w:val="left"/>
        </w:tabs>
        <w:numPr>
          <w:ilvl w:val="0"/>
          <w:numId w:val="41"/>
        </w:numPr>
        <w:rPr>
          <w:rFonts w:ascii="Arial" w:cs="Arial" w:eastAsia="Arial" w:hAnsi="Arial"/>
          <w:sz w:val="16"/>
          <w:szCs w:val="16"/>
          <w:i w:val="1"/>
          <w:iCs w:val="1"/>
          <w:color w:val="auto"/>
        </w:rPr>
      </w:pPr>
      <w:r>
        <w:rPr>
          <w:rFonts w:ascii="Arial" w:cs="Arial" w:eastAsia="Arial" w:hAnsi="Arial"/>
          <w:sz w:val="16"/>
          <w:szCs w:val="16"/>
          <w:color w:val="auto"/>
        </w:rPr>
        <w:t>For all current and prior periods presented, all non-digital assets that have been disposed or subject to planned disposition, and associated liabilities (excluding our interest in BRSP, except for BRSP shares and units held by NRF Holdco) are presented as held for disposition, and the related operating results are presented as discontinued operations (Notes 11 and 12 to the consolidated financial statements).</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Assets Under Management and Fee Earning Equity Under Management ("FEEUM")</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Below is a summary of our AUM and FEEUM.</w:t>
      </w:r>
    </w:p>
    <w:p>
      <w:pPr>
        <w:spacing w:after="0" w:line="95" w:lineRule="exact"/>
        <w:rPr>
          <w:sz w:val="20"/>
          <w:szCs w:val="20"/>
          <w:color w:val="auto"/>
        </w:rPr>
      </w:pPr>
    </w:p>
    <w:tbl>
      <w:tblPr>
        <w:tblLayout w:type="fixed"/>
        <w:tblInd w:w="486" w:type="dxa"/>
        <w:tblCellMar>
          <w:top w:w="0" w:type="dxa"/>
          <w:left w:w="0" w:type="dxa"/>
          <w:bottom w:w="0" w:type="dxa"/>
          <w:right w:w="0" w:type="dxa"/>
        </w:tblCellMar>
      </w:tblPr>
      <w:tr>
        <w:trPr>
          <w:trHeight w:val="166"/>
        </w:trPr>
        <w:tc>
          <w:tcPr>
            <w:tcW w:w="1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80" w:type="dxa"/>
            <w:vAlign w:val="bottom"/>
            <w:gridSpan w:val="3"/>
          </w:tcPr>
          <w:p>
            <w:pPr>
              <w:ind w:left="520"/>
              <w:spacing w:after="0"/>
              <w:rPr>
                <w:sz w:val="20"/>
                <w:szCs w:val="20"/>
                <w:color w:val="auto"/>
              </w:rPr>
            </w:pPr>
            <w:r>
              <w:rPr>
                <w:rFonts w:ascii="Arial" w:cs="Arial" w:eastAsia="Arial" w:hAnsi="Arial"/>
                <w:sz w:val="11"/>
                <w:szCs w:val="11"/>
                <w:b w:val="1"/>
                <w:bCs w:val="1"/>
                <w:color w:val="auto"/>
              </w:rPr>
              <w:t xml:space="preserve">AUM </w:t>
            </w:r>
            <w:r>
              <w:rPr>
                <w:rFonts w:ascii="Arial" w:cs="Arial" w:eastAsia="Arial" w:hAnsi="Arial"/>
                <w:sz w:val="14"/>
                <w:szCs w:val="14"/>
                <w:b w:val="1"/>
                <w:bCs w:val="1"/>
                <w:color w:val="auto"/>
                <w:vertAlign w:val="superscript"/>
              </w:rPr>
              <w:t>(1)(3)</w:t>
            </w:r>
            <w:r>
              <w:rPr>
                <w:rFonts w:ascii="Arial" w:cs="Arial" w:eastAsia="Arial" w:hAnsi="Arial"/>
                <w:sz w:val="11"/>
                <w:szCs w:val="11"/>
                <w:b w:val="1"/>
                <w:bCs w:val="1"/>
                <w:color w:val="auto"/>
              </w:rPr>
              <w:t xml:space="preserve"> (In billions)</w:t>
            </w:r>
          </w:p>
        </w:tc>
        <w:tc>
          <w:tcPr>
            <w:tcW w:w="2100" w:type="dxa"/>
            <w:vAlign w:val="bottom"/>
            <w:gridSpan w:val="2"/>
          </w:tcPr>
          <w:p>
            <w:pPr>
              <w:ind w:left="460"/>
              <w:spacing w:after="0"/>
              <w:rPr>
                <w:sz w:val="20"/>
                <w:szCs w:val="20"/>
                <w:color w:val="auto"/>
              </w:rPr>
            </w:pPr>
            <w:r>
              <w:rPr>
                <w:rFonts w:ascii="Arial" w:cs="Arial" w:eastAsia="Arial" w:hAnsi="Arial"/>
                <w:sz w:val="11"/>
                <w:szCs w:val="11"/>
                <w:b w:val="1"/>
                <w:bCs w:val="1"/>
                <w:color w:val="auto"/>
              </w:rPr>
              <w:t xml:space="preserve">FEEUM </w:t>
            </w:r>
            <w:r>
              <w:rPr>
                <w:rFonts w:ascii="Arial" w:cs="Arial" w:eastAsia="Arial" w:hAnsi="Arial"/>
                <w:sz w:val="14"/>
                <w:szCs w:val="14"/>
                <w:b w:val="1"/>
                <w:bCs w:val="1"/>
                <w:color w:val="auto"/>
                <w:vertAlign w:val="superscript"/>
              </w:rPr>
              <w:t>(2)(3)</w:t>
            </w:r>
            <w:r>
              <w:rPr>
                <w:rFonts w:ascii="Arial" w:cs="Arial" w:eastAsia="Arial" w:hAnsi="Arial"/>
                <w:sz w:val="11"/>
                <w:szCs w:val="11"/>
                <w:b w:val="1"/>
                <w:bCs w:val="1"/>
                <w:color w:val="auto"/>
              </w:rPr>
              <w:t xml:space="preserve"> (In billions)</w:t>
            </w:r>
          </w:p>
        </w:tc>
        <w:tc>
          <w:tcPr>
            <w:tcW w:w="0" w:type="dxa"/>
            <w:vAlign w:val="bottom"/>
          </w:tcPr>
          <w:p>
            <w:pPr>
              <w:spacing w:after="0"/>
              <w:rPr>
                <w:sz w:val="1"/>
                <w:szCs w:val="1"/>
                <w:color w:val="auto"/>
              </w:rPr>
            </w:pPr>
          </w:p>
        </w:tc>
      </w:tr>
      <w:tr>
        <w:trPr>
          <w:trHeight w:val="97"/>
        </w:trPr>
        <w:tc>
          <w:tcPr>
            <w:tcW w:w="1040" w:type="dxa"/>
            <w:vAlign w:val="bottom"/>
            <w:vMerge w:val="restart"/>
          </w:tcPr>
          <w:p>
            <w:pPr>
              <w:spacing w:after="0"/>
              <w:rPr>
                <w:sz w:val="20"/>
                <w:szCs w:val="20"/>
                <w:color w:val="auto"/>
              </w:rPr>
            </w:pPr>
            <w:r>
              <w:rPr>
                <w:rFonts w:ascii="Arial" w:cs="Arial" w:eastAsia="Arial" w:hAnsi="Arial"/>
                <w:sz w:val="11"/>
                <w:szCs w:val="11"/>
                <w:b w:val="1"/>
                <w:bCs w:val="1"/>
                <w:color w:val="auto"/>
              </w:rPr>
              <w:t>Type</w:t>
            </w:r>
          </w:p>
        </w:tc>
        <w:tc>
          <w:tcPr>
            <w:tcW w:w="2420" w:type="dxa"/>
            <w:vAlign w:val="bottom"/>
            <w:vMerge w:val="restart"/>
          </w:tcPr>
          <w:p>
            <w:pPr>
              <w:ind w:left="800"/>
              <w:spacing w:after="0"/>
              <w:rPr>
                <w:sz w:val="20"/>
                <w:szCs w:val="20"/>
                <w:color w:val="auto"/>
              </w:rPr>
            </w:pPr>
            <w:r>
              <w:rPr>
                <w:rFonts w:ascii="Arial" w:cs="Arial" w:eastAsia="Arial" w:hAnsi="Arial"/>
                <w:sz w:val="11"/>
                <w:szCs w:val="11"/>
                <w:b w:val="1"/>
                <w:bCs w:val="1"/>
                <w:color w:val="auto"/>
              </w:rPr>
              <w:t>Products</w:t>
            </w:r>
          </w:p>
        </w:tc>
        <w:tc>
          <w:tcPr>
            <w:tcW w:w="3020" w:type="dxa"/>
            <w:vAlign w:val="bottom"/>
            <w:vMerge w:val="restart"/>
          </w:tcPr>
          <w:p>
            <w:pPr>
              <w:ind w:left="1160"/>
              <w:spacing w:after="0"/>
              <w:rPr>
                <w:sz w:val="20"/>
                <w:szCs w:val="20"/>
                <w:color w:val="auto"/>
              </w:rPr>
            </w:pPr>
            <w:r>
              <w:rPr>
                <w:rFonts w:ascii="Arial" w:cs="Arial" w:eastAsia="Arial" w:hAnsi="Arial"/>
                <w:sz w:val="11"/>
                <w:szCs w:val="11"/>
                <w:b w:val="1"/>
                <w:bCs w:val="1"/>
                <w:color w:val="auto"/>
              </w:rPr>
              <w:t>Description</w:t>
            </w:r>
          </w:p>
        </w:tc>
        <w:tc>
          <w:tcPr>
            <w:tcW w:w="104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December 31,</w:t>
            </w:r>
          </w:p>
        </w:tc>
        <w:tc>
          <w:tcPr>
            <w:tcW w:w="1040" w:type="dxa"/>
            <w:vAlign w:val="bottom"/>
            <w:tcBorders>
              <w:top w:val="single" w:sz="8" w:color="auto"/>
            </w:tcBorders>
          </w:tcPr>
          <w:p>
            <w:pPr>
              <w:jc w:val="center"/>
              <w:ind w:left="5"/>
              <w:spacing w:after="0" w:line="97"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8"/>
                <w:szCs w:val="8"/>
                <w:color w:val="auto"/>
              </w:rPr>
            </w:pPr>
          </w:p>
        </w:tc>
        <w:tc>
          <w:tcPr>
            <w:tcW w:w="1040" w:type="dxa"/>
            <w:vAlign w:val="bottom"/>
            <w:tcBorders>
              <w:top w:val="single" w:sz="8" w:color="auto"/>
            </w:tcBorders>
          </w:tcPr>
          <w:p>
            <w:pPr>
              <w:jc w:val="center"/>
              <w:ind w:right="5"/>
              <w:spacing w:after="0" w:line="97" w:lineRule="exact"/>
              <w:rPr>
                <w:sz w:val="20"/>
                <w:szCs w:val="20"/>
                <w:color w:val="auto"/>
              </w:rPr>
            </w:pPr>
            <w:r>
              <w:rPr>
                <w:rFonts w:ascii="Arial" w:cs="Arial" w:eastAsia="Arial" w:hAnsi="Arial"/>
                <w:sz w:val="11"/>
                <w:szCs w:val="11"/>
                <w:b w:val="1"/>
                <w:bCs w:val="1"/>
                <w:color w:val="auto"/>
                <w:w w:val="97"/>
              </w:rPr>
              <w:t>December 31,</w:t>
            </w:r>
          </w:p>
        </w:tc>
        <w:tc>
          <w:tcPr>
            <w:tcW w:w="106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43"/>
        </w:trPr>
        <w:tc>
          <w:tcPr>
            <w:tcW w:w="104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3020" w:type="dxa"/>
            <w:vAlign w:val="bottom"/>
            <w:vMerge w:val="continue"/>
          </w:tcPr>
          <w:p>
            <w:pPr>
              <w:spacing w:after="0"/>
              <w:rPr>
                <w:sz w:val="12"/>
                <w:szCs w:val="12"/>
                <w:color w:val="auto"/>
              </w:rPr>
            </w:pPr>
          </w:p>
        </w:tc>
        <w:tc>
          <w:tcPr>
            <w:tcW w:w="1040" w:type="dxa"/>
            <w:vAlign w:val="bottom"/>
          </w:tcPr>
          <w:p>
            <w:pPr>
              <w:jc w:val="right"/>
              <w:ind w:right="365"/>
              <w:spacing w:after="0"/>
              <w:rPr>
                <w:sz w:val="20"/>
                <w:szCs w:val="20"/>
                <w:color w:val="auto"/>
              </w:rPr>
            </w:pPr>
            <w:r>
              <w:rPr>
                <w:rFonts w:ascii="Arial" w:cs="Arial" w:eastAsia="Arial" w:hAnsi="Arial"/>
                <w:sz w:val="11"/>
                <w:szCs w:val="11"/>
                <w:b w:val="1"/>
                <w:bCs w:val="1"/>
                <w:color w:val="auto"/>
              </w:rPr>
              <w:t>2021</w:t>
            </w:r>
          </w:p>
        </w:tc>
        <w:tc>
          <w:tcPr>
            <w:tcW w:w="1040" w:type="dxa"/>
            <w:vAlign w:val="bottom"/>
          </w:tcPr>
          <w:p>
            <w:pPr>
              <w:jc w:val="right"/>
              <w:ind w:right="325"/>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040" w:type="dxa"/>
            <w:vAlign w:val="bottom"/>
          </w:tcPr>
          <w:p>
            <w:pPr>
              <w:jc w:val="right"/>
              <w:ind w:right="365"/>
              <w:spacing w:after="0"/>
              <w:rPr>
                <w:sz w:val="20"/>
                <w:szCs w:val="20"/>
                <w:color w:val="auto"/>
              </w:rPr>
            </w:pPr>
            <w:r>
              <w:rPr>
                <w:rFonts w:ascii="Arial" w:cs="Arial" w:eastAsia="Arial" w:hAnsi="Arial"/>
                <w:sz w:val="11"/>
                <w:szCs w:val="11"/>
                <w:b w:val="1"/>
                <w:bCs w:val="1"/>
                <w:color w:val="auto"/>
              </w:rPr>
              <w:t>2021</w:t>
            </w:r>
          </w:p>
        </w:tc>
        <w:tc>
          <w:tcPr>
            <w:tcW w:w="1060" w:type="dxa"/>
            <w:vAlign w:val="bottom"/>
          </w:tcPr>
          <w:p>
            <w:pPr>
              <w:jc w:val="right"/>
              <w:ind w:right="345"/>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61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7620"/>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sectPr>
      </w:pPr>
    </w:p>
    <w:p>
      <w:pPr>
        <w:spacing w:after="0" w:line="2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Third Party Managed Capital</w:t>
      </w:r>
    </w:p>
    <w:p>
      <w:pPr>
        <w:spacing w:after="0" w:line="21" w:lineRule="exact"/>
        <w:rPr>
          <w:sz w:val="20"/>
          <w:szCs w:val="20"/>
          <w:color w:val="auto"/>
        </w:rPr>
      </w:pPr>
    </w:p>
    <w:tbl>
      <w:tblPr>
        <w:tblLayout w:type="fixed"/>
        <w:tblInd w:w="6" w:type="dxa"/>
        <w:tblCellMar>
          <w:top w:w="0" w:type="dxa"/>
          <w:left w:w="0" w:type="dxa"/>
          <w:bottom w:w="0" w:type="dxa"/>
          <w:right w:w="0" w:type="dxa"/>
        </w:tblCellMar>
      </w:tblP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Institutional Funds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Digital Bridge Partners opportunistic strategy</w:t>
            </w:r>
          </w:p>
        </w:tc>
        <w:tc>
          <w:tcPr>
            <w:tcW w:w="0" w:type="dxa"/>
            <w:vAlign w:val="bottom"/>
          </w:tcPr>
          <w:p>
            <w:pPr>
              <w:spacing w:after="0"/>
              <w:rPr>
                <w:sz w:val="1"/>
                <w:szCs w:val="1"/>
                <w:color w:val="auto"/>
              </w:rPr>
            </w:pPr>
          </w:p>
        </w:tc>
      </w:tr>
      <w:tr>
        <w:trPr>
          <w:trHeight w:val="318"/>
        </w:trPr>
        <w:tc>
          <w:tcPr>
            <w:tcW w:w="13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Liquid securities strategy</w:t>
            </w:r>
          </w:p>
        </w:tc>
        <w:tc>
          <w:tcPr>
            <w:tcW w:w="0" w:type="dxa"/>
            <w:vAlign w:val="bottom"/>
          </w:tcPr>
          <w:p>
            <w:pPr>
              <w:spacing w:after="0"/>
              <w:rPr>
                <w:sz w:val="1"/>
                <w:szCs w:val="1"/>
                <w:color w:val="auto"/>
              </w:rPr>
            </w:pPr>
          </w:p>
        </w:tc>
      </w:tr>
      <w:tr>
        <w:trPr>
          <w:trHeight w:val="133"/>
        </w:trPr>
        <w:tc>
          <w:tcPr>
            <w:tcW w:w="1300" w:type="dxa"/>
            <w:vAlign w:val="bottom"/>
          </w:tcPr>
          <w:p>
            <w:pPr>
              <w:ind w:left="100"/>
              <w:spacing w:after="0" w:line="133" w:lineRule="exact"/>
              <w:rPr>
                <w:sz w:val="20"/>
                <w:szCs w:val="20"/>
                <w:color w:val="auto"/>
              </w:rPr>
            </w:pPr>
            <w:r>
              <w:rPr>
                <w:rFonts w:ascii="Arial" w:cs="Arial" w:eastAsia="Arial" w:hAnsi="Arial"/>
                <w:sz w:val="12"/>
                <w:szCs w:val="12"/>
                <w:color w:val="auto"/>
              </w:rPr>
              <w:t>Other Investment</w:t>
            </w:r>
          </w:p>
        </w:tc>
        <w:tc>
          <w:tcPr>
            <w:tcW w:w="26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Digital co-invest vehicles</w:t>
            </w:r>
          </w:p>
        </w:tc>
        <w:tc>
          <w:tcPr>
            <w:tcW w:w="0" w:type="dxa"/>
            <w:vAlign w:val="bottom"/>
          </w:tcPr>
          <w:p>
            <w:pPr>
              <w:spacing w:after="0"/>
              <w:rPr>
                <w:sz w:val="1"/>
                <w:szCs w:val="1"/>
                <w:color w:val="auto"/>
              </w:rPr>
            </w:pPr>
          </w:p>
        </w:tc>
      </w:tr>
      <w:tr>
        <w:trPr>
          <w:trHeight w:val="149"/>
        </w:trPr>
        <w:tc>
          <w:tcPr>
            <w:tcW w:w="1300" w:type="dxa"/>
            <w:vAlign w:val="bottom"/>
          </w:tcPr>
          <w:p>
            <w:pPr>
              <w:ind w:left="100"/>
              <w:spacing w:after="0"/>
              <w:rPr>
                <w:sz w:val="20"/>
                <w:szCs w:val="20"/>
                <w:color w:val="auto"/>
              </w:rPr>
            </w:pPr>
            <w:r>
              <w:rPr>
                <w:rFonts w:ascii="Arial" w:cs="Arial" w:eastAsia="Arial" w:hAnsi="Arial"/>
                <w:sz w:val="12"/>
                <w:szCs w:val="12"/>
                <w:color w:val="auto"/>
              </w:rPr>
              <w:t>Vehicles</w:t>
            </w:r>
          </w:p>
        </w:tc>
        <w:tc>
          <w:tcPr>
            <w:tcW w:w="2620" w:type="dxa"/>
            <w:vAlign w:val="bottom"/>
            <w:gridSpan w:val="2"/>
            <w:vMerge w:val="restart"/>
          </w:tcPr>
          <w:p>
            <w:pPr>
              <w:ind w:left="20"/>
              <w:spacing w:after="0"/>
              <w:rPr>
                <w:sz w:val="20"/>
                <w:szCs w:val="20"/>
                <w:color w:val="auto"/>
              </w:rPr>
            </w:pPr>
            <w:r>
              <w:rPr>
                <w:rFonts w:ascii="Arial" w:cs="Arial" w:eastAsia="Arial" w:hAnsi="Arial"/>
                <w:sz w:val="12"/>
                <w:szCs w:val="12"/>
                <w:color w:val="auto"/>
              </w:rPr>
              <w:t>Digital real estate and infrastructure held by</w:t>
            </w:r>
          </w:p>
        </w:tc>
        <w:tc>
          <w:tcPr>
            <w:tcW w:w="0" w:type="dxa"/>
            <w:vAlign w:val="bottom"/>
          </w:tcPr>
          <w:p>
            <w:pPr>
              <w:spacing w:after="0"/>
              <w:rPr>
                <w:sz w:val="1"/>
                <w:szCs w:val="1"/>
                <w:color w:val="auto"/>
              </w:rPr>
            </w:pPr>
          </w:p>
        </w:tc>
      </w:tr>
      <w:tr>
        <w:trPr>
          <w:trHeight w:val="38"/>
        </w:trPr>
        <w:tc>
          <w:tcPr>
            <w:tcW w:w="1300" w:type="dxa"/>
            <w:vAlign w:val="bottom"/>
          </w:tcPr>
          <w:p>
            <w:pPr>
              <w:spacing w:after="0"/>
              <w:rPr>
                <w:sz w:val="3"/>
                <w:szCs w:val="3"/>
                <w:color w:val="auto"/>
              </w:rPr>
            </w:pPr>
          </w:p>
        </w:tc>
        <w:tc>
          <w:tcPr>
            <w:tcW w:w="2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tcPr>
          <w:p>
            <w:pPr>
              <w:ind w:left="80"/>
              <w:spacing w:after="0"/>
              <w:rPr>
                <w:sz w:val="20"/>
                <w:szCs w:val="20"/>
                <w:color w:val="auto"/>
              </w:rPr>
            </w:pPr>
            <w:r>
              <w:rPr>
                <w:rFonts w:ascii="Arial" w:cs="Arial" w:eastAsia="Arial" w:hAnsi="Arial"/>
                <w:sz w:val="12"/>
                <w:szCs w:val="12"/>
                <w:color w:val="auto"/>
              </w:rPr>
              <w:t>portfolio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Earns management fees and potential for carried</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r>
      <w:tr>
        <w:trPr>
          <w:trHeight w:val="149"/>
        </w:trPr>
        <w:tc>
          <w:tcPr>
            <w:tcW w:w="3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or incentive fees</w:t>
            </w:r>
          </w:p>
        </w:tc>
        <w:tc>
          <w:tcPr>
            <w:tcW w:w="80" w:type="dxa"/>
            <w:vAlign w:val="bottom"/>
          </w:tcPr>
          <w:p>
            <w:pPr>
              <w:spacing w:after="0"/>
              <w:rPr>
                <w:sz w:val="12"/>
                <w:szCs w:val="12"/>
                <w:color w:val="auto"/>
              </w:rPr>
            </w:pPr>
          </w:p>
        </w:tc>
      </w:tr>
      <w:tr>
        <w:trPr>
          <w:trHeight w:val="221"/>
        </w:trPr>
        <w:tc>
          <w:tcPr>
            <w:tcW w:w="30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bl>
    <w:p>
      <w:pPr>
        <w:ind w:left="20"/>
        <w:spacing w:after="0" w:line="230" w:lineRule="auto"/>
        <w:rPr>
          <w:sz w:val="20"/>
          <w:szCs w:val="20"/>
          <w:color w:val="auto"/>
        </w:rPr>
      </w:pPr>
      <w:r>
        <w:rPr>
          <w:rFonts w:ascii="Arial" w:cs="Arial" w:eastAsia="Arial" w:hAnsi="Arial"/>
          <w:sz w:val="12"/>
          <w:szCs w:val="12"/>
          <w:color w:val="auto"/>
        </w:rPr>
        <w:t>Earns management fees, business service fees from</w:t>
      </w:r>
    </w:p>
    <w:p>
      <w:pPr>
        <w:ind w:left="80"/>
        <w:spacing w:after="0" w:line="204" w:lineRule="auto"/>
        <w:rPr>
          <w:sz w:val="20"/>
          <w:szCs w:val="20"/>
          <w:color w:val="auto"/>
        </w:rPr>
      </w:pPr>
      <w:r>
        <w:rPr>
          <w:rFonts w:ascii="Arial" w:cs="Arial" w:eastAsia="Arial" w:hAnsi="Arial"/>
          <w:sz w:val="12"/>
          <w:szCs w:val="12"/>
          <w:color w:val="auto"/>
        </w:rPr>
        <w:t>portfolio companies, and potential for carried</w:t>
      </w:r>
    </w:p>
    <w:p>
      <w:pPr>
        <w:ind w:left="80"/>
        <w:spacing w:after="0"/>
        <w:rPr>
          <w:sz w:val="20"/>
          <w:szCs w:val="20"/>
          <w:color w:val="auto"/>
        </w:rPr>
      </w:pPr>
      <w:r>
        <w:rPr>
          <w:rFonts w:ascii="Arial" w:cs="Arial" w:eastAsia="Arial" w:hAnsi="Arial"/>
          <w:sz w:val="12"/>
          <w:szCs w:val="12"/>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139700</wp:posOffset>
            </wp:positionV>
            <wp:extent cx="713613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jc w:val="right"/>
              <w:ind w:right="158"/>
              <w:spacing w:after="0"/>
              <w:rPr>
                <w:sz w:val="20"/>
                <w:szCs w:val="20"/>
                <w:color w:val="auto"/>
              </w:rPr>
            </w:pPr>
            <w:r>
              <w:rPr>
                <w:rFonts w:ascii="Arial" w:cs="Arial" w:eastAsia="Arial" w:hAnsi="Arial"/>
                <w:sz w:val="12"/>
                <w:szCs w:val="12"/>
                <w:color w:val="auto"/>
                <w:w w:val="93"/>
              </w:rPr>
              <w:t>16.6</w:t>
            </w: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2"/>
                <w:szCs w:val="12"/>
                <w:color w:val="auto"/>
              </w:rPr>
            </w:pP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2"/>
                <w:szCs w:val="12"/>
                <w:color w:val="auto"/>
              </w:rPr>
            </w:pPr>
          </w:p>
        </w:tc>
        <w:tc>
          <w:tcPr>
            <w:tcW w:w="3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316"/>
        </w:trPr>
        <w:tc>
          <w:tcPr>
            <w:tcW w:w="460" w:type="dxa"/>
            <w:vAlign w:val="bottom"/>
          </w:tcPr>
          <w:p>
            <w:pPr>
              <w:jc w:val="right"/>
              <w:ind w:right="158"/>
              <w:spacing w:after="0"/>
              <w:rPr>
                <w:sz w:val="20"/>
                <w:szCs w:val="20"/>
                <w:color w:val="auto"/>
              </w:rPr>
            </w:pPr>
            <w:r>
              <w:rPr>
                <w:rFonts w:ascii="Arial" w:cs="Arial" w:eastAsia="Arial" w:hAnsi="Arial"/>
                <w:sz w:val="12"/>
                <w:szCs w:val="12"/>
                <w:color w:val="auto"/>
              </w:rPr>
              <w:t>0.8</w:t>
            </w:r>
          </w:p>
        </w:tc>
        <w:tc>
          <w:tcPr>
            <w:tcW w:w="360" w:type="dxa"/>
            <w:vAlign w:val="bottom"/>
          </w:tcPr>
          <w:p>
            <w:pPr>
              <w:spacing w:after="0"/>
              <w:rPr>
                <w:sz w:val="24"/>
                <w:szCs w:val="24"/>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87"/>
        </w:trPr>
        <w:tc>
          <w:tcPr>
            <w:tcW w:w="460" w:type="dxa"/>
            <w:vAlign w:val="bottom"/>
          </w:tcPr>
          <w:p>
            <w:pPr>
              <w:jc w:val="right"/>
              <w:ind w:right="158"/>
              <w:spacing w:after="0"/>
              <w:rPr>
                <w:sz w:val="20"/>
                <w:szCs w:val="20"/>
                <w:color w:val="auto"/>
              </w:rPr>
            </w:pPr>
            <w:r>
              <w:rPr>
                <w:rFonts w:ascii="Arial" w:cs="Arial" w:eastAsia="Arial" w:hAnsi="Arial"/>
                <w:sz w:val="12"/>
                <w:szCs w:val="12"/>
                <w:color w:val="auto"/>
                <w:w w:val="93"/>
              </w:rPr>
              <w:t>19.3</w:t>
            </w:r>
          </w:p>
        </w:tc>
        <w:tc>
          <w:tcPr>
            <w:tcW w:w="360" w:type="dxa"/>
            <w:vAlign w:val="bottom"/>
          </w:tcPr>
          <w:p>
            <w:pPr>
              <w:spacing w:after="0"/>
              <w:rPr>
                <w:sz w:val="16"/>
                <w:szCs w:val="16"/>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87"/>
        </w:trPr>
        <w:tc>
          <w:tcPr>
            <w:tcW w:w="460" w:type="dxa"/>
            <w:vAlign w:val="bottom"/>
          </w:tcPr>
          <w:p>
            <w:pPr>
              <w:jc w:val="right"/>
              <w:ind w:right="158"/>
              <w:spacing w:after="0"/>
              <w:rPr>
                <w:sz w:val="20"/>
                <w:szCs w:val="20"/>
                <w:color w:val="auto"/>
              </w:rPr>
            </w:pPr>
            <w:r>
              <w:rPr>
                <w:rFonts w:ascii="Arial" w:cs="Arial" w:eastAsia="Arial" w:hAnsi="Arial"/>
                <w:sz w:val="12"/>
                <w:szCs w:val="12"/>
                <w:color w:val="auto"/>
              </w:rPr>
              <w:t>6.9</w:t>
            </w:r>
          </w:p>
        </w:tc>
        <w:tc>
          <w:tcPr>
            <w:tcW w:w="360" w:type="dxa"/>
            <w:vAlign w:val="bottom"/>
          </w:tcPr>
          <w:p>
            <w:pPr>
              <w:spacing w:after="0"/>
              <w:rPr>
                <w:sz w:val="16"/>
                <w:szCs w:val="16"/>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56"/>
        </w:trPr>
        <w:tc>
          <w:tcPr>
            <w:tcW w:w="4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w w:val="93"/>
              </w:rPr>
              <w:t>43.6</w:t>
            </w: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b w:val="1"/>
                <w:bCs w:val="1"/>
                <w:color w:val="auto"/>
              </w:rPr>
              <w:t>28.6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b w:val="1"/>
                <w:bCs w:val="1"/>
                <w:color w:val="auto"/>
              </w:rPr>
              <w:t>18.3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b w:val="1"/>
                <w:bCs w:val="1"/>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-816610</wp:posOffset>
            </wp:positionV>
            <wp:extent cx="2769870" cy="319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69870" cy="3194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3926" w:space="0"/>
            <w:col w:w="3120" w:space="560"/>
            <w:col w:w="3640"/>
          </w:cols>
          <w:pgMar w:left="314" w:top="140" w:right="339" w:bottom="1440" w:gutter="0" w:footer="0" w:header="0"/>
          <w:type w:val="continuous"/>
        </w:sectPr>
      </w:pPr>
    </w:p>
    <w:p>
      <w:pPr>
        <w:ind w:left="6"/>
        <w:spacing w:after="0" w:line="232" w:lineRule="auto"/>
        <w:rPr>
          <w:sz w:val="20"/>
          <w:szCs w:val="20"/>
          <w:color w:val="auto"/>
        </w:rPr>
      </w:pPr>
      <w:r>
        <w:rPr>
          <w:rFonts w:ascii="Arial" w:cs="Arial" w:eastAsia="Arial" w:hAnsi="Arial"/>
          <w:sz w:val="12"/>
          <w:szCs w:val="12"/>
          <w:b w:val="1"/>
          <w:bCs w:val="1"/>
          <w:u w:val="single" w:color="auto"/>
          <w:color w:val="auto"/>
        </w:rPr>
        <w:t>Balance Sheet Capital</w:t>
      </w:r>
      <w:r>
        <w:rPr>
          <w:rFonts w:ascii="Arial" w:cs="Arial" w:eastAsia="Arial" w:hAnsi="Arial"/>
          <w:sz w:val="12"/>
          <w:szCs w:val="12"/>
          <w:b w:val="1"/>
          <w:bCs w:val="1"/>
          <w:color w:val="auto"/>
        </w:rPr>
        <w:t xml:space="preserve"> </w:t>
      </w:r>
      <w:r>
        <w:rPr>
          <w:rFonts w:ascii="Arial" w:cs="Arial" w:eastAsia="Arial" w:hAnsi="Arial"/>
          <w:sz w:val="16"/>
          <w:szCs w:val="16"/>
          <w:color w:val="auto"/>
          <w:vertAlign w:val="superscript"/>
        </w:rPr>
        <w:t>(4)</w:t>
      </w:r>
    </w:p>
    <w:p>
      <w:pPr>
        <w:spacing w:after="0" w:line="1" w:lineRule="exact"/>
        <w:rPr>
          <w:sz w:val="20"/>
          <w:szCs w:val="20"/>
          <w:color w:val="auto"/>
        </w:rPr>
      </w:pPr>
    </w:p>
    <w:p>
      <w:pPr>
        <w:ind w:left="106"/>
        <w:spacing w:after="0"/>
        <w:rPr>
          <w:sz w:val="20"/>
          <w:szCs w:val="20"/>
          <w:color w:val="auto"/>
        </w:rPr>
      </w:pPr>
      <w:r>
        <w:rPr>
          <w:rFonts w:ascii="Arial" w:cs="Arial" w:eastAsia="Arial" w:hAnsi="Arial"/>
          <w:sz w:val="12"/>
          <w:szCs w:val="12"/>
          <w:color w:val="auto"/>
        </w:rPr>
        <w:t>Digital Operating</w:t>
      </w:r>
    </w:p>
    <w:p>
      <w:pPr>
        <w:spacing w:after="0" w:line="26" w:lineRule="exact"/>
        <w:rPr>
          <w:sz w:val="20"/>
          <w:szCs w:val="20"/>
          <w:color w:val="auto"/>
        </w:rPr>
      </w:pPr>
    </w:p>
    <w:p>
      <w:pPr>
        <w:ind w:left="106"/>
        <w:spacing w:after="0"/>
        <w:rPr>
          <w:sz w:val="20"/>
          <w:szCs w:val="20"/>
          <w:color w:val="auto"/>
        </w:rPr>
      </w:pPr>
      <w:r>
        <w:rPr>
          <w:rFonts w:ascii="Arial" w:cs="Arial" w:eastAsia="Arial" w:hAnsi="Arial"/>
          <w:sz w:val="12"/>
          <w:szCs w:val="12"/>
          <w:color w:val="auto"/>
        </w:rPr>
        <w:t>Other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right"/>
              <w:ind w:right="58"/>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NA</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NA</w:t>
            </w:r>
          </w:p>
        </w:tc>
      </w:tr>
      <w:tr>
        <w:trPr>
          <w:trHeight w:val="163"/>
        </w:trPr>
        <w:tc>
          <w:tcPr>
            <w:tcW w:w="1000" w:type="dxa"/>
            <w:vAlign w:val="bottom"/>
          </w:tcPr>
          <w:p>
            <w:pPr>
              <w:jc w:val="right"/>
              <w:ind w:right="58"/>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4"/>
                <w:szCs w:val="14"/>
                <w:color w:val="auto"/>
              </w:rPr>
            </w:pP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NA</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NA</w:t>
            </w:r>
          </w:p>
        </w:tc>
      </w:tr>
      <w:tr>
        <w:trPr>
          <w:trHeight w:val="155"/>
        </w:trPr>
        <w:tc>
          <w:tcPr>
            <w:tcW w:w="10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45.3</w:t>
            </w:r>
          </w:p>
        </w:tc>
        <w:tc>
          <w:tcPr>
            <w:tcW w:w="10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30.0</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18.3</w:t>
            </w:r>
          </w:p>
        </w:tc>
        <w:tc>
          <w:tcPr>
            <w:tcW w:w="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12.8</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-348615</wp:posOffset>
            </wp:positionV>
            <wp:extent cx="7136130" cy="104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04140"/>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-140335</wp:posOffset>
            </wp:positionV>
            <wp:extent cx="7136130" cy="126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12636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6246" w:space="720"/>
            <w:col w:w="4280"/>
          </w:cols>
          <w:pgMar w:left="314" w:top="140"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100" w:hanging="206"/>
        <w:spacing w:after="0" w:line="248" w:lineRule="auto"/>
        <w:tabs>
          <w:tab w:leader="none" w:pos="185" w:val="left"/>
        </w:tabs>
        <w:numPr>
          <w:ilvl w:val="0"/>
          <w:numId w:val="42"/>
        </w:numPr>
        <w:rPr>
          <w:rFonts w:ascii="Arial" w:cs="Arial" w:eastAsia="Arial" w:hAnsi="Arial"/>
          <w:sz w:val="8"/>
          <w:szCs w:val="8"/>
          <w:color w:val="auto"/>
        </w:rPr>
      </w:pPr>
      <w:r>
        <w:rPr>
          <w:rFonts w:ascii="Arial" w:cs="Arial" w:eastAsia="Arial" w:hAnsi="Arial"/>
          <w:sz w:val="12"/>
          <w:szCs w:val="12"/>
          <w:color w:val="auto"/>
        </w:rPr>
        <w:t>AUM is composed of (a) third party managed capital, which are assets for which the Company and its affiliates provide investment management services, including assets for which the Company may or may not charge management fees and/or performance allocations; and (b) assets invested using the Company's own balance sheet capital and managed on behalf of the Company's shareholders. Third party AUM is based upon the cost basis of managed investments as reported by each underlying vehicle as of the reporting date and may include uncalled capital commitments. Balance sheet AUM is based upon the undepreciated carrying value of the Company's balance sheet investments as of the reporting date. The Company's calculation of AUM may differ from other asset managers, and as a result, may not be comparable to similar measures presented by other asset managers.</w:t>
      </w:r>
    </w:p>
    <w:p>
      <w:pPr>
        <w:spacing w:after="0" w:line="35" w:lineRule="exact"/>
        <w:rPr>
          <w:rFonts w:ascii="Arial" w:cs="Arial" w:eastAsia="Arial" w:hAnsi="Arial"/>
          <w:sz w:val="8"/>
          <w:szCs w:val="8"/>
          <w:color w:val="auto"/>
        </w:rPr>
      </w:pPr>
    </w:p>
    <w:p>
      <w:pPr>
        <w:ind w:left="206" w:right="140" w:hanging="206"/>
        <w:spacing w:after="0" w:line="253" w:lineRule="auto"/>
        <w:tabs>
          <w:tab w:leader="none" w:pos="185" w:val="left"/>
        </w:tabs>
        <w:numPr>
          <w:ilvl w:val="0"/>
          <w:numId w:val="42"/>
        </w:numPr>
        <w:rPr>
          <w:rFonts w:ascii="Arial" w:cs="Arial" w:eastAsia="Arial" w:hAnsi="Arial"/>
          <w:sz w:val="8"/>
          <w:szCs w:val="8"/>
          <w:color w:val="auto"/>
        </w:rPr>
      </w:pPr>
      <w:r>
        <w:rPr>
          <w:rFonts w:ascii="Arial" w:cs="Arial" w:eastAsia="Arial" w:hAnsi="Arial"/>
          <w:sz w:val="12"/>
          <w:szCs w:val="12"/>
          <w:color w:val="auto"/>
        </w:rPr>
        <w:t>FEEUM is equity for which the Company and its affiliates provide investment management services and derive management fees and/or incentives. FEEUM generally represents the basis used to derive fees, which may be based upon invested equity, stockholders’ equity, or fair value, pursuant to the terms of each underlying investment management agreement. The Company's calculation of FEEUM may differ from other asset managers, and as a result, may not be comparable to similar measures presented by other asset managers.</w:t>
      </w:r>
    </w:p>
    <w:p>
      <w:pPr>
        <w:spacing w:after="0" w:line="31" w:lineRule="exact"/>
        <w:rPr>
          <w:rFonts w:ascii="Arial" w:cs="Arial" w:eastAsia="Arial" w:hAnsi="Arial"/>
          <w:sz w:val="8"/>
          <w:szCs w:val="8"/>
          <w:color w:val="auto"/>
        </w:rPr>
      </w:pPr>
    </w:p>
    <w:p>
      <w:pPr>
        <w:ind w:left="206" w:right="480" w:hanging="206"/>
        <w:spacing w:after="0" w:line="262" w:lineRule="auto"/>
        <w:tabs>
          <w:tab w:leader="none" w:pos="185" w:val="left"/>
        </w:tabs>
        <w:numPr>
          <w:ilvl w:val="0"/>
          <w:numId w:val="42"/>
        </w:numPr>
        <w:rPr>
          <w:rFonts w:ascii="Arial" w:cs="Arial" w:eastAsia="Arial" w:hAnsi="Arial"/>
          <w:sz w:val="8"/>
          <w:szCs w:val="8"/>
          <w:color w:val="auto"/>
        </w:rPr>
      </w:pPr>
      <w:r>
        <w:rPr>
          <w:rFonts w:ascii="Arial" w:cs="Arial" w:eastAsia="Arial" w:hAnsi="Arial"/>
          <w:sz w:val="12"/>
          <w:szCs w:val="12"/>
          <w:color w:val="auto"/>
        </w:rPr>
        <w:t>Our non-digital investment management business was disposed in the fourth quarter of 2021. AUM and FEEUM associated with our non-digital investment management business are no longer presented for the prior year period.</w:t>
      </w:r>
    </w:p>
    <w:p>
      <w:pPr>
        <w:spacing w:after="0" w:line="26" w:lineRule="exact"/>
        <w:rPr>
          <w:rFonts w:ascii="Arial" w:cs="Arial" w:eastAsia="Arial" w:hAnsi="Arial"/>
          <w:sz w:val="8"/>
          <w:szCs w:val="8"/>
          <w:color w:val="auto"/>
        </w:rPr>
      </w:pPr>
    </w:p>
    <w:p>
      <w:pPr>
        <w:ind w:left="206" w:right="280" w:hanging="206"/>
        <w:spacing w:after="0" w:line="253" w:lineRule="auto"/>
        <w:tabs>
          <w:tab w:leader="none" w:pos="185" w:val="left"/>
        </w:tabs>
        <w:numPr>
          <w:ilvl w:val="0"/>
          <w:numId w:val="42"/>
        </w:numPr>
        <w:rPr>
          <w:rFonts w:ascii="Arial" w:cs="Arial" w:eastAsia="Arial" w:hAnsi="Arial"/>
          <w:sz w:val="8"/>
          <w:szCs w:val="8"/>
          <w:color w:val="auto"/>
        </w:rPr>
      </w:pPr>
      <w:r>
        <w:rPr>
          <w:rFonts w:ascii="Arial" w:cs="Arial" w:eastAsia="Arial" w:hAnsi="Arial"/>
          <w:sz w:val="12"/>
          <w:szCs w:val="12"/>
          <w:color w:val="auto"/>
        </w:rPr>
        <w:t>Represents the Company's investment interests on its balance sheet, excluding the portion held by noncontrolling interests in investment entities, that is managed by the Company on behalf of its stockholders, therefore is not fee-bearing. Balance sheet AUM reflects generally the OP's share of net book value of balance sheet assets, determined based upon undepreciated carrying value of assets, and where applicable, after impairment charges that create a new basis for the affected assets, in all instances, net of liabilities.</w:t>
      </w:r>
    </w:p>
    <w:p>
      <w:pPr>
        <w:spacing w:after="0" w:line="120" w:lineRule="exact"/>
        <w:rPr>
          <w:rFonts w:ascii="Arial" w:cs="Arial" w:eastAsia="Arial" w:hAnsi="Arial"/>
          <w:sz w:val="8"/>
          <w:szCs w:val="8"/>
          <w:color w:val="auto"/>
        </w:rPr>
      </w:pPr>
    </w:p>
    <w:p>
      <w:pPr>
        <w:ind w:left="486" w:right="380" w:hanging="136"/>
        <w:spacing w:after="0" w:line="216" w:lineRule="auto"/>
        <w:tabs>
          <w:tab w:leader="none" w:pos="475" w:val="left"/>
        </w:tabs>
        <w:numPr>
          <w:ilvl w:val="1"/>
          <w:numId w:val="42"/>
        </w:numPr>
        <w:rPr>
          <w:rFonts w:ascii="Arial" w:cs="Arial" w:eastAsia="Arial" w:hAnsi="Arial"/>
          <w:sz w:val="20"/>
          <w:szCs w:val="20"/>
          <w:i w:val="1"/>
          <w:iCs w:val="1"/>
          <w:color w:val="auto"/>
          <w:vertAlign w:val="superscript"/>
        </w:rPr>
      </w:pPr>
      <w:r>
        <w:rPr>
          <w:rFonts w:ascii="Arial" w:cs="Arial" w:eastAsia="Arial" w:hAnsi="Arial"/>
          <w:sz w:val="16"/>
          <w:szCs w:val="16"/>
          <w:color w:val="auto"/>
        </w:rPr>
        <w:t>In 2021, we have made significant progress in the digital rotation of our investment management business. At December 31, 2021, our third party AUM stood at $43.6 billion.</w:t>
      </w: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type w:val="continuous"/>
        </w:sectPr>
      </w:pPr>
    </w:p>
    <w:bookmarkStart w:id="50" w:name="page51"/>
    <w:bookmarkEnd w:id="50"/>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6" w:right="60" w:hanging="136"/>
        <w:spacing w:after="0" w:line="229" w:lineRule="auto"/>
        <w:tabs>
          <w:tab w:leader="none" w:pos="475" w:val="left"/>
        </w:tabs>
        <w:numPr>
          <w:ilvl w:val="0"/>
          <w:numId w:val="43"/>
        </w:numPr>
        <w:rPr>
          <w:rFonts w:ascii="Arial" w:cs="Arial" w:eastAsia="Arial" w:hAnsi="Arial"/>
          <w:sz w:val="20"/>
          <w:szCs w:val="20"/>
          <w:b w:val="1"/>
          <w:bCs w:val="1"/>
          <w:i w:val="1"/>
          <w:iCs w:val="1"/>
          <w:color w:val="auto"/>
          <w:vertAlign w:val="superscript"/>
        </w:rPr>
      </w:pPr>
      <w:r>
        <w:rPr>
          <w:rFonts w:ascii="Arial" w:cs="Arial" w:eastAsia="Arial" w:hAnsi="Arial"/>
          <w:sz w:val="16"/>
          <w:szCs w:val="16"/>
          <w:color w:val="auto"/>
        </w:rPr>
        <w:t>FEEUM grew 43% or $5.5 billion to $18.3 billion at December 31, 2021, attributed to the successful fundraising for DBP II and additional capital from co-investment vehicles. These increases were partially offset by a change in the fee base for DBP I from committed to contributed capital following the closing of DBP II. DBP II had its final closing in December 2021 with total commitments of $8.3 billion, having raised $4.2 billion in 2021. The successful fundraising for DBP II significantly exceeded our initial target and stands at twice the size of DBP I.</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A comparative discussion of our consolidated results of operations for 2021 and 2020 is presented below.</w:t>
      </w:r>
    </w:p>
    <w:p>
      <w:pPr>
        <w:spacing w:after="0" w:line="97" w:lineRule="exact"/>
        <w:rPr>
          <w:sz w:val="20"/>
          <w:szCs w:val="20"/>
          <w:color w:val="auto"/>
        </w:rPr>
      </w:pPr>
    </w:p>
    <w:p>
      <w:pPr>
        <w:ind w:left="6" w:right="60" w:firstLine="351"/>
        <w:spacing w:after="0" w:line="244" w:lineRule="auto"/>
        <w:rPr>
          <w:sz w:val="20"/>
          <w:szCs w:val="20"/>
          <w:color w:val="auto"/>
        </w:rPr>
      </w:pPr>
      <w:r>
        <w:rPr>
          <w:rFonts w:ascii="Arial" w:cs="Arial" w:eastAsia="Arial" w:hAnsi="Arial"/>
          <w:sz w:val="16"/>
          <w:szCs w:val="16"/>
          <w:color w:val="auto"/>
        </w:rPr>
        <w:t>Refer to Item 7. "Management's Discussion and Analysis of Financial Condition and Results of Operations" in our 2020 Annual Report on Form 10-K for comparative discussion of our consolidated results of operations for 2020 and 2019. In 2021, our Wellness Infrastructure segment and substantially all of our Other segment qualified as discontinued operations. The operating results of those segments for all periods presented have been recast as income from discontinued operations on the consolidated statements of operations. Additionally, beginning with the third quarter of 2021, only Digital Investment Management and Digital Operating represent reportable segments, while our remaining investment activities and corporate level activities are combined and presented as Corporate and Other. The operating results by segment have been recast for all prior periods presented. The discussion of our consolidated results of operations for 2020 and 2019 in our 2020 Form 10-K should be read in conjunction with Item 15. "Exhibits and Financial Statement Schedules" in this Annual Report, specifically the consolidated statement of operations, Note 12. Discontinued Operations and Note 20. Segment Reporting.</w:t>
      </w:r>
    </w:p>
    <w:p>
      <w:pPr>
        <w:spacing w:after="0" w:line="94"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summarizes our consolidated results from continuing operations by reportable segments.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1"/>
                <w:szCs w:val="11"/>
                <w:b w:val="1"/>
                <w:bCs w:val="1"/>
                <w:color w:val="auto"/>
              </w:rPr>
              <w:t>Year Ended December 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17"/>
        </w:trPr>
        <w:tc>
          <w:tcPr>
            <w:tcW w:w="71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491"/>
              <w:spacing w:after="0" w:line="117"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right"/>
              <w:ind w:right="351"/>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2"/>
        </w:trPr>
        <w:tc>
          <w:tcPr>
            <w:tcW w:w="7120" w:type="dxa"/>
            <w:vAlign w:val="bottom"/>
            <w:gridSpan w:val="3"/>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Continuing Operations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94"/>
        </w:trPr>
        <w:tc>
          <w:tcPr>
            <w:tcW w:w="7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600" w:type="dxa"/>
            <w:vAlign w:val="bottom"/>
            <w:tcBorders>
              <w:top w:val="single" w:sz="8" w:color="CCEEFF"/>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10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10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980" w:type="dxa"/>
            <w:vAlign w:val="bottom"/>
            <w:tcBorders>
              <w:top w:val="single" w:sz="8" w:color="CCEEFF"/>
            </w:tcBorders>
          </w:tcPr>
          <w:p>
            <w:pPr>
              <w:spacing w:after="0"/>
              <w:rPr>
                <w:sz w:val="8"/>
                <w:szCs w:val="8"/>
                <w:color w:val="auto"/>
              </w:rPr>
            </w:pPr>
          </w:p>
        </w:tc>
      </w:tr>
      <w:tr>
        <w:trPr>
          <w:trHeight w:val="187"/>
        </w:trPr>
        <w:tc>
          <w:tcPr>
            <w:tcW w:w="7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5"/>
        </w:trPr>
        <w:tc>
          <w:tcPr>
            <w:tcW w:w="7120" w:type="dxa"/>
            <w:vAlign w:val="bottom"/>
            <w:gridSpan w:val="3"/>
          </w:tcPr>
          <w:p>
            <w:pPr>
              <w:ind w:left="140"/>
              <w:spacing w:after="0"/>
              <w:rPr>
                <w:sz w:val="20"/>
                <w:szCs w:val="20"/>
                <w:color w:val="auto"/>
              </w:rPr>
            </w:pPr>
            <w:r>
              <w:rPr>
                <w:rFonts w:ascii="Arial" w:cs="Arial" w:eastAsia="Arial" w:hAnsi="Arial"/>
                <w:sz w:val="14"/>
                <w:szCs w:val="14"/>
                <w:color w:val="auto"/>
              </w:rPr>
              <w:t>Digital Investment Management</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191,682</w:t>
            </w:r>
          </w:p>
        </w:tc>
        <w:tc>
          <w:tcPr>
            <w:tcW w:w="8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85,782</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105,900</w:t>
            </w:r>
          </w:p>
        </w:tc>
      </w:tr>
      <w:tr>
        <w:trPr>
          <w:trHeight w:val="189"/>
        </w:trPr>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Digital Operating</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763,199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449,916</w:t>
            </w:r>
          </w:p>
        </w:tc>
      </w:tr>
      <w:tr>
        <w:trPr>
          <w:trHeight w:val="187"/>
        </w:trPr>
        <w:tc>
          <w:tcPr>
            <w:tcW w:w="7120" w:type="dxa"/>
            <w:vAlign w:val="bottom"/>
            <w:tcBorders>
              <w:bottom w:val="single" w:sz="8" w:color="CCEEFF"/>
            </w:tcBorders>
            <w:gridSpan w:val="3"/>
          </w:tcPr>
          <w:p>
            <w:pPr>
              <w:ind w:left="140"/>
              <w:spacing w:after="0" w:line="187"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10,918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(6,447)</w:t>
            </w:r>
          </w:p>
        </w:tc>
      </w:tr>
      <w:tr>
        <w:trPr>
          <w:trHeight w:val="180"/>
        </w:trPr>
        <w:tc>
          <w:tcPr>
            <w:tcW w:w="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12"/>
              <w:spacing w:after="0" w:line="155" w:lineRule="exact"/>
              <w:rPr>
                <w:sz w:val="20"/>
                <w:szCs w:val="20"/>
                <w:color w:val="auto"/>
              </w:rPr>
            </w:pPr>
            <w:r>
              <w:rPr>
                <w:rFonts w:ascii="Arial" w:cs="Arial" w:eastAsia="Arial" w:hAnsi="Arial"/>
                <w:sz w:val="14"/>
                <w:szCs w:val="14"/>
                <w:color w:val="auto"/>
              </w:rPr>
              <w:t>965,799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0"/>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416,430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549,369</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30"/>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7"/>
        </w:trPr>
        <w:tc>
          <w:tcPr>
            <w:tcW w:w="7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Income (loss) from continuing operations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5"/>
        </w:trPr>
        <w:tc>
          <w:tcPr>
            <w:tcW w:w="7120" w:type="dxa"/>
            <w:vAlign w:val="bottom"/>
            <w:gridSpan w:val="3"/>
          </w:tcPr>
          <w:p>
            <w:pPr>
              <w:ind w:left="140"/>
              <w:spacing w:after="0"/>
              <w:rPr>
                <w:sz w:val="20"/>
                <w:szCs w:val="20"/>
                <w:color w:val="auto"/>
              </w:rPr>
            </w:pPr>
            <w:r>
              <w:rPr>
                <w:rFonts w:ascii="Arial" w:cs="Arial" w:eastAsia="Arial" w:hAnsi="Arial"/>
                <w:sz w:val="14"/>
                <w:szCs w:val="14"/>
                <w:color w:val="auto"/>
              </w:rPr>
              <w:t>Digital Investment Management</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90,915</w:t>
            </w:r>
          </w:p>
        </w:tc>
        <w:tc>
          <w:tcPr>
            <w:tcW w:w="8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11,155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79,760</w:t>
            </w:r>
          </w:p>
        </w:tc>
      </w:tr>
      <w:tr>
        <w:trPr>
          <w:trHeight w:val="189"/>
        </w:trPr>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Digital Operating</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(230,841)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(98,778)</w:t>
            </w:r>
          </w:p>
        </w:tc>
      </w:tr>
      <w:tr>
        <w:trPr>
          <w:trHeight w:val="185"/>
        </w:trPr>
        <w:tc>
          <w:tcPr>
            <w:tcW w:w="7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Corporate and 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(76,897)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(470,180)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393,283</w:t>
            </w:r>
          </w:p>
        </w:tc>
      </w:tr>
      <w:tr>
        <w:trPr>
          <w:trHeight w:val="206"/>
        </w:trPr>
        <w:tc>
          <w:tcPr>
            <w:tcW w:w="7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(216,823)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(591,088)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374,265</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30"/>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7"/>
        </w:trPr>
        <w:tc>
          <w:tcPr>
            <w:tcW w:w="7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Net income (loss) from continuing operations attributable to DigitalBridge Group, Inc.</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5"/>
        </w:trPr>
        <w:tc>
          <w:tcPr>
            <w:tcW w:w="7120" w:type="dxa"/>
            <w:vAlign w:val="bottom"/>
            <w:gridSpan w:val="3"/>
          </w:tcPr>
          <w:p>
            <w:pPr>
              <w:ind w:left="140"/>
              <w:spacing w:after="0"/>
              <w:rPr>
                <w:sz w:val="20"/>
                <w:szCs w:val="20"/>
                <w:color w:val="auto"/>
              </w:rPr>
            </w:pPr>
            <w:r>
              <w:rPr>
                <w:rFonts w:ascii="Arial" w:cs="Arial" w:eastAsia="Arial" w:hAnsi="Arial"/>
                <w:sz w:val="14"/>
                <w:szCs w:val="14"/>
                <w:color w:val="auto"/>
              </w:rPr>
              <w:t>Digital Investment Management</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51,531</w:t>
            </w:r>
          </w:p>
        </w:tc>
        <w:tc>
          <w:tcPr>
            <w:tcW w:w="8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10,423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41,108</w:t>
            </w:r>
          </w:p>
        </w:tc>
      </w:tr>
      <w:tr>
        <w:trPr>
          <w:trHeight w:val="189"/>
        </w:trPr>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Digital Operating</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(15,761)</w:t>
            </w:r>
          </w:p>
        </w:tc>
      </w:tr>
      <w:tr>
        <w:trPr>
          <w:trHeight w:val="185"/>
        </w:trPr>
        <w:tc>
          <w:tcPr>
            <w:tcW w:w="7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Corporate and 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(87,506)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(425,268)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337,762</w:t>
            </w:r>
          </w:p>
        </w:tc>
      </w:tr>
      <w:tr>
        <w:trPr>
          <w:trHeight w:val="206"/>
        </w:trPr>
        <w:tc>
          <w:tcPr>
            <w:tcW w:w="7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(72,639)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(435,748)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363,109</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186" w:hanging="186"/>
        <w:spacing w:after="0"/>
        <w:tabs>
          <w:tab w:leader="none" w:pos="186"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Includes elimination of fee income earned by Digital Investment Management from managed investment vehicles consolidated within Digital Operating and Corporate and Other.</w:t>
      </w:r>
    </w:p>
    <w:p>
      <w:pPr>
        <w:spacing w:after="0" w:line="156"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Revenues</w:t>
      </w:r>
    </w:p>
    <w:p>
      <w:pPr>
        <w:spacing w:after="0" w:line="68"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Total revenues increased $549.4 million or 132%.</w:t>
      </w:r>
    </w:p>
    <w:p>
      <w:pPr>
        <w:spacing w:after="0" w:line="34" w:lineRule="exact"/>
        <w:rPr>
          <w:sz w:val="20"/>
          <w:szCs w:val="20"/>
          <w:color w:val="auto"/>
        </w:rPr>
      </w:pPr>
    </w:p>
    <w:p>
      <w:pPr>
        <w:ind w:left="566" w:right="20" w:hanging="145"/>
        <w:spacing w:after="0" w:line="231" w:lineRule="auto"/>
        <w:tabs>
          <w:tab w:leader="none" w:pos="555" w:val="left"/>
        </w:tabs>
        <w:numPr>
          <w:ilvl w:val="0"/>
          <w:numId w:val="45"/>
        </w:numPr>
        <w:rPr>
          <w:rFonts w:ascii="Arial" w:cs="Arial" w:eastAsia="Arial" w:hAnsi="Arial"/>
          <w:sz w:val="20"/>
          <w:szCs w:val="20"/>
          <w:b w:val="1"/>
          <w:bCs w:val="1"/>
          <w:i w:val="1"/>
          <w:iCs w:val="1"/>
          <w:color w:val="auto"/>
          <w:vertAlign w:val="superscript"/>
        </w:rPr>
      </w:pPr>
      <w:r>
        <w:rPr>
          <w:rFonts w:ascii="Arial" w:cs="Arial" w:eastAsia="Arial" w:hAnsi="Arial"/>
          <w:sz w:val="16"/>
          <w:szCs w:val="16"/>
          <w:i w:val="1"/>
          <w:iCs w:val="1"/>
          <w:color w:val="auto"/>
        </w:rPr>
        <w:t>Digital Investment Management—</w:t>
      </w:r>
      <w:r>
        <w:rPr>
          <w:rFonts w:ascii="Arial" w:cs="Arial" w:eastAsia="Arial" w:hAnsi="Arial"/>
          <w:sz w:val="16"/>
          <w:szCs w:val="16"/>
          <w:color w:val="auto"/>
        </w:rPr>
        <w:t>Revenues from our investment management business grew 123% to $191.7 million as a result of significant growth in our</w:t>
      </w:r>
      <w:r>
        <w:rPr>
          <w:rFonts w:ascii="Arial" w:cs="Arial" w:eastAsia="Arial" w:hAnsi="Arial"/>
          <w:sz w:val="16"/>
          <w:szCs w:val="16"/>
          <w:i w:val="1"/>
          <w:iCs w:val="1"/>
          <w:color w:val="auto"/>
        </w:rPr>
        <w:t xml:space="preserve"> </w:t>
      </w:r>
      <w:r>
        <w:rPr>
          <w:rFonts w:ascii="Arial" w:cs="Arial" w:eastAsia="Arial" w:hAnsi="Arial"/>
          <w:sz w:val="16"/>
          <w:szCs w:val="16"/>
          <w:color w:val="auto"/>
        </w:rPr>
        <w:t>FEEUM from $12.8 billion at December 31, 2020 to $18.3 billion at December 31, 2021 following the successful fundraising for DBP II and co-invest vehicles. DBP II had its final closing in December 2021 at $8.3 billion of total commitments, with $4.2 billion raised in 2021.</w:t>
      </w:r>
    </w:p>
    <w:p>
      <w:pPr>
        <w:spacing w:after="0" w:line="32" w:lineRule="exact"/>
        <w:rPr>
          <w:rFonts w:ascii="Arial" w:cs="Arial" w:eastAsia="Arial" w:hAnsi="Arial"/>
          <w:sz w:val="20"/>
          <w:szCs w:val="20"/>
          <w:b w:val="1"/>
          <w:bCs w:val="1"/>
          <w:i w:val="1"/>
          <w:iCs w:val="1"/>
          <w:color w:val="auto"/>
          <w:vertAlign w:val="superscript"/>
        </w:rPr>
      </w:pPr>
    </w:p>
    <w:p>
      <w:pPr>
        <w:jc w:val="both"/>
        <w:ind w:left="566" w:right="60" w:hanging="145"/>
        <w:spacing w:after="0" w:line="256" w:lineRule="auto"/>
        <w:tabs>
          <w:tab w:leader="none" w:pos="560" w:val="left"/>
        </w:tabs>
        <w:numPr>
          <w:ilvl w:val="0"/>
          <w:numId w:val="45"/>
        </w:numPr>
        <w:rPr>
          <w:rFonts w:ascii="Arial" w:cs="Arial" w:eastAsia="Arial" w:hAnsi="Arial"/>
          <w:sz w:val="8"/>
          <w:szCs w:val="8"/>
          <w:b w:val="1"/>
          <w:bCs w:val="1"/>
          <w:i w:val="1"/>
          <w:iCs w:val="1"/>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2021 includes a full fiscal year of revenues from zColo's 39 colocation data centers (held through our subsidiary, DataBank, 20% DBRG</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during 2021) and Vantage SDC's 12 hyperscale data centers (13% DBRG ownership), acquired in December 2020 and July 2020, respectively. 2021 also included</w:t>
      </w: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80"/>
        <w:spacing w:after="0" w:line="248" w:lineRule="auto"/>
        <w:rPr>
          <w:sz w:val="20"/>
          <w:szCs w:val="20"/>
          <w:color w:val="auto"/>
        </w:rPr>
      </w:pPr>
      <w:r>
        <w:rPr>
          <w:rFonts w:ascii="Arial" w:cs="Arial" w:eastAsia="Arial" w:hAnsi="Arial"/>
          <w:sz w:val="16"/>
          <w:szCs w:val="16"/>
          <w:color w:val="auto"/>
        </w:rPr>
        <w:t>additional acquisitions with another five zColo colocation data centers, and in the Vantage SDC portfolio, an add-on acquisition plus additional lease-up of expanded capacity and existing inventory.</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Income (loss) from continuing operations</w:t>
      </w:r>
    </w:p>
    <w:p>
      <w:pPr>
        <w:spacing w:after="0" w:line="52" w:lineRule="exact"/>
        <w:rPr>
          <w:sz w:val="20"/>
          <w:szCs w:val="20"/>
          <w:color w:val="auto"/>
        </w:rPr>
      </w:pPr>
    </w:p>
    <w:p>
      <w:pPr>
        <w:ind w:left="560" w:right="120" w:hanging="145"/>
        <w:spacing w:after="0" w:line="268" w:lineRule="auto"/>
        <w:tabs>
          <w:tab w:leader="none" w:pos="556" w:val="left"/>
        </w:tabs>
        <w:numPr>
          <w:ilvl w:val="0"/>
          <w:numId w:val="46"/>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Digital Investment Management—</w:t>
      </w:r>
      <w:r>
        <w:rPr>
          <w:rFonts w:ascii="Arial" w:cs="Arial" w:eastAsia="Arial" w:hAnsi="Arial"/>
          <w:sz w:val="16"/>
          <w:szCs w:val="16"/>
          <w:color w:val="auto"/>
        </w:rPr>
        <w:t>In addition to higher fee income, 2021 also included significant unrealized carried interest income, which accrues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net of allocations to certain employees.</w:t>
      </w:r>
    </w:p>
    <w:p>
      <w:pPr>
        <w:spacing w:after="0" w:line="10" w:lineRule="exact"/>
        <w:rPr>
          <w:rFonts w:ascii="Arial" w:cs="Arial" w:eastAsia="Arial" w:hAnsi="Arial"/>
          <w:sz w:val="16"/>
          <w:szCs w:val="16"/>
          <w:b w:val="1"/>
          <w:bCs w:val="1"/>
          <w:i w:val="1"/>
          <w:iCs w:val="1"/>
          <w:color w:val="auto"/>
        </w:rPr>
      </w:pPr>
    </w:p>
    <w:p>
      <w:pPr>
        <w:ind w:left="560" w:hanging="145"/>
        <w:spacing w:after="0" w:line="250" w:lineRule="auto"/>
        <w:tabs>
          <w:tab w:leader="none" w:pos="556"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Our Digital Operating segment generally records a net loss, reflecting the effects of real estate depreciation and amortization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intangibles. In 2021, net loss in Digital Operating was reduced by a $66.8 million net deferred tax benefit at our DataBank subsidiary, driven by the write-off of deferred tax liabilities as DataBank completed its restructuring to qualify as a REIT in the second quarter and expects to elect REIT status for the 2021 taxable year. We present our supplemental operating results measure of earnings before interest, tax, depreciation and amortization for real estate ("EBITDA</w:t>
      </w:r>
      <w:r>
        <w:rPr>
          <w:rFonts w:ascii="Arial" w:cs="Arial" w:eastAsia="Arial" w:hAnsi="Arial"/>
          <w:sz w:val="16"/>
          <w:szCs w:val="16"/>
          <w:i w:val="1"/>
          <w:iCs w:val="1"/>
          <w:color w:val="auto"/>
        </w:rPr>
        <w:t>re</w:t>
      </w:r>
      <w:r>
        <w:rPr>
          <w:rFonts w:ascii="Arial" w:cs="Arial" w:eastAsia="Arial" w:hAnsi="Arial"/>
          <w:sz w:val="16"/>
          <w:szCs w:val="16"/>
          <w:color w:val="auto"/>
        </w:rPr>
        <w:t>") for Digital Operating under "</w:t>
      </w:r>
      <w:r>
        <w:rPr>
          <w:rFonts w:ascii="Arial" w:cs="Arial" w:eastAsia="Arial" w:hAnsi="Arial"/>
          <w:sz w:val="16"/>
          <w:szCs w:val="16"/>
          <w:i w:val="1"/>
          <w:iCs w:val="1"/>
          <w:color w:val="auto"/>
        </w:rPr>
        <w:t>—Non-GAAP Measures."</w:t>
      </w:r>
    </w:p>
    <w:p>
      <w:pPr>
        <w:spacing w:after="0" w:line="24" w:lineRule="exact"/>
        <w:rPr>
          <w:rFonts w:ascii="Arial" w:cs="Arial" w:eastAsia="Arial" w:hAnsi="Arial"/>
          <w:sz w:val="16"/>
          <w:szCs w:val="16"/>
          <w:i w:val="1"/>
          <w:iCs w:val="1"/>
          <w:color w:val="auto"/>
        </w:rPr>
      </w:pPr>
    </w:p>
    <w:p>
      <w:pPr>
        <w:ind w:left="560" w:right="160" w:hanging="145"/>
        <w:spacing w:after="0" w:line="256" w:lineRule="auto"/>
        <w:tabs>
          <w:tab w:leader="none" w:pos="556"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Corporate and Other—</w:t>
      </w:r>
      <w:r>
        <w:rPr>
          <w:rFonts w:ascii="Arial" w:cs="Arial" w:eastAsia="Arial" w:hAnsi="Arial"/>
          <w:sz w:val="16"/>
          <w:szCs w:val="16"/>
          <w:color w:val="auto"/>
        </w:rPr>
        <w:t>Net losses generally reflect corporate level costs that have not been allocated to our reportable segments. The significantly larger</w:t>
      </w:r>
      <w:r>
        <w:rPr>
          <w:rFonts w:ascii="Arial" w:cs="Arial" w:eastAsia="Arial" w:hAnsi="Arial"/>
          <w:sz w:val="16"/>
          <w:szCs w:val="16"/>
          <w:i w:val="1"/>
          <w:iCs w:val="1"/>
          <w:color w:val="auto"/>
        </w:rPr>
        <w:t xml:space="preserve"> </w:t>
      </w:r>
      <w:r>
        <w:rPr>
          <w:rFonts w:ascii="Arial" w:cs="Arial" w:eastAsia="Arial" w:hAnsi="Arial"/>
          <w:sz w:val="16"/>
          <w:szCs w:val="16"/>
          <w:color w:val="auto"/>
        </w:rPr>
        <w:t>net loss in 2020 was driven by $298.2 million of losses in connection with our equity investment in BRSP, including a $254.5 million impairment. BRSP represents our largest remaining non-digital investment.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Key components of revenue and income (loss) from continuing operations are discussed in more detail below.</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 Ended December 31, 2021 to Year Ended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17"/>
        </w:trPr>
        <w:tc>
          <w:tcPr>
            <w:tcW w:w="70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020" w:type="dxa"/>
            <w:vAlign w:val="bottom"/>
          </w:tcPr>
          <w:p>
            <w:pPr>
              <w:jc w:val="right"/>
              <w:ind w:right="491"/>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0"/>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0"/>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2"/>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Property operating income</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762,750</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312,928</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449,822</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7,206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Fee income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180,826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83,355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97,471</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income</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12,941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76"/>
        </w:trPr>
        <w:tc>
          <w:tcPr>
            <w:tcW w:w="7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965,799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416,430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549,369</w:t>
            </w:r>
          </w:p>
        </w:tc>
      </w:tr>
      <w:tr>
        <w:trPr>
          <w:trHeight w:val="169"/>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Property operating expense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316,178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119,834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196,344</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120,829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66,120</w:t>
            </w: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Investment expense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28,257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13,551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14,706</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Transaction-related costs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5,282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539,695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241,020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298,675</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Impairment loss</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25,079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(25,079)</w:t>
            </w: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Compensation expense, including carried interest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301,875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178,058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123,817</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Administrative expenses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78,766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30,724</w:t>
            </w: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Settlement loss</w:t>
            </w: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5,090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(5,090)</w:t>
            </w:r>
          </w:p>
        </w:tc>
      </w:tr>
      <w:tr>
        <w:trPr>
          <w:trHeight w:val="181"/>
        </w:trPr>
        <w:tc>
          <w:tcPr>
            <w:tcW w:w="70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1,488,225</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787,509</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700,716</w:t>
            </w: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Other income (loss)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8"/>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loss, net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(14,919)</w:t>
            </w:r>
          </w:p>
        </w:tc>
      </w:tr>
      <w:tr>
        <w:trPr>
          <w:trHeight w:val="185"/>
        </w:trPr>
        <w:tc>
          <w:tcPr>
            <w:tcW w:w="7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Equity method earnings (losses), including carried interest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(260,579)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487,056</w:t>
            </w:r>
          </w:p>
        </w:tc>
      </w:tr>
      <w:tr>
        <w:trPr>
          <w:trHeight w:val="181"/>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(638,151)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320,790</w:t>
            </w:r>
          </w:p>
        </w:tc>
      </w:tr>
      <w:tr>
        <w:trPr>
          <w:trHeight w:val="185"/>
        </w:trPr>
        <w:tc>
          <w:tcPr>
            <w:tcW w:w="7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Income tax benefit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47,063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53,475</w:t>
            </w:r>
          </w:p>
        </w:tc>
      </w:tr>
      <w:tr>
        <w:trPr>
          <w:trHeight w:val="181"/>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continuing operations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(591,088)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374,265</w:t>
            </w:r>
          </w:p>
        </w:tc>
      </w:tr>
      <w:tr>
        <w:trPr>
          <w:trHeight w:val="185"/>
        </w:trPr>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Loss from discontinued operations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(3,199,322)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2,599,234</w:t>
            </w:r>
          </w:p>
        </w:tc>
      </w:tr>
      <w:tr>
        <w:trPr>
          <w:trHeight w:val="181"/>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(816,911)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(3,790,410)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2,973,499</w:t>
            </w:r>
          </w:p>
        </w:tc>
      </w:tr>
      <w:tr>
        <w:trPr>
          <w:trHeight w:val="185"/>
        </w:trPr>
        <w:tc>
          <w:tcPr>
            <w:tcW w:w="7040" w:type="dxa"/>
            <w:vAlign w:val="bottom"/>
            <w:gridSpan w:val="2"/>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Redeemable noncontrolling interests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34,061</w:t>
            </w:r>
          </w:p>
        </w:tc>
      </w:tr>
      <w:tr>
        <w:trPr>
          <w:trHeight w:val="185"/>
        </w:trPr>
        <w:tc>
          <w:tcPr>
            <w:tcW w:w="7040" w:type="dxa"/>
            <w:vAlign w:val="bottom"/>
            <w:gridSpan w:val="2"/>
          </w:tcPr>
          <w:p>
            <w:pPr>
              <w:ind w:left="100"/>
              <w:spacing w:after="0"/>
              <w:rPr>
                <w:sz w:val="20"/>
                <w:szCs w:val="20"/>
                <w:color w:val="auto"/>
              </w:rPr>
            </w:pPr>
            <w:r>
              <w:rPr>
                <w:rFonts w:ascii="Arial" w:cs="Arial" w:eastAsia="Arial" w:hAnsi="Arial"/>
                <w:sz w:val="14"/>
                <w:szCs w:val="14"/>
                <w:color w:val="auto"/>
              </w:rPr>
              <w:t>Investment entities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(500,980)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(812,547)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311,567</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Operating Company</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(40,511)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(302,720)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262,209</w:t>
            </w:r>
          </w:p>
        </w:tc>
      </w:tr>
      <w:tr>
        <w:trPr>
          <w:trHeight w:val="176"/>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Net loss attributable to DigitalBridge Group, Inc.</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(310,097)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(2,675,759)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2,365,662</w:t>
            </w:r>
          </w:p>
        </w:tc>
      </w:tr>
      <w:tr>
        <w:trPr>
          <w:trHeight w:val="189"/>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Preferred stock redemption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4,992</w:t>
            </w:r>
          </w:p>
        </w:tc>
      </w:tr>
      <w:tr>
        <w:trPr>
          <w:trHeight w:val="185"/>
        </w:trPr>
        <w:tc>
          <w:tcPr>
            <w:tcW w:w="7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Preferred stock dividends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70,627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75,023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(4,396)</w:t>
            </w:r>
          </w:p>
        </w:tc>
      </w:tr>
      <w:tr>
        <w:trPr>
          <w:trHeight w:val="206"/>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common stockholders</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(385,716)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(2,750,782)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2,365,066</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Property Operating Income and Expense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17"/>
        </w:trPr>
        <w:tc>
          <w:tcPr>
            <w:tcW w:w="71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980" w:type="dxa"/>
            <w:vAlign w:val="bottom"/>
          </w:tcPr>
          <w:p>
            <w:pPr>
              <w:jc w:val="right"/>
              <w:ind w:right="455"/>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3"/>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3"/>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2"/>
        </w:trPr>
        <w:tc>
          <w:tcPr>
            <w:tcW w:w="714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Property operating income</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5"/>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Lease income</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701,706</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265,391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436,315</w:t>
            </w:r>
          </w:p>
        </w:tc>
      </w:tr>
      <w:tr>
        <w:trPr>
          <w:trHeight w:val="187"/>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Data center service revenue</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61,044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47,537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13,507</w:t>
            </w:r>
          </w:p>
        </w:tc>
      </w:tr>
      <w:tr>
        <w:trPr>
          <w:trHeight w:val="181"/>
        </w:trPr>
        <w:tc>
          <w:tcPr>
            <w:tcW w:w="7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762,750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312,928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449,822</w:t>
            </w: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04"/>
        </w:trPr>
        <w:tc>
          <w:tcPr>
            <w:tcW w:w="760" w:type="dxa"/>
            <w:vAlign w:val="bottom"/>
            <w:shd w:val="clear" w:color="auto" w:fill="CCEEFF"/>
          </w:tcPr>
          <w:p>
            <w:pPr>
              <w:spacing w:after="0"/>
              <w:rPr>
                <w:sz w:val="9"/>
                <w:szCs w:val="9"/>
                <w:color w:val="auto"/>
              </w:rPr>
            </w:pPr>
          </w:p>
        </w:tc>
        <w:tc>
          <w:tcPr>
            <w:tcW w:w="63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182"/>
        </w:trPr>
        <w:tc>
          <w:tcPr>
            <w:tcW w:w="7140" w:type="dxa"/>
            <w:vAlign w:val="bottom"/>
            <w:gridSpan w:val="2"/>
          </w:tcPr>
          <w:p>
            <w:pPr>
              <w:ind w:left="100"/>
              <w:spacing w:after="0"/>
              <w:rPr>
                <w:sz w:val="20"/>
                <w:szCs w:val="20"/>
                <w:color w:val="auto"/>
              </w:rPr>
            </w:pPr>
            <w:r>
              <w:rPr>
                <w:rFonts w:ascii="Arial" w:cs="Arial" w:eastAsia="Arial" w:hAnsi="Arial"/>
                <w:sz w:val="14"/>
                <w:szCs w:val="14"/>
                <w:color w:val="auto"/>
              </w:rPr>
              <w:t>Property operating expense</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316,178</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119,834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196,344</w:t>
            </w:r>
          </w:p>
        </w:tc>
      </w:tr>
    </w:tbl>
    <w:p>
      <w:pPr>
        <w:spacing w:after="0" w:line="179"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Property operating income and expense amounts were higher in 2021, reflecting the operating results for a full fiscal year in 2021 for zColo's 39 colocation data centers and Vantage SDC's 12 hyperscale data centers, acquired in December 2020 and July 2020, respectively. 2021 also included additional acquisitions with another five zColo colocation data centers, and in the Vantage SDC portfolio, an add-on acquisition plus additional lease-up of expanded capacity and existing inventory.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real estate carrying value in our Digital Operating segment stood at $4.97 billion at December 31, 2021 compared to $4.45 billion at December 31, 2020.</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portfolio includes 69 data centers in the U.S., three in Canada, one in the U.K., and five in France.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December 31, 2021</w:t>
            </w:r>
          </w:p>
        </w:tc>
        <w:tc>
          <w:tcPr>
            <w:tcW w:w="1580" w:type="dxa"/>
            <w:vAlign w:val="bottom"/>
          </w:tcPr>
          <w:p>
            <w:pPr>
              <w:jc w:val="right"/>
              <w:ind w:right="232"/>
              <w:spacing w:after="0"/>
              <w:rPr>
                <w:sz w:val="20"/>
                <w:szCs w:val="20"/>
                <w:color w:val="auto"/>
              </w:rPr>
            </w:pPr>
            <w:r>
              <w:rPr>
                <w:rFonts w:ascii="Arial" w:cs="Arial" w:eastAsia="Arial" w:hAnsi="Arial"/>
                <w:sz w:val="11"/>
                <w:szCs w:val="11"/>
                <w:b w:val="1"/>
                <w:bCs w:val="1"/>
                <w:color w:val="auto"/>
              </w:rPr>
              <w:t>December 31, 2020</w:t>
            </w:r>
          </w:p>
        </w:tc>
      </w:tr>
      <w:tr>
        <w:trPr>
          <w:trHeight w:val="174"/>
        </w:trPr>
        <w:tc>
          <w:tcPr>
            <w:tcW w:w="80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Number of data centers</w:t>
            </w: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8000" w:type="dxa"/>
            <w:vAlign w:val="bottom"/>
            <w:gridSpan w:val="2"/>
          </w:tcPr>
          <w:p>
            <w:pPr>
              <w:ind w:left="100"/>
              <w:spacing w:after="0"/>
              <w:rPr>
                <w:sz w:val="20"/>
                <w:szCs w:val="20"/>
                <w:color w:val="auto"/>
              </w:rPr>
            </w:pPr>
            <w:r>
              <w:rPr>
                <w:rFonts w:ascii="Arial" w:cs="Arial" w:eastAsia="Arial" w:hAnsi="Arial"/>
                <w:sz w:val="14"/>
                <w:szCs w:val="14"/>
                <w:color w:val="auto"/>
              </w:rPr>
              <w:t>Owned</w:t>
            </w:r>
          </w:p>
        </w:tc>
        <w:tc>
          <w:tcPr>
            <w:tcW w:w="1580" w:type="dxa"/>
            <w:vAlign w:val="bottom"/>
          </w:tcPr>
          <w:p>
            <w:pPr>
              <w:jc w:val="right"/>
              <w:ind w:right="52"/>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580" w:type="dxa"/>
            <w:vAlign w:val="bottom"/>
          </w:tcPr>
          <w:p>
            <w:pPr>
              <w:jc w:val="right"/>
              <w:ind w:right="52"/>
              <w:spacing w:after="0"/>
              <w:rPr>
                <w:sz w:val="20"/>
                <w:szCs w:val="20"/>
                <w:color w:val="auto"/>
              </w:rPr>
            </w:pPr>
            <w:r>
              <w:rPr>
                <w:rFonts w:ascii="Arial" w:cs="Arial" w:eastAsia="Arial" w:hAnsi="Arial"/>
                <w:sz w:val="14"/>
                <w:szCs w:val="14"/>
                <w:color w:val="auto"/>
              </w:rPr>
              <w:t>26</w:t>
            </w:r>
          </w:p>
        </w:tc>
      </w:tr>
      <w:tr>
        <w:trPr>
          <w:trHeight w:val="187"/>
        </w:trPr>
        <w:tc>
          <w:tcPr>
            <w:tcW w:w="20" w:type="dxa"/>
            <w:vAlign w:val="bottom"/>
            <w:shd w:val="clear" w:color="auto" w:fill="CCEEFF"/>
          </w:tcPr>
          <w:p>
            <w:pPr>
              <w:spacing w:after="0"/>
              <w:rPr>
                <w:sz w:val="16"/>
                <w:szCs w:val="16"/>
                <w:color w:val="auto"/>
              </w:rPr>
            </w:pPr>
          </w:p>
        </w:tc>
        <w:tc>
          <w:tcPr>
            <w:tcW w:w="8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Leasehold</w:t>
            </w:r>
          </w:p>
        </w:tc>
        <w:tc>
          <w:tcPr>
            <w:tcW w:w="1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w:t>
            </w:r>
          </w:p>
        </w:tc>
      </w:tr>
      <w:tr>
        <w:trPr>
          <w:trHeight w:val="179"/>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line="94" w:lineRule="exact"/>
              <w:rPr>
                <w:sz w:val="20"/>
                <w:szCs w:val="20"/>
                <w:color w:val="auto"/>
              </w:rPr>
            </w:pPr>
            <w:r>
              <w:rPr>
                <w:rFonts w:ascii="Arial" w:cs="Arial" w:eastAsia="Arial" w:hAnsi="Arial"/>
                <w:sz w:val="9"/>
                <w:szCs w:val="9"/>
                <w:color w:val="auto"/>
              </w:rPr>
              <w:t>(In thousands, except %)</w:t>
            </w:r>
          </w:p>
        </w:tc>
        <w:tc>
          <w:tcPr>
            <w:tcW w:w="670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spacing w:after="0"/>
              <w:rPr>
                <w:sz w:val="9"/>
                <w:szCs w:val="9"/>
                <w:color w:val="auto"/>
              </w:rPr>
            </w:pPr>
          </w:p>
        </w:tc>
      </w:tr>
      <w:tr>
        <w:trPr>
          <w:trHeight w:val="185"/>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Max Critical I.T. Square Feet or Total Rentable Square Feet</w:t>
            </w:r>
          </w:p>
        </w:tc>
        <w:tc>
          <w:tcPr>
            <w:tcW w:w="1580" w:type="dxa"/>
            <w:vAlign w:val="bottom"/>
          </w:tcPr>
          <w:p>
            <w:pPr>
              <w:jc w:val="right"/>
              <w:ind w:right="52"/>
              <w:spacing w:after="0"/>
              <w:rPr>
                <w:sz w:val="20"/>
                <w:szCs w:val="20"/>
                <w:color w:val="auto"/>
              </w:rPr>
            </w:pPr>
            <w:r>
              <w:rPr>
                <w:rFonts w:ascii="Arial" w:cs="Arial" w:eastAsia="Arial" w:hAnsi="Arial"/>
                <w:sz w:val="14"/>
                <w:szCs w:val="14"/>
                <w:color w:val="auto"/>
              </w:rPr>
              <w:t>1,949</w:t>
            </w:r>
          </w:p>
        </w:tc>
        <w:tc>
          <w:tcPr>
            <w:tcW w:w="80" w:type="dxa"/>
            <w:vAlign w:val="bottom"/>
          </w:tcPr>
          <w:p>
            <w:pPr>
              <w:spacing w:after="0"/>
              <w:rPr>
                <w:sz w:val="16"/>
                <w:szCs w:val="16"/>
                <w:color w:val="auto"/>
              </w:rPr>
            </w:pPr>
          </w:p>
        </w:tc>
        <w:tc>
          <w:tcPr>
            <w:tcW w:w="1580" w:type="dxa"/>
            <w:vAlign w:val="bottom"/>
          </w:tcPr>
          <w:p>
            <w:pPr>
              <w:jc w:val="right"/>
              <w:ind w:right="52"/>
              <w:spacing w:after="0"/>
              <w:rPr>
                <w:sz w:val="20"/>
                <w:szCs w:val="20"/>
                <w:color w:val="auto"/>
              </w:rPr>
            </w:pPr>
            <w:r>
              <w:rPr>
                <w:rFonts w:ascii="Arial" w:cs="Arial" w:eastAsia="Arial" w:hAnsi="Arial"/>
                <w:sz w:val="14"/>
                <w:szCs w:val="14"/>
                <w:color w:val="auto"/>
              </w:rPr>
              <w:t>1,720</w:t>
            </w:r>
          </w:p>
        </w:tc>
      </w:tr>
      <w:tr>
        <w:trPr>
          <w:trHeight w:val="189"/>
        </w:trPr>
        <w:tc>
          <w:tcPr>
            <w:tcW w:w="8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Leased Square Feet</w:t>
            </w: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1,553</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1,386</w:t>
            </w:r>
          </w:p>
        </w:tc>
      </w:tr>
      <w:tr>
        <w:trPr>
          <w:trHeight w:val="182"/>
        </w:trPr>
        <w:tc>
          <w:tcPr>
            <w:tcW w:w="8020" w:type="dxa"/>
            <w:vAlign w:val="bottom"/>
            <w:gridSpan w:val="3"/>
          </w:tcPr>
          <w:p>
            <w:pPr>
              <w:spacing w:after="0"/>
              <w:rPr>
                <w:sz w:val="20"/>
                <w:szCs w:val="20"/>
                <w:color w:val="auto"/>
              </w:rPr>
            </w:pPr>
            <w:r>
              <w:rPr>
                <w:rFonts w:ascii="Arial" w:cs="Arial" w:eastAsia="Arial" w:hAnsi="Arial"/>
                <w:sz w:val="14"/>
                <w:szCs w:val="14"/>
                <w:color w:val="auto"/>
              </w:rPr>
              <w:t>% Utilization Rate (% Leased)</w:t>
            </w:r>
          </w:p>
        </w:tc>
        <w:tc>
          <w:tcPr>
            <w:tcW w:w="1580" w:type="dxa"/>
            <w:vAlign w:val="bottom"/>
          </w:tcPr>
          <w:p>
            <w:pPr>
              <w:jc w:val="right"/>
              <w:ind w:right="52"/>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1580" w:type="dxa"/>
            <w:vAlign w:val="bottom"/>
          </w:tcPr>
          <w:p>
            <w:pPr>
              <w:jc w:val="right"/>
              <w:ind w:right="52"/>
              <w:spacing w:after="0"/>
              <w:rPr>
                <w:sz w:val="20"/>
                <w:szCs w:val="20"/>
                <w:color w:val="auto"/>
              </w:rPr>
            </w:pPr>
            <w:r>
              <w:rPr>
                <w:rFonts w:ascii="Arial" w:cs="Arial" w:eastAsia="Arial" w:hAnsi="Arial"/>
                <w:sz w:val="14"/>
                <w:szCs w:val="14"/>
                <w:color w:val="auto"/>
              </w:rPr>
              <w:t>81%</w:t>
            </w:r>
          </w:p>
        </w:tc>
      </w:tr>
    </w:tbl>
    <w:p>
      <w:pPr>
        <w:spacing w:after="0" w:line="168" w:lineRule="exact"/>
        <w:rPr>
          <w:sz w:val="20"/>
          <w:szCs w:val="20"/>
          <w:color w:val="auto"/>
        </w:rPr>
      </w:pPr>
    </w:p>
    <w:p>
      <w:pPr>
        <w:ind w:right="200" w:firstLine="351"/>
        <w:spacing w:after="0" w:line="248" w:lineRule="auto"/>
        <w:rPr>
          <w:sz w:val="20"/>
          <w:szCs w:val="20"/>
          <w:color w:val="auto"/>
        </w:rPr>
      </w:pPr>
      <w:r>
        <w:rPr>
          <w:rFonts w:ascii="Arial" w:cs="Arial" w:eastAsia="Arial" w:hAnsi="Arial"/>
          <w:sz w:val="16"/>
          <w:szCs w:val="16"/>
          <w:color w:val="auto"/>
        </w:rPr>
        <w:t>On a same store basis, property operating income and expense also increased in 2021, reflecting an increase in leased square footage. Additionally, higher power costs were incurred in connection with inclement weather conditions in 2021, with the incremental cost largely billed to our colocation tenants.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5" w:lineRule="exact"/>
        <w:rPr>
          <w:sz w:val="20"/>
          <w:szCs w:val="20"/>
          <w:color w:val="auto"/>
        </w:rPr>
      </w:pPr>
    </w:p>
    <w:p>
      <w:pPr>
        <w:ind w:right="280" w:firstLine="351"/>
        <w:spacing w:after="0" w:line="246" w:lineRule="auto"/>
        <w:rPr>
          <w:sz w:val="20"/>
          <w:szCs w:val="20"/>
          <w:color w:val="auto"/>
        </w:rPr>
      </w:pPr>
      <w:r>
        <w:rPr>
          <w:rFonts w:ascii="Arial" w:cs="Arial" w:eastAsia="Arial" w:hAnsi="Arial"/>
          <w:sz w:val="16"/>
          <w:szCs w:val="16"/>
          <w:color w:val="auto"/>
        </w:rPr>
        <w:t>Interest income was $1.6 million higher. In 2021, there was additional interest income from new loans originated or acquired that are being warehoused for future investment vehicles. However, this increase was largely offset by lower interest income on available cash in 2021 as proceeds from the sale of our light industrial business in December 2019 have since been redeployed.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Fee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17"/>
        </w:trPr>
        <w:tc>
          <w:tcPr>
            <w:tcW w:w="714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980" w:type="dxa"/>
            <w:vAlign w:val="bottom"/>
          </w:tcPr>
          <w:p>
            <w:pPr>
              <w:jc w:val="right"/>
              <w:ind w:right="455"/>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3"/>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3"/>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6"/>
        </w:trPr>
        <w:tc>
          <w:tcPr>
            <w:tcW w:w="71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Digital Investment Management</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02"/>
        </w:trPr>
        <w:tc>
          <w:tcPr>
            <w:tcW w:w="19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Management fees</w:t>
            </w:r>
          </w:p>
        </w:tc>
        <w:tc>
          <w:tcPr>
            <w:tcW w:w="5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168,618</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tcPr>
          <w:p>
            <w:pPr>
              <w:jc w:val="right"/>
              <w:ind w:right="13"/>
              <w:spacing w:after="0"/>
              <w:rPr>
                <w:sz w:val="20"/>
                <w:szCs w:val="20"/>
                <w:color w:val="auto"/>
              </w:rPr>
            </w:pPr>
            <w:r>
              <w:rPr>
                <w:rFonts w:ascii="Arial" w:cs="Arial" w:eastAsia="Arial" w:hAnsi="Arial"/>
                <w:sz w:val="14"/>
                <w:szCs w:val="14"/>
                <w:color w:val="auto"/>
              </w:rPr>
              <w:t>78,421</w:t>
            </w:r>
          </w:p>
        </w:tc>
        <w:tc>
          <w:tcPr>
            <w:tcW w:w="3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90,197</w:t>
            </w:r>
          </w:p>
        </w:tc>
      </w:tr>
      <w:tr>
        <w:trPr>
          <w:trHeight w:val="306"/>
        </w:trPr>
        <w:tc>
          <w:tcPr>
            <w:tcW w:w="71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Incentive fees</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7,139</w:t>
            </w:r>
          </w:p>
        </w:tc>
      </w:tr>
      <w:tr>
        <w:trPr>
          <w:trHeight w:val="302"/>
        </w:trPr>
        <w:tc>
          <w:tcPr>
            <w:tcW w:w="714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Other fee income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4,899</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135</w:t>
            </w:r>
          </w:p>
        </w:tc>
      </w:tr>
      <w:tr>
        <w:trPr>
          <w:trHeight w:val="206"/>
        </w:trPr>
        <w:tc>
          <w:tcPr>
            <w:tcW w:w="7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5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83,355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97,471</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Fee income was higher by $97.5 million. The increase was driven by: (i) the successful fundraising for DBP II beginning November 2020 with a final close in December 2021 at $8.3 billion of total commitments, having raised $4.2 billion in 2021; and (ii) incentive fees earned based upon the performance of managed third party accounts in our digital liquid strategy. The increase in fees from DBP II and new co-invest vehicles were partially offset by lower fees from DBP I in 2021 with a change in its fee base from committed capital to contributed capital following the first closing of DBP II.</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Income</w:t>
      </w:r>
    </w:p>
    <w:p>
      <w:pPr>
        <w:spacing w:after="0" w:line="115" w:lineRule="exact"/>
        <w:rPr>
          <w:sz w:val="20"/>
          <w:szCs w:val="20"/>
          <w:color w:val="auto"/>
        </w:rPr>
      </w:pPr>
    </w:p>
    <w:p>
      <w:pPr>
        <w:ind w:right="520" w:firstLine="351"/>
        <w:spacing w:after="0" w:line="248" w:lineRule="auto"/>
        <w:rPr>
          <w:sz w:val="20"/>
          <w:szCs w:val="20"/>
          <w:color w:val="auto"/>
        </w:rPr>
      </w:pPr>
      <w:r>
        <w:rPr>
          <w:rFonts w:ascii="Arial" w:cs="Arial" w:eastAsia="Arial" w:hAnsi="Arial"/>
          <w:sz w:val="16"/>
          <w:szCs w:val="16"/>
          <w:color w:val="auto"/>
        </w:rPr>
        <w:t>Other income increased $0.5 million, which can be attributed primarily to higher professional service fees incurred on behalf of and reimbursable by our managed investment vehicles.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gridSpan w:val="6"/>
          </w:tcPr>
          <w:p>
            <w:pPr>
              <w:ind w:left="360"/>
              <w:spacing w:after="0"/>
              <w:rPr>
                <w:sz w:val="20"/>
                <w:szCs w:val="20"/>
                <w:color w:val="auto"/>
              </w:rPr>
            </w:pPr>
            <w:r>
              <w:rPr>
                <w:rFonts w:ascii="Arial" w:cs="Arial" w:eastAsia="Arial" w:hAnsi="Arial"/>
                <w:sz w:val="11"/>
                <w:szCs w:val="11"/>
                <w:b w:val="1"/>
                <w:bCs w:val="1"/>
                <w:color w:val="auto"/>
              </w:rPr>
              <w:t>Year Ended December 31,</w:t>
            </w:r>
          </w:p>
        </w:tc>
        <w:tc>
          <w:tcPr>
            <w:tcW w:w="1040" w:type="dxa"/>
            <w:vAlign w:val="bottom"/>
          </w:tcPr>
          <w:p>
            <w:pPr>
              <w:spacing w:after="0"/>
              <w:rPr>
                <w:sz w:val="12"/>
                <w:szCs w:val="12"/>
                <w:color w:val="auto"/>
              </w:rPr>
            </w:pPr>
          </w:p>
        </w:tc>
      </w:tr>
      <w:tr>
        <w:trPr>
          <w:trHeight w:val="117"/>
        </w:trPr>
        <w:tc>
          <w:tcPr>
            <w:tcW w:w="71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454"/>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72"/>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2"/>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Digital Investment Management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r>
      <w:tr>
        <w:trPr>
          <w:trHeight w:val="185"/>
        </w:trPr>
        <w:tc>
          <w:tcPr>
            <w:tcW w:w="7140" w:type="dxa"/>
            <w:vAlign w:val="bottom"/>
            <w:gridSpan w:val="2"/>
          </w:tcPr>
          <w:p>
            <w:pPr>
              <w:spacing w:after="0"/>
              <w:rPr>
                <w:sz w:val="20"/>
                <w:szCs w:val="20"/>
                <w:color w:val="auto"/>
              </w:rPr>
            </w:pPr>
            <w:r>
              <w:rPr>
                <w:rFonts w:ascii="Arial" w:cs="Arial" w:eastAsia="Arial" w:hAnsi="Arial"/>
                <w:sz w:val="14"/>
                <w:szCs w:val="14"/>
                <w:color w:val="auto"/>
              </w:rPr>
              <w:t>Digital Operating</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125,387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77,976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47,411</w:t>
            </w:r>
          </w:p>
        </w:tc>
      </w:tr>
      <w:tr>
        <w:trPr>
          <w:trHeight w:val="189"/>
        </w:trPr>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investment-level debt</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r>
      <w:tr>
        <w:trPr>
          <w:trHeight w:val="185"/>
        </w:trPr>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Corporate-level debt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42,853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13,283</w:t>
            </w:r>
          </w:p>
        </w:tc>
      </w:tr>
      <w:tr>
        <w:trPr>
          <w:trHeight w:val="206"/>
        </w:trPr>
        <w:tc>
          <w:tcPr>
            <w:tcW w:w="760" w:type="dxa"/>
            <w:vAlign w:val="bottom"/>
            <w:tcBorders>
              <w:bottom w:val="single" w:sz="8" w:color="CCEEFF"/>
            </w:tcBorders>
            <w:shd w:val="clear" w:color="auto" w:fill="CCEEFF"/>
          </w:tcPr>
          <w:p>
            <w:pPr>
              <w:spacing w:after="0"/>
              <w:rPr>
                <w:sz w:val="17"/>
                <w:szCs w:val="17"/>
                <w:color w:val="auto"/>
              </w:rPr>
            </w:pPr>
          </w:p>
        </w:tc>
        <w:tc>
          <w:tcPr>
            <w:tcW w:w="6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186,949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120,829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66,120</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5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6"/>
          <w:szCs w:val="16"/>
          <w:i w:val="1"/>
          <w:iCs w:val="1"/>
          <w:color w:val="auto"/>
        </w:rPr>
        <w:t>Digital Investment Management—</w:t>
      </w:r>
      <w:r>
        <w:rPr>
          <w:rFonts w:ascii="Arial" w:cs="Arial" w:eastAsia="Arial" w:hAnsi="Arial"/>
          <w:sz w:val="16"/>
          <w:szCs w:val="16"/>
          <w:color w:val="auto"/>
        </w:rPr>
        <w:t>This represents interest expense from our securitized financing facility beginning in July 2021 as the $300 million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is attributed largely to the Digital IM segment.</w:t>
      </w:r>
    </w:p>
    <w:p>
      <w:pPr>
        <w:spacing w:after="0" w:line="57" w:lineRule="exact"/>
        <w:rPr>
          <w:sz w:val="20"/>
          <w:szCs w:val="20"/>
          <w:color w:val="auto"/>
        </w:rPr>
      </w:pPr>
    </w:p>
    <w:p>
      <w:pPr>
        <w:ind w:right="60" w:firstLine="351"/>
        <w:spacing w:after="0" w:line="249" w:lineRule="auto"/>
        <w:rPr>
          <w:sz w:val="20"/>
          <w:szCs w:val="20"/>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The increase of $47.4 million is attributed to: (i) a full year of interest expense in 2021 incurred on debt financing the Vantage SDC and</w:t>
      </w:r>
      <w:r>
        <w:rPr>
          <w:rFonts w:ascii="Arial" w:cs="Arial" w:eastAsia="Arial" w:hAnsi="Arial"/>
          <w:sz w:val="16"/>
          <w:szCs w:val="16"/>
          <w:i w:val="1"/>
          <w:iCs w:val="1"/>
          <w:color w:val="auto"/>
        </w:rPr>
        <w:t xml:space="preserve"> </w:t>
      </w:r>
      <w:r>
        <w:rPr>
          <w:rFonts w:ascii="Arial" w:cs="Arial" w:eastAsia="Arial" w:hAnsi="Arial"/>
          <w:sz w:val="16"/>
          <w:szCs w:val="16"/>
          <w:color w:val="auto"/>
        </w:rPr>
        <w:t>zColo portfolios, acquired in July 2020 and December 2020, respectively; (ii) interest expense on additional debt raised through securitization transactions by DataBank and Vantage SDC during 2021; and (iii) interest expense on our securitized financing facility which is partially allocated to the Digital Operating segment. This increase was partially offset by lower interest expense on the DataBank portfolio following its March 2021 and October 2021 securitization transactions which meaningfully reduced its cost of debt. The weighted average interest rate on DataBank's outstanding debt was 6.08% per annum in 2020 and 2.35% per annum in 2021.</w:t>
      </w:r>
    </w:p>
    <w:p>
      <w:pPr>
        <w:spacing w:after="0" w:line="87" w:lineRule="exact"/>
        <w:rPr>
          <w:sz w:val="20"/>
          <w:szCs w:val="20"/>
          <w:color w:val="auto"/>
        </w:rPr>
      </w:pPr>
    </w:p>
    <w:p>
      <w:pPr>
        <w:ind w:right="960" w:firstLine="351"/>
        <w:spacing w:after="0" w:line="317" w:lineRule="auto"/>
        <w:rPr>
          <w:sz w:val="20"/>
          <w:szCs w:val="20"/>
          <w:color w:val="auto"/>
        </w:rPr>
      </w:pPr>
      <w:r>
        <w:rPr>
          <w:rFonts w:ascii="Arial" w:cs="Arial" w:eastAsia="Arial" w:hAnsi="Arial"/>
          <w:sz w:val="14"/>
          <w:szCs w:val="14"/>
          <w:color w:val="auto"/>
        </w:rPr>
        <w:t>Overall, at December 31, 2021, our data center portfolio was financed by an aggregate $4.22 billion of outstanding debt principal ($3.23 billion at December 31, 2020), bearing a combined weighted average interest rate of 2.88% per annum (3.69% per annum at December 31, 2020).</w:t>
      </w:r>
    </w:p>
    <w:p>
      <w:pPr>
        <w:spacing w:after="0" w:line="2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6"/>
          <w:szCs w:val="16"/>
          <w:i w:val="1"/>
          <w:iCs w:val="1"/>
          <w:color w:val="auto"/>
        </w:rPr>
        <w:t>Other Investment-level Debt—</w:t>
      </w:r>
      <w:r>
        <w:rPr>
          <w:rFonts w:ascii="Arial" w:cs="Arial" w:eastAsia="Arial" w:hAnsi="Arial"/>
          <w:sz w:val="16"/>
          <w:szCs w:val="16"/>
          <w:color w:val="auto"/>
        </w:rPr>
        <w:t>This represents interest expense from our securitized financing facility that is partially allocated to our digital credit and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liquid investments on the balance sheet.</w:t>
      </w:r>
    </w:p>
    <w:p>
      <w:pPr>
        <w:spacing w:after="0" w:line="57" w:lineRule="exact"/>
        <w:rPr>
          <w:sz w:val="20"/>
          <w:szCs w:val="20"/>
          <w:color w:val="auto"/>
        </w:rPr>
      </w:pPr>
    </w:p>
    <w:p>
      <w:pPr>
        <w:ind w:right="60" w:firstLine="351"/>
        <w:spacing w:after="0" w:line="249" w:lineRule="auto"/>
        <w:rPr>
          <w:sz w:val="20"/>
          <w:szCs w:val="20"/>
          <w:color w:val="auto"/>
        </w:rPr>
      </w:pPr>
      <w:r>
        <w:rPr>
          <w:rFonts w:ascii="Arial" w:cs="Arial" w:eastAsia="Arial" w:hAnsi="Arial"/>
          <w:sz w:val="16"/>
          <w:szCs w:val="16"/>
          <w:i w:val="1"/>
          <w:iCs w:val="1"/>
          <w:color w:val="auto"/>
        </w:rPr>
        <w:t>Corporate-level Debt—</w:t>
      </w:r>
      <w:r>
        <w:rPr>
          <w:rFonts w:ascii="Arial" w:cs="Arial" w:eastAsia="Arial" w:hAnsi="Arial"/>
          <w:sz w:val="16"/>
          <w:szCs w:val="16"/>
          <w:color w:val="auto"/>
        </w:rPr>
        <w:t>Interest expense was $13.3 million higher. This increase can be attributed to: (i) a net increase in interest expense on our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higher interest rate on the exchangeable notes issued in July 2020 (5.75% per annum) relative to the convertible notes that were substantially repurchased in the third quarter of 2020 and fully repaid in January 2021 (3.875% per annum); and (ii) debt conversion expense of $25.1 million recognized in connection with an early exchange of $161.3 million of our 5.75% exchangeable notes into shares of our class A common stock in the fourth quarter of 2021 (refer to Note 8 to the consolidated financial statements). This increase was partially offset by lower interest expense on our corporate credit facility that was terminated in July 2021, which included a proportional write-off of deferred financing costs in June 2020 following a reduction in the facility amount.</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Investment Expense</w:t>
      </w:r>
    </w:p>
    <w:p>
      <w:pPr>
        <w:spacing w:after="0" w:line="115" w:lineRule="exact"/>
        <w:rPr>
          <w:sz w:val="20"/>
          <w:szCs w:val="20"/>
          <w:color w:val="auto"/>
        </w:rPr>
      </w:pPr>
    </w:p>
    <w:p>
      <w:pPr>
        <w:ind w:right="120" w:firstLine="351"/>
        <w:spacing w:after="0" w:line="246" w:lineRule="auto"/>
        <w:rPr>
          <w:sz w:val="20"/>
          <w:szCs w:val="20"/>
          <w:color w:val="auto"/>
        </w:rPr>
      </w:pPr>
      <w:r>
        <w:rPr>
          <w:rFonts w:ascii="Arial" w:cs="Arial" w:eastAsia="Arial" w:hAnsi="Arial"/>
          <w:sz w:val="16"/>
          <w:szCs w:val="16"/>
          <w:color w:val="auto"/>
        </w:rPr>
        <w:t>Investment expense was $14.7 million higher. The increase was related primarily to a full year of management fees paid to Vantage for the day-to-day operations of Vantage SDC beginning the end of July 2020, fees paid in 2021 for transitional services in connection with the zColo portfolio, and reimbursable due diligence costs incurred in our investment management business.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Transaction-Related Costs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Transaction-related costs were generally in connection with unconsummated investments and corporate restructuring transactions.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5" w:lineRule="exact"/>
        <w:rPr>
          <w:sz w:val="20"/>
          <w:szCs w:val="20"/>
          <w:color w:val="auto"/>
        </w:rPr>
      </w:pPr>
    </w:p>
    <w:p>
      <w:pPr>
        <w:ind w:right="80" w:firstLine="351"/>
        <w:spacing w:after="0" w:line="246" w:lineRule="auto"/>
        <w:rPr>
          <w:sz w:val="20"/>
          <w:szCs w:val="20"/>
          <w:color w:val="auto"/>
        </w:rPr>
      </w:pPr>
      <w:r>
        <w:rPr>
          <w:rFonts w:ascii="Arial" w:cs="Arial" w:eastAsia="Arial" w:hAnsi="Arial"/>
          <w:sz w:val="16"/>
          <w:szCs w:val="16"/>
          <w:color w:val="auto"/>
        </w:rPr>
        <w:t>Increase in depreciation and amortization reflects a full year of expense in 2021 on real estate and intangible assets acquired from Vantage SDC in July 2020 and zColo in December 2021, and in connection with an add-on acquisition and additional lease-up of expanded capacity and existing inventory in the Vantage SDC portfolio in 2021.</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Impairment Loss</w:t>
      </w:r>
    </w:p>
    <w:p>
      <w:pPr>
        <w:spacing w:after="0" w:line="103" w:lineRule="exact"/>
        <w:rPr>
          <w:sz w:val="20"/>
          <w:szCs w:val="20"/>
          <w:color w:val="auto"/>
        </w:rPr>
      </w:pPr>
    </w:p>
    <w:p>
      <w:pPr>
        <w:ind w:right="200" w:firstLine="351"/>
        <w:spacing w:after="0" w:line="228" w:lineRule="auto"/>
        <w:rPr>
          <w:sz w:val="20"/>
          <w:szCs w:val="20"/>
          <w:color w:val="auto"/>
        </w:rPr>
      </w:pPr>
      <w:r>
        <w:rPr>
          <w:rFonts w:ascii="Arial" w:cs="Arial" w:eastAsia="Arial" w:hAnsi="Arial"/>
          <w:sz w:val="16"/>
          <w:szCs w:val="16"/>
          <w:color w:val="auto"/>
        </w:rPr>
        <w:t>There was no impairment loss in 2021. Impairment loss of $ 25.1 million in 2020 pertains to: (i) a management contract intangible due to reduced cash flows from the original Vantage contract, which was replaced by a new fee stream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from third party capital raised in our acquisition of Vantage SDC; (ii) right-of-use lease asset on certain corporate office leases due to reduced need for office space based upon the Company’s operations; and (iii) corporate aircraft that was written down to recoverable value prior to its sale in January 2021.</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Compensation Expense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17"/>
        </w:trPr>
        <w:tc>
          <w:tcPr>
            <w:tcW w:w="71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980" w:type="dxa"/>
            <w:vAlign w:val="bottom"/>
          </w:tcPr>
          <w:p>
            <w:pPr>
              <w:jc w:val="right"/>
              <w:ind w:right="455"/>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3"/>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3"/>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Cash compensation and benefits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153,260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44,457</w:t>
            </w:r>
          </w:p>
        </w:tc>
      </w:tr>
      <w:tr>
        <w:trPr>
          <w:trHeight w:val="185"/>
        </w:trPr>
        <w:tc>
          <w:tcPr>
            <w:tcW w:w="7140" w:type="dxa"/>
            <w:vAlign w:val="bottom"/>
            <w:gridSpan w:val="2"/>
          </w:tcPr>
          <w:p>
            <w:pPr>
              <w:spacing w:after="0"/>
              <w:rPr>
                <w:sz w:val="20"/>
                <w:szCs w:val="20"/>
                <w:color w:val="auto"/>
              </w:rPr>
            </w:pPr>
            <w:r>
              <w:rPr>
                <w:rFonts w:ascii="Arial" w:cs="Arial" w:eastAsia="Arial" w:hAnsi="Arial"/>
                <w:sz w:val="14"/>
                <w:szCs w:val="14"/>
                <w:color w:val="auto"/>
              </w:rPr>
              <w:t>Equity-based compensation</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38,268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22,892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15,376</w:t>
            </w:r>
          </w:p>
        </w:tc>
      </w:tr>
      <w:tr>
        <w:trPr>
          <w:trHeight w:val="187"/>
        </w:trPr>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Incentive and carried interest compensation</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65,890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1,906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63,984</w:t>
            </w:r>
          </w:p>
        </w:tc>
      </w:tr>
      <w:tr>
        <w:trPr>
          <w:trHeight w:val="181"/>
        </w:trPr>
        <w:tc>
          <w:tcPr>
            <w:tcW w:w="7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301,875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178,058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123,817</w:t>
            </w:r>
          </w:p>
        </w:tc>
      </w:tr>
      <w:tr>
        <w:trPr>
          <w:trHeight w:val="20"/>
        </w:trPr>
        <w:tc>
          <w:tcPr>
            <w:tcW w:w="7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compensation expense was $123.8 million higher, driven primarily by:</w:t>
      </w:r>
    </w:p>
    <w:p>
      <w:pPr>
        <w:spacing w:after="0" w:line="50" w:lineRule="exact"/>
        <w:rPr>
          <w:sz w:val="20"/>
          <w:szCs w:val="20"/>
          <w:color w:val="auto"/>
        </w:rPr>
      </w:pPr>
    </w:p>
    <w:p>
      <w:pPr>
        <w:ind w:left="480" w:right="220" w:hanging="136"/>
        <w:spacing w:after="0" w:line="248" w:lineRule="auto"/>
        <w:tabs>
          <w:tab w:leader="none" w:pos="4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compensation cost associated with data center employees of zColo who became employees of the Company following the zColo acquisition in December 2020;</w:t>
      </w:r>
    </w:p>
    <w:p>
      <w:pPr>
        <w:spacing w:after="0" w:line="40" w:lineRule="exact"/>
        <w:rPr>
          <w:rFonts w:ascii="Arial" w:cs="Arial" w:eastAsia="Arial" w:hAnsi="Arial"/>
          <w:sz w:val="16"/>
          <w:szCs w:val="16"/>
          <w:color w:val="auto"/>
        </w:rPr>
      </w:pPr>
    </w:p>
    <w:p>
      <w:pPr>
        <w:ind w:left="480" w:hanging="136"/>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higher severance payments, including acceleration of equity-based compensation in 2021; and</w:t>
      </w:r>
    </w:p>
    <w:p>
      <w:pPr>
        <w:spacing w:after="0" w:line="49" w:lineRule="exact"/>
        <w:rPr>
          <w:rFonts w:ascii="Arial" w:cs="Arial" w:eastAsia="Arial" w:hAnsi="Arial"/>
          <w:sz w:val="16"/>
          <w:szCs w:val="16"/>
          <w:color w:val="auto"/>
        </w:rPr>
      </w:pPr>
    </w:p>
    <w:p>
      <w:pPr>
        <w:ind w:left="480" w:right="560" w:hanging="136"/>
        <w:spacing w:after="0" w:line="248" w:lineRule="auto"/>
        <w:tabs>
          <w:tab w:leader="none" w:pos="4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incentive and carried interest compensation accrued in 2021, representing a portion of incentive fees earned and unrealized carried interest from our managed accounts and sponsored investment vehicles that are shared with management and certain employees.</w:t>
      </w:r>
    </w:p>
    <w:p>
      <w:pPr>
        <w:spacing w:after="0" w:line="40" w:lineRule="exact"/>
        <w:rPr>
          <w:rFonts w:ascii="Arial" w:cs="Arial" w:eastAsia="Arial" w:hAnsi="Arial"/>
          <w:sz w:val="16"/>
          <w:szCs w:val="16"/>
          <w:color w:val="auto"/>
        </w:rPr>
      </w:pPr>
    </w:p>
    <w:p>
      <w:pPr>
        <w:jc w:val="both"/>
        <w:ind w:left="480" w:right="100"/>
        <w:spacing w:after="0" w:line="246" w:lineRule="auto"/>
        <w:rPr>
          <w:rFonts w:ascii="Arial" w:cs="Arial" w:eastAsia="Arial" w:hAnsi="Arial"/>
          <w:sz w:val="16"/>
          <w:szCs w:val="16"/>
          <w:color w:val="auto"/>
        </w:rPr>
      </w:pPr>
      <w:r>
        <w:rPr>
          <w:rFonts w:ascii="Arial" w:cs="Arial" w:eastAsia="Arial" w:hAnsi="Arial"/>
          <w:sz w:val="16"/>
          <w:szCs w:val="16"/>
          <w:color w:val="auto"/>
        </w:rPr>
        <w:t>Unlike incentive fees and related compensation which have been earned, unrealized carried interest and corresponding compensation amounts are subject to adjustments each period, including reversals, until such time they are realized, based upon the cumulative performance of the underlying investments of the respective vehicles that are carried at fair value.</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Administrative Expenses</w:t>
      </w:r>
    </w:p>
    <w:p>
      <w:pPr>
        <w:spacing w:after="0" w:line="115" w:lineRule="exact"/>
        <w:rPr>
          <w:sz w:val="20"/>
          <w:szCs w:val="20"/>
          <w:color w:val="auto"/>
        </w:rPr>
      </w:pPr>
    </w:p>
    <w:p>
      <w:pPr>
        <w:ind w:right="520" w:firstLine="351"/>
        <w:spacing w:after="0" w:line="248" w:lineRule="auto"/>
        <w:rPr>
          <w:sz w:val="20"/>
          <w:szCs w:val="20"/>
          <w:color w:val="auto"/>
        </w:rPr>
      </w:pPr>
      <w:r>
        <w:rPr>
          <w:rFonts w:ascii="Arial" w:cs="Arial" w:eastAsia="Arial" w:hAnsi="Arial"/>
          <w:sz w:val="16"/>
          <w:szCs w:val="16"/>
          <w:color w:val="auto"/>
        </w:rPr>
        <w:t>Administrative expense increased $30.7 million, attributable largely to administrative costs associated with our new zColo portfolio, growth in our Digital Operating business, placement fees incurred in fundraising for DBP II, and higher professional fees.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Settlement Loss</w:t>
      </w:r>
    </w:p>
    <w:p>
      <w:pPr>
        <w:spacing w:after="0" w:line="115" w:lineRule="exact"/>
        <w:rPr>
          <w:sz w:val="20"/>
          <w:szCs w:val="20"/>
          <w:color w:val="auto"/>
        </w:rPr>
      </w:pPr>
    </w:p>
    <w:p>
      <w:pPr>
        <w:ind w:right="560" w:firstLine="351"/>
        <w:spacing w:after="0" w:line="248" w:lineRule="auto"/>
        <w:rPr>
          <w:sz w:val="20"/>
          <w:szCs w:val="20"/>
          <w:color w:val="auto"/>
        </w:rPr>
      </w:pPr>
      <w:r>
        <w:rPr>
          <w:rFonts w:ascii="Arial" w:cs="Arial" w:eastAsia="Arial" w:hAnsi="Arial"/>
          <w:sz w:val="16"/>
          <w:szCs w:val="16"/>
          <w:color w:val="auto"/>
        </w:rPr>
        <w:t>Settlement loss recognized in 2020 represents the initial fair value of the settlement arrangement with Blackwells and the reimbursement of legal costs incurred by Blackwells. Refer to additional discussion in Note 13 to the consolidated financial statements.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Loss</w:t>
      </w:r>
    </w:p>
    <w:p>
      <w:pPr>
        <w:spacing w:after="0" w:line="115"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Other loss was $21.4 million in 2021 and $6.5 million in 2020. The larger loss in 2021 was driven by a write-off of an equity investment that was determined to be unrecoverable. Additionally, both 2021 and 2020 included losses from an increase in value of the Blackwells settlement liability prior to its settlement in June 2021 based upon an increase in the DBRG stock price, which was more pronounced in 2021 (refer to Note 13 to the consolidated financial statements). However, these losses were partially offset in both years, more so in 2021, by fair value increases in marketable equity securities held by our consolidated digital liquid securities funds.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Method Earnings (Losses)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17"/>
        </w:trPr>
        <w:tc>
          <w:tcPr>
            <w:tcW w:w="71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980" w:type="dxa"/>
            <w:vAlign w:val="bottom"/>
          </w:tcPr>
          <w:p>
            <w:pPr>
              <w:jc w:val="right"/>
              <w:ind w:right="456"/>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4"/>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4"/>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Digital Investment Management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13,039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88,772</w:t>
            </w:r>
          </w:p>
        </w:tc>
      </w:tr>
      <w:tr>
        <w:trPr>
          <w:trHeight w:val="185"/>
        </w:trPr>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124,666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(273,618)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398,284</w:t>
            </w:r>
          </w:p>
        </w:tc>
      </w:tr>
      <w:tr>
        <w:trPr>
          <w:trHeight w:val="206"/>
        </w:trPr>
        <w:tc>
          <w:tcPr>
            <w:tcW w:w="760" w:type="dxa"/>
            <w:vAlign w:val="bottom"/>
            <w:tcBorders>
              <w:bottom w:val="single" w:sz="8" w:color="CCEEFF"/>
            </w:tcBorders>
            <w:shd w:val="clear" w:color="auto" w:fill="CCEEFF"/>
          </w:tcPr>
          <w:p>
            <w:pPr>
              <w:spacing w:after="0"/>
              <w:rPr>
                <w:sz w:val="17"/>
                <w:szCs w:val="17"/>
                <w:color w:val="auto"/>
              </w:rPr>
            </w:pPr>
          </w:p>
        </w:tc>
        <w:tc>
          <w:tcPr>
            <w:tcW w:w="6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226,477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(260,579)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487,056</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24" w:lineRule="exact"/>
        <w:rPr>
          <w:sz w:val="20"/>
          <w:szCs w:val="20"/>
          <w:color w:val="auto"/>
        </w:rPr>
      </w:pPr>
    </w:p>
    <w:p>
      <w:pPr>
        <w:jc w:val="both"/>
        <w:ind w:right="140" w:firstLine="351"/>
        <w:spacing w:after="0" w:line="252" w:lineRule="auto"/>
        <w:rPr>
          <w:sz w:val="20"/>
          <w:szCs w:val="20"/>
          <w:color w:val="auto"/>
        </w:rPr>
      </w:pPr>
      <w:r>
        <w:rPr>
          <w:rFonts w:ascii="Arial" w:cs="Arial" w:eastAsia="Arial" w:hAnsi="Arial"/>
          <w:sz w:val="16"/>
          <w:szCs w:val="16"/>
          <w:i w:val="1"/>
          <w:iCs w:val="1"/>
          <w:color w:val="auto"/>
        </w:rPr>
        <w:t>Digital Investment Management—</w:t>
      </w:r>
      <w:r>
        <w:rPr>
          <w:rFonts w:ascii="Arial" w:cs="Arial" w:eastAsia="Arial" w:hAnsi="Arial"/>
          <w:sz w:val="16"/>
          <w:szCs w:val="16"/>
          <w:color w:val="auto"/>
        </w:rPr>
        <w:t>These amounts represent earnings, predominantly unrealized carried interest income, from our general partner interests in</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investment vehicles. Carried interest income is subject to adjustments each period, including reversals, based upon the cumulative performance of the underlying investments of these vehicles that are measured at fair value, until such time the carried interest is realized. The unrealized carried interest recognized to-date are in connection with investment vehicles that are in the early stage of their lifecycle.</w:t>
      </w:r>
    </w:p>
    <w:p>
      <w:pPr>
        <w:spacing w:after="0" w:line="69" w:lineRule="exact"/>
        <w:rPr>
          <w:sz w:val="20"/>
          <w:szCs w:val="20"/>
          <w:color w:val="auto"/>
        </w:rPr>
      </w:pPr>
    </w:p>
    <w:p>
      <w:pPr>
        <w:ind w:right="80" w:firstLine="351"/>
        <w:spacing w:after="0" w:line="268"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These amounts were driven primarily by our investment in BRSP for which we recorded earnings of $41.2 million in 2021 and losses of $298.2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2020. The large loss in 2020 can be attributed to a $254.5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impairment charge on our equity investment in BRSP (excluding amounts associated with BRSP shares and units held by NRF Holdco that is presented as discontinued operations). Furthermore, our share of BRSP's net losses was higher overall in 2020 as a result of the economic effects of COVID-19. We also recorded net losses from BRSP in 2021, attributable largely to investment write-downs and BRSP's restructuring costs, including the BRSP management contract termination fee that was paid to us. However, our basis difference adjustment (as discussed in Note 5 to consolidated financial statements) more than offset our share of loss from BRSP in 2021 while partially reducing our loss from BRSP in 2020.</w:t>
      </w:r>
    </w:p>
    <w:p>
      <w:pPr>
        <w:spacing w:after="0" w:line="90" w:lineRule="exact"/>
        <w:rPr>
          <w:sz w:val="20"/>
          <w:szCs w:val="20"/>
          <w:color w:val="auto"/>
        </w:rPr>
      </w:pPr>
    </w:p>
    <w:p>
      <w:pPr>
        <w:ind w:right="60" w:firstLine="351"/>
        <w:spacing w:after="0" w:line="246" w:lineRule="auto"/>
        <w:rPr>
          <w:sz w:val="20"/>
          <w:szCs w:val="20"/>
          <w:color w:val="auto"/>
        </w:rPr>
      </w:pPr>
      <w:r>
        <w:rPr>
          <w:rFonts w:ascii="Arial" w:cs="Arial" w:eastAsia="Arial" w:hAnsi="Arial"/>
          <w:sz w:val="16"/>
          <w:szCs w:val="16"/>
          <w:color w:val="auto"/>
        </w:rPr>
        <w:t>Additionally, we recorded a $44.3 million gain in 2021 from our equity investment in a healthcare real estate investor/manager following an acquisition of the investee in conjunction with a merger of the investee's co-sponsored non-traded REITs. In connection with this transaction, we received distributions of $7.8 million cash and units in the operating company of the new combined non-traded healthcare REIT, valued at its net asset value.</w:t>
      </w:r>
    </w:p>
    <w:p>
      <w:pPr>
        <w:spacing w:after="0" w:line="89"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color w:val="auto"/>
        </w:rPr>
        <w:t>2021 also included higher unrealized gains from an equity investment following a merger of the investee into a special purpose acquisition company in 2021, and our limited partnership interests in DBP I and DBP II, specifically our share of fair value increases on the underlying investments of these funds.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 Benefit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benefit increased $53.5 million, which can be attributed primarily to the following:</w:t>
      </w:r>
    </w:p>
    <w:p>
      <w:pPr>
        <w:spacing w:after="0" w:line="50" w:lineRule="exact"/>
        <w:rPr>
          <w:sz w:val="20"/>
          <w:szCs w:val="20"/>
          <w:color w:val="auto"/>
        </w:rPr>
      </w:pPr>
    </w:p>
    <w:p>
      <w:pPr>
        <w:ind w:left="480" w:right="160" w:hanging="136"/>
        <w:spacing w:after="0" w:line="248" w:lineRule="auto"/>
        <w:tabs>
          <w:tab w:leader="none" w:pos="4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$66.8 million net deferred tax benefit at our DataBank subsidiary, driven by the write-off of deferred tax liabilities as DataBank completed its restructuring to qualify as a REIT in the second quarter and expects to elect REIT status for the 2021 taxable year; and</w:t>
      </w:r>
    </w:p>
    <w:p>
      <w:pPr>
        <w:spacing w:after="0" w:line="40" w:lineRule="exact"/>
        <w:rPr>
          <w:rFonts w:ascii="Arial" w:cs="Arial" w:eastAsia="Arial" w:hAnsi="Arial"/>
          <w:sz w:val="16"/>
          <w:szCs w:val="16"/>
          <w:color w:val="auto"/>
        </w:rPr>
      </w:pPr>
    </w:p>
    <w:p>
      <w:pPr>
        <w:ind w:left="480" w:hanging="136"/>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 in compensation expense, primarily significant severance costs in 2021; partially offset by</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higher income tax expense on our investment management business resulting from significant growth in fee income in 2021; and</w:t>
      </w:r>
    </w:p>
    <w:p>
      <w:pPr>
        <w:spacing w:after="0" w:line="33" w:lineRule="exact"/>
        <w:rPr>
          <w:rFonts w:ascii="Arial" w:cs="Arial" w:eastAsia="Arial" w:hAnsi="Arial"/>
          <w:sz w:val="16"/>
          <w:szCs w:val="16"/>
          <w:color w:val="auto"/>
        </w:rPr>
      </w:pPr>
    </w:p>
    <w:p>
      <w:pPr>
        <w:ind w:left="480" w:right="160" w:hanging="136"/>
        <w:spacing w:after="0" w:line="268" w:lineRule="auto"/>
        <w:tabs>
          <w:tab w:leader="none" w:pos="476" w:val="left"/>
        </w:tabs>
        <w:numPr>
          <w:ilvl w:val="0"/>
          <w:numId w:val="48"/>
        </w:numPr>
        <w:rPr>
          <w:rFonts w:ascii="Arial" w:cs="Arial" w:eastAsia="Arial" w:hAnsi="Arial"/>
          <w:sz w:val="16"/>
          <w:szCs w:val="16"/>
          <w:i w:val="1"/>
          <w:iCs w:val="1"/>
          <w:color w:val="auto"/>
        </w:rPr>
      </w:pPr>
      <w:r>
        <w:rPr>
          <w:rFonts w:ascii="Arial" w:cs="Arial" w:eastAsia="Arial" w:hAnsi="Arial"/>
          <w:sz w:val="16"/>
          <w:szCs w:val="16"/>
          <w:color w:val="auto"/>
        </w:rPr>
        <w:t xml:space="preserve">deferred tax expense recognized in 2021 on an unrealized gain from our equity investment in a non-traded healthcare REIT (as discussed under </w:t>
      </w:r>
      <w:r>
        <w:rPr>
          <w:rFonts w:ascii="Arial" w:cs="Arial" w:eastAsia="Arial" w:hAnsi="Arial"/>
          <w:sz w:val="16"/>
          <w:szCs w:val="16"/>
          <w:i w:val="1"/>
          <w:iCs w:val="1"/>
          <w:color w:val="auto"/>
        </w:rPr>
        <w:t>"—Equity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Earnings (Losses)"</w:t>
      </w:r>
      <w:r>
        <w:rPr>
          <w:rFonts w:ascii="Arial" w:cs="Arial" w:eastAsia="Arial" w:hAnsi="Arial"/>
          <w:sz w:val="16"/>
          <w:szCs w:val="16"/>
          <w:color w:val="auto"/>
        </w:rPr>
        <w: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Loss from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17"/>
        </w:trPr>
        <w:tc>
          <w:tcPr>
            <w:tcW w:w="71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0"/>
                <w:szCs w:val="10"/>
                <w:color w:val="auto"/>
              </w:rPr>
            </w:pPr>
          </w:p>
        </w:tc>
        <w:tc>
          <w:tcPr>
            <w:tcW w:w="1000" w:type="dxa"/>
            <w:vAlign w:val="bottom"/>
          </w:tcPr>
          <w:p>
            <w:pPr>
              <w:jc w:val="right"/>
              <w:ind w:right="473"/>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2"/>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right"/>
              <w:ind w:right="392"/>
              <w:spacing w:after="0" w:line="117"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4"/>
        </w:trPr>
        <w:tc>
          <w:tcPr>
            <w:tcW w:w="716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843,659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1,414,430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(570,771)</w:t>
            </w:r>
          </w:p>
        </w:tc>
      </w:tr>
      <w:tr>
        <w:trPr>
          <w:trHeight w:val="185"/>
        </w:trPr>
        <w:tc>
          <w:tcPr>
            <w:tcW w:w="7160" w:type="dxa"/>
            <w:vAlign w:val="bottom"/>
            <w:gridSpan w:val="2"/>
          </w:tcPr>
          <w:p>
            <w:pPr>
              <w:ind w:left="10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(1,282,168)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(4,217,744)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2,935,576</w:t>
            </w:r>
          </w:p>
        </w:tc>
      </w:tr>
      <w:tr>
        <w:trPr>
          <w:trHeight w:val="189"/>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loss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(356,337)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244,658</w:t>
            </w:r>
          </w:p>
        </w:tc>
      </w:tr>
      <w:tr>
        <w:trPr>
          <w:trHeight w:val="185"/>
        </w:trPr>
        <w:tc>
          <w:tcPr>
            <w:tcW w:w="7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(49,900)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(39,671)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(10,229)</w:t>
            </w:r>
          </w:p>
        </w:tc>
      </w:tr>
      <w:tr>
        <w:trPr>
          <w:trHeight w:val="181"/>
        </w:trPr>
        <w:tc>
          <w:tcPr>
            <w:tcW w:w="7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discontinued operations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(3,199,322)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2,599,234</w:t>
            </w:r>
          </w:p>
        </w:tc>
      </w:tr>
      <w:tr>
        <w:trPr>
          <w:trHeight w:val="185"/>
        </w:trPr>
        <w:tc>
          <w:tcPr>
            <w:tcW w:w="7160" w:type="dxa"/>
            <w:vAlign w:val="bottom"/>
            <w:gridSpan w:val="2"/>
          </w:tcPr>
          <w:p>
            <w:pPr>
              <w:spacing w:after="0"/>
              <w:rPr>
                <w:sz w:val="20"/>
                <w:szCs w:val="20"/>
                <w:color w:val="auto"/>
              </w:rPr>
            </w:pPr>
            <w:r>
              <w:rPr>
                <w:rFonts w:ascii="Arial" w:cs="Arial" w:eastAsia="Arial" w:hAnsi="Arial"/>
                <w:sz w:val="14"/>
                <w:szCs w:val="14"/>
                <w:color w:val="auto"/>
              </w:rPr>
              <w:t>Loss from discontinued operations attributable to noncontrolling interests: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1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 entities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(337,685)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(712,771)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375,086</w:t>
            </w:r>
          </w:p>
        </w:tc>
      </w:tr>
      <w:tr>
        <w:trPr>
          <w:trHeight w:val="185"/>
        </w:trPr>
        <w:tc>
          <w:tcPr>
            <w:tcW w:w="7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Operating Company</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(246,540)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221,595</w:t>
            </w:r>
          </w:p>
        </w:tc>
      </w:tr>
      <w:tr>
        <w:trPr>
          <w:trHeight w:val="206"/>
        </w:trPr>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discontinued operations attributable to DigitalBridge Group, Inc.</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(237,458)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(2,240,011)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2,002,553</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4"/>
          <w:szCs w:val="14"/>
          <w:color w:val="auto"/>
        </w:rPr>
        <w:t>Discontinued operations represent primarily the operations of the following businesses: (1) Wellness Infrastructure; (2) opportunistic investments in our OED portfolio and credit investment management business in Other IM prior to disposition of our equity interest and deconsolidation in December 2021; and (3) the Company's hotel business prior to its disposition in March 2021, with the remaining hotel portfolio that was in receivership sold by the lender in September 2021.</w:t>
      </w:r>
    </w:p>
    <w:p>
      <w:pPr>
        <w:spacing w:after="0" w:line="55"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Losses in both years are driven by significant impairment expense and decreases in asset fair values, particularly in the second quarter of 2020. Our determination to accelerate our digital transformation in the second quarter of 2020 necessitated an assumption of accelerated monetization of all of our non-digital businesses in estimating recoverable values and in combination with the negative economic effects of COVID-19, resulted in significant write-down in asset values. In 2021, asset values were further written-down, but to a much lesser extent than in 2020, based upon the respective sales price for our Wellness Infrastructure, and OED and Other IM business.</w:t>
      </w:r>
    </w:p>
    <w:p>
      <w:pPr>
        <w:spacing w:after="0" w:line="90" w:lineRule="exact"/>
        <w:rPr>
          <w:sz w:val="20"/>
          <w:szCs w:val="20"/>
          <w:color w:val="auto"/>
        </w:rPr>
      </w:pPr>
    </w:p>
    <w:p>
      <w:pPr>
        <w:ind w:right="360" w:firstLine="351"/>
        <w:spacing w:after="0" w:line="248" w:lineRule="auto"/>
        <w:rPr>
          <w:sz w:val="20"/>
          <w:szCs w:val="20"/>
          <w:color w:val="auto"/>
        </w:rPr>
      </w:pPr>
      <w:r>
        <w:rPr>
          <w:rFonts w:ascii="Arial" w:cs="Arial" w:eastAsia="Arial" w:hAnsi="Arial"/>
          <w:sz w:val="16"/>
          <w:szCs w:val="16"/>
          <w:color w:val="auto"/>
        </w:rPr>
        <w:t>Impairment of our investment assets in 2021 was partially offset by significantly less depreciation and amortization expense and various gains recognized during the year, including a gain on extinguishment of debt on the hotel portfolio that was sold in September 2021.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0" w:firstLine="351"/>
        <w:spacing w:after="0" w:line="248" w:lineRule="auto"/>
        <w:rPr>
          <w:sz w:val="20"/>
          <w:szCs w:val="20"/>
          <w:color w:val="auto"/>
        </w:rPr>
      </w:pPr>
      <w:r>
        <w:rPr>
          <w:rFonts w:ascii="Arial" w:cs="Arial" w:eastAsia="Arial" w:hAnsi="Arial"/>
          <w:sz w:val="16"/>
          <w:szCs w:val="16"/>
          <w:color w:val="auto"/>
        </w:rPr>
        <w:t>A detailed income statement on discontinued operations is included in Note 12 to the consolidated financial statements and the monetization of our discontinued businesses is discussed further under "</w:t>
      </w:r>
      <w:r>
        <w:rPr>
          <w:rFonts w:ascii="Arial" w:cs="Arial" w:eastAsia="Arial" w:hAnsi="Arial"/>
          <w:sz w:val="16"/>
          <w:szCs w:val="16"/>
          <w:i w:val="1"/>
          <w:iCs w:val="1"/>
          <w:color w:val="auto"/>
        </w:rPr>
        <w:t>—Business.</w:t>
      </w:r>
      <w:r>
        <w:rPr>
          <w:rFonts w:ascii="Arial" w:cs="Arial" w:eastAsia="Arial" w:hAnsi="Arial"/>
          <w:sz w:val="16"/>
          <w:szCs w:val="16"/>
          <w:color w:val="auto"/>
        </w:rPr>
        <w:t>"</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Preferred Stock Redemption</w:t>
      </w:r>
    </w:p>
    <w:p>
      <w:pPr>
        <w:spacing w:after="0" w:line="115" w:lineRule="exact"/>
        <w:rPr>
          <w:sz w:val="20"/>
          <w:szCs w:val="20"/>
          <w:color w:val="auto"/>
        </w:rPr>
      </w:pPr>
    </w:p>
    <w:p>
      <w:pPr>
        <w:ind w:right="140" w:firstLine="351"/>
        <w:spacing w:after="0" w:line="246" w:lineRule="auto"/>
        <w:rPr>
          <w:sz w:val="20"/>
          <w:szCs w:val="20"/>
          <w:color w:val="auto"/>
        </w:rPr>
      </w:pPr>
      <w:r>
        <w:rPr>
          <w:rFonts w:ascii="Arial" w:cs="Arial" w:eastAsia="Arial" w:hAnsi="Arial"/>
          <w:sz w:val="16"/>
          <w:szCs w:val="16"/>
          <w:color w:val="auto"/>
        </w:rPr>
        <w:t>In connection with a full redemption of Series G preferred stock in August 2021 and partial redemption of Series H preferred stock in November 2021, net income attributable to common stockholders was reduced by $5.0 million in aggregate, representing the excess of the $25.00 per share redemption price over the carrying value of the preferred stock that is net of issuance cost.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Supplemental Financial Measures</w:t>
      </w:r>
    </w:p>
    <w:p>
      <w:pPr>
        <w:spacing w:after="0" w:line="103" w:lineRule="exact"/>
        <w:rPr>
          <w:sz w:val="20"/>
          <w:szCs w:val="20"/>
          <w:color w:val="auto"/>
        </w:rPr>
      </w:pPr>
    </w:p>
    <w:p>
      <w:pPr>
        <w:ind w:right="40" w:firstLine="386"/>
        <w:spacing w:after="0" w:line="218" w:lineRule="auto"/>
        <w:rPr>
          <w:sz w:val="20"/>
          <w:szCs w:val="20"/>
          <w:color w:val="auto"/>
        </w:rPr>
      </w:pPr>
      <w:r>
        <w:rPr>
          <w:rFonts w:ascii="Arial" w:cs="Arial" w:eastAsia="Arial" w:hAnsi="Arial"/>
          <w:sz w:val="16"/>
          <w:szCs w:val="16"/>
          <w:color w:val="auto"/>
        </w:rPr>
        <w:t>We report funds from operations ("FFO") as an overall non-GAAP supplemental financial measure. For the Digital Operating segment, we also report earnings before interest, tax, depreciation and amortization for real estate ("EBITDA</w:t>
      </w:r>
      <w:r>
        <w:rPr>
          <w:rFonts w:ascii="Arial" w:cs="Arial" w:eastAsia="Arial" w:hAnsi="Arial"/>
          <w:sz w:val="16"/>
          <w:szCs w:val="16"/>
          <w:i w:val="1"/>
          <w:iCs w:val="1"/>
          <w:color w:val="auto"/>
        </w:rPr>
        <w:t>re</w:t>
      </w:r>
      <w:r>
        <w:rPr>
          <w:rFonts w:ascii="Arial" w:cs="Arial" w:eastAsia="Arial" w:hAnsi="Arial"/>
          <w:sz w:val="16"/>
          <w:szCs w:val="16"/>
          <w:color w:val="auto"/>
        </w:rPr>
        <w:t>"), which is a non-GAAP supplemental financial measure widely used by the equity REIT industry. These non-GAAP measures should not be considered alternatives to GAAP net income (loss) as indications of operating performance, or to cash flows from operating activities as measures of liquidity, nor as indications of the availability of funds for our cash needs, including funds available to make distributions. Our calculation of FFO and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may differ from methodologies utilized by other REITs for similar performance measurements, and, accordingly, may not be comparable to those of other REITs.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Funds from Operations</w:t>
      </w:r>
    </w:p>
    <w:p>
      <w:pPr>
        <w:spacing w:after="0" w:line="115"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We calculate FFO in accordance with standards established by the National Association of Real Estate Investment Trusts ("NAREIT"), which defines FFO as net income or loss calculated in accordance with GAAP, excluding (i) real estate-related depreciation and amortization; (ii) impairment of depreciable real estate and impairment of investments in unconsolidated ventures directly attributable to decrease in value of depreciable real estate held by the venture; (iii) gain from sale of depreciable real estate; (iv) gain or loss from a change in control in connection with interests in depreciable real estate or in-substance real estate; and (v) adjustments to reflect the Company's share of FFO from investments in unconsolidated ventures. Included in FFO are gains and losses from sales of assets which are not depreciable real estate such as loans receivable, equity investments, and debt securities, as applicable.</w:t>
      </w:r>
    </w:p>
    <w:p>
      <w:pPr>
        <w:spacing w:after="0" w:line="94"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We believe that FFO is a meaningful supplemental measure of the operating performance of our business because historical cost accounting for real estate assets in accordance with GAAP assumes that the value of real estate assets diminishes predictably over time, as reflected through depreciation. Because real estate values fluctuate with market conditions, management considers FFO an appropriate supplemental performance measure by excluding historical cost depreciation, gains related to sales of previously depreciated real estate, and impairment of previously depreciated real estate which is an early recognition of loss on sale.</w:t>
      </w:r>
    </w:p>
    <w:p>
      <w:pPr>
        <w:spacing w:after="0" w:line="90" w:lineRule="exact"/>
        <w:rPr>
          <w:sz w:val="20"/>
          <w:szCs w:val="20"/>
          <w:color w:val="auto"/>
        </w:rPr>
      </w:pPr>
    </w:p>
    <w:p>
      <w:pPr>
        <w:jc w:val="both"/>
        <w:ind w:right="420" w:firstLine="351"/>
        <w:spacing w:after="0" w:line="246" w:lineRule="auto"/>
        <w:rPr>
          <w:sz w:val="20"/>
          <w:szCs w:val="20"/>
          <w:color w:val="auto"/>
        </w:rPr>
      </w:pPr>
      <w:r>
        <w:rPr>
          <w:rFonts w:ascii="Arial" w:cs="Arial" w:eastAsia="Arial" w:hAnsi="Arial"/>
          <w:sz w:val="16"/>
          <w:szCs w:val="16"/>
          <w:color w:val="auto"/>
        </w:rPr>
        <w:t>The following table presents a reconciliation of net income (loss) attributable to common stockholders to FFO attributable to common interests in OP and common stockholders, both of which include results from discontinued operations. Amounts in the table include our share of the relevant activities from equity method investments, where applicable.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0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(2,750,782)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(1,152,207)</w:t>
            </w:r>
          </w:p>
        </w:tc>
        <w:tc>
          <w:tcPr>
            <w:tcW w:w="0" w:type="dxa"/>
            <w:vAlign w:val="bottom"/>
          </w:tcPr>
          <w:p>
            <w:pPr>
              <w:spacing w:after="0"/>
              <w:rPr>
                <w:sz w:val="1"/>
                <w:szCs w:val="1"/>
                <w:color w:val="auto"/>
              </w:rPr>
            </w:pP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color w:val="auto"/>
              </w:rPr>
              <w:t>Adjustments for FFO attributable to common interests in OP and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loss attributable to noncontrolling common interests in Operating Company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(93,027)</w:t>
            </w:r>
          </w:p>
        </w:tc>
        <w:tc>
          <w:tcPr>
            <w:tcW w:w="0" w:type="dxa"/>
            <w:vAlign w:val="bottom"/>
          </w:tcPr>
          <w:p>
            <w:pPr>
              <w:spacing w:after="0"/>
              <w:rPr>
                <w:sz w:val="1"/>
                <w:szCs w:val="1"/>
                <w:color w:val="auto"/>
              </w:rPr>
            </w:pPr>
          </w:p>
        </w:tc>
      </w:tr>
      <w:tr>
        <w:trPr>
          <w:trHeight w:val="154"/>
        </w:trPr>
        <w:tc>
          <w:tcPr>
            <w:tcW w:w="700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Real estate depreciation and amortization ($110,314, $340,360 and $512,508 related to discontinued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000" w:type="dxa"/>
            <w:vAlign w:val="bottom"/>
            <w:gridSpan w:val="2"/>
          </w:tcPr>
          <w:p>
            <w:pPr>
              <w:ind w:left="220"/>
              <w:spacing w:after="0"/>
              <w:rPr>
                <w:sz w:val="20"/>
                <w:szCs w:val="20"/>
                <w:color w:val="auto"/>
              </w:rPr>
            </w:pPr>
            <w:r>
              <w:rPr>
                <w:rFonts w:ascii="Arial" w:cs="Arial" w:eastAsia="Arial" w:hAnsi="Arial"/>
                <w:sz w:val="14"/>
                <w:szCs w:val="14"/>
                <w:color w:val="auto"/>
              </w:rPr>
              <w:t>operations)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595,527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561,195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548,766</w:t>
            </w:r>
          </w:p>
        </w:tc>
        <w:tc>
          <w:tcPr>
            <w:tcW w:w="0" w:type="dxa"/>
            <w:vAlign w:val="bottom"/>
          </w:tcPr>
          <w:p>
            <w:pPr>
              <w:spacing w:after="0"/>
              <w:rPr>
                <w:sz w:val="1"/>
                <w:szCs w:val="1"/>
                <w:color w:val="auto"/>
              </w:rPr>
            </w:pPr>
          </w:p>
        </w:tc>
      </w:tr>
      <w:tr>
        <w:trPr>
          <w:trHeight w:val="18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Impairment of real estate ($300,038, $1,956,662 and $347,158 related to discontinued operations)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300,038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1,956,662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351,395</w:t>
            </w:r>
          </w:p>
        </w:tc>
        <w:tc>
          <w:tcPr>
            <w:tcW w:w="0" w:type="dxa"/>
            <w:vAlign w:val="bottom"/>
          </w:tcPr>
          <w:p>
            <w:pPr>
              <w:spacing w:after="0"/>
              <w:rPr>
                <w:sz w:val="1"/>
                <w:szCs w:val="1"/>
                <w:color w:val="auto"/>
              </w:rPr>
            </w:pPr>
          </w:p>
        </w:tc>
      </w:tr>
      <w:tr>
        <w:trPr>
          <w:trHeight w:val="185"/>
        </w:trPr>
        <w:tc>
          <w:tcPr>
            <w:tcW w:w="7000" w:type="dxa"/>
            <w:vAlign w:val="bottom"/>
            <w:gridSpan w:val="2"/>
          </w:tcPr>
          <w:p>
            <w:pPr>
              <w:ind w:left="140"/>
              <w:spacing w:after="0"/>
              <w:rPr>
                <w:sz w:val="20"/>
                <w:szCs w:val="20"/>
                <w:color w:val="auto"/>
              </w:rPr>
            </w:pPr>
            <w:r>
              <w:rPr>
                <w:rFonts w:ascii="Arial" w:cs="Arial" w:eastAsia="Arial" w:hAnsi="Arial"/>
                <w:sz w:val="14"/>
                <w:szCs w:val="14"/>
                <w:color w:val="auto"/>
              </w:rPr>
              <w:t>Gain on sale of real estate</w:t>
            </w:r>
            <w:r>
              <w:rPr>
                <w:rFonts w:ascii="Arial" w:cs="Arial" w:eastAsia="Arial" w:hAnsi="Arial"/>
                <w:sz w:val="14"/>
                <w:szCs w:val="14"/>
                <w:i w:val="1"/>
                <w:iCs w:val="1"/>
                <w:color w:val="auto"/>
              </w:rPr>
              <w:t>—</w:t>
            </w:r>
            <w:r>
              <w:rPr>
                <w:rFonts w:ascii="Arial" w:cs="Arial" w:eastAsia="Arial" w:hAnsi="Arial"/>
                <w:sz w:val="14"/>
                <w:szCs w:val="14"/>
                <w:color w:val="auto"/>
              </w:rPr>
              <w:t>discontinued operations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(41,782)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(1,524,290)</w:t>
            </w:r>
          </w:p>
        </w:tc>
        <w:tc>
          <w:tcPr>
            <w:tcW w:w="0" w:type="dxa"/>
            <w:vAlign w:val="bottom"/>
          </w:tcPr>
          <w:p>
            <w:pPr>
              <w:spacing w:after="0"/>
              <w:rPr>
                <w:sz w:val="1"/>
                <w:szCs w:val="1"/>
                <w:color w:val="auto"/>
              </w:rPr>
            </w:pPr>
          </w:p>
        </w:tc>
      </w:tr>
      <w:tr>
        <w:trPr>
          <w:trHeight w:val="189"/>
        </w:trPr>
        <w:tc>
          <w:tcPr>
            <w:tcW w:w="70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Adjustments attributable to noncontrolling interests in investment entities</w:t>
            </w:r>
            <w:r>
              <w:rPr>
                <w:rFonts w:ascii="Arial" w:cs="Arial" w:eastAsia="Arial" w:hAnsi="Arial"/>
                <w:sz w:val="18"/>
                <w:szCs w:val="18"/>
                <w:color w:val="auto"/>
                <w:vertAlign w:val="superscript"/>
              </w:rPr>
              <w:t>(1)</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(535,756)</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(638,709)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719,225</w:t>
            </w:r>
          </w:p>
        </w:tc>
        <w:tc>
          <w:tcPr>
            <w:tcW w:w="0" w:type="dxa"/>
            <w:vAlign w:val="bottom"/>
          </w:tcPr>
          <w:p>
            <w:pPr>
              <w:spacing w:after="0"/>
              <w:rPr>
                <w:sz w:val="1"/>
                <w:szCs w:val="1"/>
                <w:color w:val="auto"/>
              </w:rPr>
            </w:pPr>
          </w:p>
        </w:tc>
      </w:tr>
      <w:tr>
        <w:trPr>
          <w:trHeight w:val="134"/>
        </w:trPr>
        <w:tc>
          <w:tcPr>
            <w:tcW w:w="7000" w:type="dxa"/>
            <w:vAlign w:val="bottom"/>
            <w:gridSpan w:val="2"/>
          </w:tcPr>
          <w:p>
            <w:pPr>
              <w:spacing w:after="0" w:line="134" w:lineRule="exact"/>
              <w:rPr>
                <w:sz w:val="20"/>
                <w:szCs w:val="20"/>
                <w:color w:val="auto"/>
              </w:rPr>
            </w:pPr>
            <w:r>
              <w:rPr>
                <w:rFonts w:ascii="Arial" w:cs="Arial" w:eastAsia="Arial" w:hAnsi="Arial"/>
                <w:sz w:val="14"/>
                <w:szCs w:val="14"/>
                <w:color w:val="auto"/>
              </w:rPr>
              <w:t>FFO attributable to common interests in OP and common stockholders ($(34,842), $(704,165) and $(534,574)</w:t>
            </w:r>
          </w:p>
        </w:tc>
        <w:tc>
          <w:tcPr>
            <w:tcW w:w="3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(108,200)</w:t>
            </w:r>
          </w:p>
        </w:tc>
        <w:tc>
          <w:tcPr>
            <w:tcW w:w="8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(1,216,266)</w:t>
            </w:r>
          </w:p>
        </w:tc>
        <w:tc>
          <w:tcPr>
            <w:tcW w:w="100" w:type="dxa"/>
            <w:vAlign w:val="bottom"/>
          </w:tcPr>
          <w:p>
            <w:pPr>
              <w:spacing w:after="0"/>
              <w:rPr>
                <w:sz w:val="11"/>
                <w:szCs w:val="11"/>
                <w:color w:val="auto"/>
              </w:rPr>
            </w:pPr>
          </w:p>
        </w:tc>
        <w:tc>
          <w:tcPr>
            <w:tcW w:w="3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(1,150,138)</w:t>
            </w:r>
          </w:p>
        </w:tc>
        <w:tc>
          <w:tcPr>
            <w:tcW w:w="0" w:type="dxa"/>
            <w:vAlign w:val="bottom"/>
          </w:tcPr>
          <w:p>
            <w:pPr>
              <w:spacing w:after="0"/>
              <w:rPr>
                <w:sz w:val="1"/>
                <w:szCs w:val="1"/>
                <w:color w:val="auto"/>
              </w:rPr>
            </w:pPr>
          </w:p>
        </w:tc>
      </w:tr>
      <w:tr>
        <w:trPr>
          <w:trHeight w:val="155"/>
        </w:trPr>
        <w:tc>
          <w:tcPr>
            <w:tcW w:w="7000" w:type="dxa"/>
            <w:vAlign w:val="bottom"/>
            <w:gridSpan w:val="2"/>
          </w:tcPr>
          <w:p>
            <w:pPr>
              <w:ind w:left="80"/>
              <w:spacing w:after="0" w:line="151" w:lineRule="exact"/>
              <w:rPr>
                <w:sz w:val="20"/>
                <w:szCs w:val="20"/>
                <w:color w:val="auto"/>
              </w:rPr>
            </w:pPr>
            <w:r>
              <w:rPr>
                <w:rFonts w:ascii="Arial" w:cs="Arial" w:eastAsia="Arial" w:hAnsi="Arial"/>
                <w:sz w:val="14"/>
                <w:szCs w:val="14"/>
                <w:color w:val="auto"/>
              </w:rPr>
              <w:t>related to discontinued operations)</w:t>
            </w:r>
          </w:p>
        </w:tc>
        <w:tc>
          <w:tcPr>
            <w:tcW w:w="32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8" w:name="page59"/>
    <w:bookmarkEnd w:id="58"/>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ind w:left="306" w:hanging="306"/>
        <w:spacing w:after="0"/>
        <w:tabs>
          <w:tab w:leader="none" w:pos="306"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The components of adjustments attributable to noncontrolling interests in investment entities for FFO are as follows:</w:t>
      </w:r>
    </w:p>
    <w:p>
      <w:pPr>
        <w:spacing w:after="0" w:line="134" w:lineRule="exact"/>
        <w:rPr>
          <w:sz w:val="20"/>
          <w:szCs w:val="20"/>
          <w:color w:val="auto"/>
        </w:rPr>
      </w:pPr>
    </w:p>
    <w:tbl>
      <w:tblPr>
        <w:tblLayout w:type="fixed"/>
        <w:tblInd w:w="206"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60" w:type="dxa"/>
            <w:vAlign w:val="bottom"/>
            <w:gridSpan w:val="3"/>
          </w:tcPr>
          <w:p>
            <w:pPr>
              <w:ind w:left="240"/>
              <w:spacing w:after="0" w:line="117" w:lineRule="exact"/>
              <w:rPr>
                <w:sz w:val="20"/>
                <w:szCs w:val="20"/>
                <w:color w:val="auto"/>
              </w:rPr>
            </w:pPr>
            <w:r>
              <w:rPr>
                <w:rFonts w:ascii="Arial" w:cs="Arial" w:eastAsia="Arial" w:hAnsi="Arial"/>
                <w:sz w:val="11"/>
                <w:szCs w:val="11"/>
                <w:b w:val="1"/>
                <w:bCs w:val="1"/>
                <w:color w:val="auto"/>
              </w:rPr>
              <w:t>(In thousands)</w:t>
            </w:r>
          </w:p>
        </w:tc>
        <w:tc>
          <w:tcPr>
            <w:tcW w:w="520" w:type="dxa"/>
            <w:vAlign w:val="bottom"/>
          </w:tcPr>
          <w:p>
            <w:pPr>
              <w:spacing w:after="0"/>
              <w:rPr>
                <w:sz w:val="10"/>
                <w:szCs w:val="10"/>
                <w:color w:val="auto"/>
              </w:rPr>
            </w:pPr>
          </w:p>
        </w:tc>
        <w:tc>
          <w:tcPr>
            <w:tcW w:w="1000" w:type="dxa"/>
            <w:vAlign w:val="bottom"/>
          </w:tcPr>
          <w:p>
            <w:pPr>
              <w:jc w:val="right"/>
              <w:ind w:right="479"/>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jc w:val="right"/>
              <w:ind w:right="479"/>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right"/>
              <w:ind w:right="481"/>
              <w:spacing w:after="0"/>
              <w:rPr>
                <w:sz w:val="20"/>
                <w:szCs w:val="20"/>
                <w:color w:val="auto"/>
              </w:rPr>
            </w:pPr>
            <w:r>
              <w:rPr>
                <w:rFonts w:ascii="Arial" w:cs="Arial" w:eastAsia="Arial" w:hAnsi="Arial"/>
                <w:sz w:val="9"/>
                <w:szCs w:val="9"/>
                <w:b w:val="1"/>
                <w:bCs w:val="1"/>
                <w:color w:val="auto"/>
              </w:rPr>
              <w:t>2019</w:t>
            </w: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FFO adjustments attributable to noncontrolling interests in investment entities:</w:t>
            </w: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60" w:type="dxa"/>
            <w:vAlign w:val="bottom"/>
            <w:gridSpan w:val="3"/>
          </w:tcPr>
          <w:p>
            <w:pPr>
              <w:ind w:left="160"/>
              <w:spacing w:after="0" w:line="133" w:lineRule="exact"/>
              <w:rPr>
                <w:sz w:val="20"/>
                <w:szCs w:val="20"/>
                <w:color w:val="auto"/>
              </w:rPr>
            </w:pPr>
            <w:r>
              <w:rPr>
                <w:rFonts w:ascii="Arial" w:cs="Arial" w:eastAsia="Arial" w:hAnsi="Arial"/>
                <w:sz w:val="12"/>
                <w:szCs w:val="12"/>
                <w:color w:val="auto"/>
              </w:rPr>
              <w:t>Real estate depreciation and amortization ($31,696, $83,622 and $168,787 related to discontinued</w:t>
            </w:r>
          </w:p>
        </w:tc>
        <w:tc>
          <w:tcPr>
            <w:tcW w:w="520" w:type="dxa"/>
            <w:vAlign w:val="bottom"/>
            <w:vMerge w:val="restart"/>
          </w:tcPr>
          <w:p>
            <w:pPr>
              <w:jc w:val="right"/>
              <w:ind w:right="158"/>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426,443</w:t>
            </w:r>
          </w:p>
        </w:tc>
        <w:tc>
          <w:tcPr>
            <w:tcW w:w="100" w:type="dxa"/>
            <w:vAlign w:val="bottom"/>
          </w:tcPr>
          <w:p>
            <w:pPr>
              <w:spacing w:after="0"/>
              <w:rPr>
                <w:sz w:val="11"/>
                <w:szCs w:val="11"/>
                <w:color w:val="auto"/>
              </w:rPr>
            </w:pPr>
          </w:p>
        </w:tc>
        <w:tc>
          <w:tcPr>
            <w:tcW w:w="520" w:type="dxa"/>
            <w:vAlign w:val="bottom"/>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259,543</w:t>
            </w:r>
          </w:p>
        </w:tc>
        <w:tc>
          <w:tcPr>
            <w:tcW w:w="80" w:type="dxa"/>
            <w:vAlign w:val="bottom"/>
          </w:tcPr>
          <w:p>
            <w:pPr>
              <w:spacing w:after="0"/>
              <w:rPr>
                <w:sz w:val="11"/>
                <w:szCs w:val="11"/>
                <w:color w:val="auto"/>
              </w:rPr>
            </w:pPr>
          </w:p>
        </w:tc>
        <w:tc>
          <w:tcPr>
            <w:tcW w:w="540" w:type="dxa"/>
            <w:vAlign w:val="bottom"/>
            <w:vMerge w:val="restart"/>
          </w:tcPr>
          <w:p>
            <w:pPr>
              <w:jc w:val="right"/>
              <w:ind w:right="178"/>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170,024</w:t>
            </w:r>
          </w:p>
        </w:tc>
        <w:tc>
          <w:tcPr>
            <w:tcW w:w="0" w:type="dxa"/>
            <w:vAlign w:val="bottom"/>
          </w:tcPr>
          <w:p>
            <w:pPr>
              <w:spacing w:after="0"/>
              <w:rPr>
                <w:sz w:val="1"/>
                <w:szCs w:val="1"/>
                <w:color w:val="auto"/>
              </w:rPr>
            </w:pPr>
          </w:p>
        </w:tc>
      </w:tr>
      <w:tr>
        <w:trPr>
          <w:trHeight w:val="148"/>
        </w:trPr>
        <w:tc>
          <w:tcPr>
            <w:tcW w:w="6060" w:type="dxa"/>
            <w:vAlign w:val="bottom"/>
            <w:gridSpan w:val="3"/>
          </w:tcPr>
          <w:p>
            <w:pPr>
              <w:ind w:left="240"/>
              <w:spacing w:after="0"/>
              <w:rPr>
                <w:sz w:val="20"/>
                <w:szCs w:val="20"/>
                <w:color w:val="auto"/>
              </w:rPr>
            </w:pPr>
            <w:r>
              <w:rPr>
                <w:rFonts w:ascii="Arial" w:cs="Arial" w:eastAsia="Arial" w:hAnsi="Arial"/>
                <w:sz w:val="12"/>
                <w:szCs w:val="12"/>
                <w:color w:val="auto"/>
              </w:rPr>
              <w:t>operations)</w:t>
            </w:r>
          </w:p>
        </w:tc>
        <w:tc>
          <w:tcPr>
            <w:tcW w:w="5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Impairment of real estate</w:t>
            </w:r>
            <w:r>
              <w:rPr>
                <w:rFonts w:ascii="Arial" w:cs="Arial" w:eastAsia="Arial" w:hAnsi="Arial"/>
                <w:sz w:val="12"/>
                <w:szCs w:val="12"/>
                <w:i w:val="1"/>
                <w:iCs w:val="1"/>
                <w:color w:val="auto"/>
              </w:rPr>
              <w:t>—</w:t>
            </w:r>
            <w:r>
              <w:rPr>
                <w:rFonts w:ascii="Arial" w:cs="Arial" w:eastAsia="Arial" w:hAnsi="Arial"/>
                <w:sz w:val="12"/>
                <w:szCs w:val="12"/>
                <w:color w:val="auto"/>
              </w:rPr>
              <w:t>discontinued operations</w:t>
            </w: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403,770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111,231</w:t>
            </w:r>
          </w:p>
        </w:tc>
        <w:tc>
          <w:tcPr>
            <w:tcW w:w="0" w:type="dxa"/>
            <w:vAlign w:val="bottom"/>
          </w:tcPr>
          <w:p>
            <w:pPr>
              <w:spacing w:after="0"/>
              <w:rPr>
                <w:sz w:val="1"/>
                <w:szCs w:val="1"/>
                <w:color w:val="auto"/>
              </w:rPr>
            </w:pPr>
          </w:p>
        </w:tc>
      </w:tr>
      <w:tr>
        <w:trPr>
          <w:trHeight w:val="164"/>
        </w:trPr>
        <w:tc>
          <w:tcPr>
            <w:tcW w:w="6060" w:type="dxa"/>
            <w:vAlign w:val="bottom"/>
            <w:tcBorders>
              <w:bottom w:val="single" w:sz="8" w:color="CCEEFF"/>
            </w:tcBorders>
            <w:gridSpan w:val="3"/>
          </w:tcPr>
          <w:p>
            <w:pPr>
              <w:ind w:left="160"/>
              <w:spacing w:after="0"/>
              <w:rPr>
                <w:sz w:val="20"/>
                <w:szCs w:val="20"/>
                <w:color w:val="auto"/>
              </w:rPr>
            </w:pPr>
            <w:r>
              <w:rPr>
                <w:rFonts w:ascii="Arial" w:cs="Arial" w:eastAsia="Arial" w:hAnsi="Arial"/>
                <w:sz w:val="12"/>
                <w:szCs w:val="12"/>
                <w:color w:val="auto"/>
              </w:rPr>
              <w:t>Gain on sale of real estate</w:t>
            </w:r>
            <w:r>
              <w:rPr>
                <w:rFonts w:ascii="Arial" w:cs="Arial" w:eastAsia="Arial" w:hAnsi="Arial"/>
                <w:sz w:val="12"/>
                <w:szCs w:val="12"/>
                <w:i w:val="1"/>
                <w:iCs w:val="1"/>
                <w:color w:val="auto"/>
              </w:rPr>
              <w:t>—</w:t>
            </w:r>
            <w:r>
              <w:rPr>
                <w:rFonts w:ascii="Arial" w:cs="Arial" w:eastAsia="Arial" w:hAnsi="Arial"/>
                <w:sz w:val="12"/>
                <w:szCs w:val="12"/>
                <w:color w:val="auto"/>
              </w:rPr>
              <w:t>discontinued operations</w:t>
            </w: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(24,604)</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(1,000,480)</w:t>
            </w:r>
          </w:p>
        </w:tc>
        <w:tc>
          <w:tcPr>
            <w:tcW w:w="0" w:type="dxa"/>
            <w:vAlign w:val="bottom"/>
          </w:tcPr>
          <w:p>
            <w:pPr>
              <w:spacing w:after="0"/>
              <w:rPr>
                <w:sz w:val="1"/>
                <w:szCs w:val="1"/>
                <w:color w:val="auto"/>
              </w:rPr>
            </w:pPr>
          </w:p>
        </w:tc>
      </w:tr>
      <w:tr>
        <w:trPr>
          <w:trHeight w:val="180"/>
        </w:trPr>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535,756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638,709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(719,225)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46"/>
        <w:spacing w:after="0"/>
        <w:rPr>
          <w:sz w:val="20"/>
          <w:szCs w:val="20"/>
          <w:color w:val="auto"/>
        </w:rPr>
      </w:pPr>
      <w:r>
        <w:rPr>
          <w:rFonts w:ascii="Arial" w:cs="Arial" w:eastAsia="Arial" w:hAnsi="Arial"/>
          <w:sz w:val="16"/>
          <w:szCs w:val="16"/>
          <w:b w:val="1"/>
          <w:bCs w:val="1"/>
          <w:i w:val="1"/>
          <w:iCs w:val="1"/>
          <w:color w:val="auto"/>
        </w:rPr>
        <w:t>EBITDAre</w:t>
      </w:r>
    </w:p>
    <w:p>
      <w:pPr>
        <w:spacing w:after="0" w:line="99" w:lineRule="exact"/>
        <w:rPr>
          <w:sz w:val="20"/>
          <w:szCs w:val="20"/>
          <w:color w:val="auto"/>
        </w:rPr>
      </w:pPr>
    </w:p>
    <w:p>
      <w:pPr>
        <w:ind w:left="6" w:right="240" w:firstLine="351"/>
        <w:spacing w:after="0" w:line="294" w:lineRule="auto"/>
        <w:rPr>
          <w:sz w:val="20"/>
          <w:szCs w:val="20"/>
          <w:color w:val="auto"/>
        </w:rPr>
      </w:pPr>
      <w:r>
        <w:rPr>
          <w:rFonts w:ascii="Arial" w:cs="Arial" w:eastAsia="Arial" w:hAnsi="Arial"/>
          <w:sz w:val="14"/>
          <w:szCs w:val="14"/>
          <w:color w:val="auto"/>
        </w:rPr>
        <w:t>We calculate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for our Digital Operating segment in accordance with standards established by NAREIT, which defines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as net income or loss calculated in accordance with GAAP, excluding (i) interest expense; (ii) income tax benefit or expense; (iii) depreciation and amortization; (iv) impairment of depreciable real estate and impairment of investments in unconsolidated ventures directly attributable to decrease in value of depreciable real estate held by the venture; (v) gain on disposition of depreciated real estate; (vi) gain or loss from a change in control in connection with interests in depreciable real estate or in-substance real estate; and (vii) adjustments to reflect the Company's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investments in unconsolidated ventures.</w:t>
      </w:r>
    </w:p>
    <w:p>
      <w:pPr>
        <w:spacing w:after="0" w:line="43" w:lineRule="exact"/>
        <w:rPr>
          <w:sz w:val="20"/>
          <w:szCs w:val="20"/>
          <w:color w:val="auto"/>
        </w:rPr>
      </w:pPr>
    </w:p>
    <w:p>
      <w:pPr>
        <w:ind w:left="6" w:right="80" w:firstLine="351"/>
        <w:spacing w:after="0" w:line="250" w:lineRule="auto"/>
        <w:rPr>
          <w:sz w:val="20"/>
          <w:szCs w:val="20"/>
          <w:color w:val="auto"/>
        </w:rPr>
      </w:pPr>
      <w:r>
        <w:rPr>
          <w:rFonts w:ascii="Arial" w:cs="Arial" w:eastAsia="Arial" w:hAnsi="Arial"/>
          <w:sz w:val="16"/>
          <w:szCs w:val="16"/>
          <w:color w:val="auto"/>
        </w:rPr>
        <w:t>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represents a widely known supplemental measure of performance, EBITDA, but for real estate entities, which we believe is particularly helpful for generalist investors in REITs.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depicts the operating performance of a real estate business independent of its capital structure, leverage and noncash items, which allows for comparability across real estate entities with different capital structure, tax rates and depreciation or amortization policies. Additionally, exclusion of gains on disposition and impairment of depreciated real estate, similar to FFO, also provides a reflection of ongoing operating performance and allows for period-over-period comparability.</w:t>
      </w:r>
    </w:p>
    <w:p>
      <w:pPr>
        <w:spacing w:after="0" w:line="71" w:lineRule="exact"/>
        <w:rPr>
          <w:sz w:val="20"/>
          <w:szCs w:val="20"/>
          <w:color w:val="auto"/>
        </w:rPr>
      </w:pPr>
    </w:p>
    <w:p>
      <w:pPr>
        <w:ind w:left="6" w:right="260" w:firstLine="351"/>
        <w:spacing w:after="0" w:line="268" w:lineRule="auto"/>
        <w:rPr>
          <w:sz w:val="20"/>
          <w:szCs w:val="20"/>
          <w:color w:val="auto"/>
        </w:rPr>
      </w:pPr>
      <w:r>
        <w:rPr>
          <w:rFonts w:ascii="Arial" w:cs="Arial" w:eastAsia="Arial" w:hAnsi="Arial"/>
          <w:sz w:val="16"/>
          <w:szCs w:val="16"/>
          <w:color w:val="auto"/>
        </w:rPr>
        <w:t>As with other non-GAAP measures, the usefulness of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may be limited. For example,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focuses on profitability from operations, and does not take into account financing costs, and capital expenditures needed to maintain operating real estate.</w:t>
      </w:r>
    </w:p>
    <w:p>
      <w:pPr>
        <w:spacing w:after="0" w:line="57" w:lineRule="exact"/>
        <w:rPr>
          <w:sz w:val="20"/>
          <w:szCs w:val="20"/>
          <w:color w:val="auto"/>
        </w:rPr>
      </w:pPr>
    </w:p>
    <w:p>
      <w:pPr>
        <w:ind w:left="6" w:right="160" w:firstLine="351"/>
        <w:spacing w:after="0" w:line="268" w:lineRule="auto"/>
        <w:rPr>
          <w:sz w:val="20"/>
          <w:szCs w:val="20"/>
          <w:color w:val="auto"/>
        </w:rPr>
      </w:pPr>
      <w:r>
        <w:rPr>
          <w:rFonts w:ascii="Arial" w:cs="Arial" w:eastAsia="Arial" w:hAnsi="Arial"/>
          <w:sz w:val="16"/>
          <w:szCs w:val="16"/>
          <w:color w:val="auto"/>
        </w:rPr>
        <w:t>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generated by our Digital Operating segment is as follows.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was immaterial in 2019 as the Company acquired its first real estate portfolio in the Digital Operating segment in late December 2019.</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16"/>
        </w:trPr>
        <w:tc>
          <w:tcPr>
            <w:tcW w:w="7300" w:type="dxa"/>
            <w:vAlign w:val="bottom"/>
            <w:gridSpan w:val="3"/>
          </w:tcPr>
          <w:p>
            <w:pPr>
              <w:spacing w:after="0" w:line="116" w:lineRule="exact"/>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4"/>
              <w:spacing w:after="0" w:line="116"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472"/>
              <w:spacing w:after="0" w:line="116"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72"/>
              <w:spacing w:after="0" w:line="116" w:lineRule="exact"/>
              <w:rPr>
                <w:sz w:val="20"/>
                <w:szCs w:val="20"/>
                <w:color w:val="auto"/>
              </w:rPr>
            </w:pPr>
            <w:r>
              <w:rPr>
                <w:rFonts w:ascii="Arial" w:cs="Arial" w:eastAsia="Arial" w:hAnsi="Arial"/>
                <w:sz w:val="11"/>
                <w:szCs w:val="11"/>
                <w:b w:val="1"/>
                <w:bCs w:val="1"/>
                <w:color w:val="auto"/>
              </w:rPr>
              <w:t>Change</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2"/>
        </w:trPr>
        <w:tc>
          <w:tcPr>
            <w:tcW w:w="1060" w:type="dxa"/>
            <w:vAlign w:val="bottom"/>
            <w:tcBorders>
              <w:bottom w:val="single" w:sz="8" w:color="auto"/>
            </w:tcBorders>
            <w:gridSpan w:val="2"/>
            <w:shd w:val="clear" w:color="auto" w:fill="CCEEFF"/>
          </w:tcPr>
          <w:p>
            <w:pPr>
              <w:spacing w:after="0" w:line="127" w:lineRule="exact"/>
              <w:rPr>
                <w:sz w:val="20"/>
                <w:szCs w:val="20"/>
                <w:color w:val="auto"/>
              </w:rPr>
            </w:pPr>
            <w:r>
              <w:rPr>
                <w:rFonts w:ascii="Arial" w:cs="Arial" w:eastAsia="Arial" w:hAnsi="Arial"/>
                <w:sz w:val="14"/>
                <w:szCs w:val="14"/>
                <w:color w:val="auto"/>
                <w:w w:val="99"/>
              </w:rPr>
              <w:t>Digital Operating</w:t>
            </w:r>
          </w:p>
        </w:tc>
        <w:tc>
          <w:tcPr>
            <w:tcW w:w="6320" w:type="dxa"/>
            <w:vAlign w:val="bottom"/>
            <w:tcBorders>
              <w:bottom w:val="single" w:sz="8" w:color="CCEEFF"/>
            </w:tcBorders>
            <w:gridSpan w:val="2"/>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r>
      <w:tr>
        <w:trPr>
          <w:trHeight w:val="185"/>
        </w:trPr>
        <w:tc>
          <w:tcPr>
            <w:tcW w:w="7380" w:type="dxa"/>
            <w:vAlign w:val="bottom"/>
            <w:gridSpan w:val="4"/>
          </w:tcPr>
          <w:p>
            <w:pPr>
              <w:ind w:left="100"/>
              <w:spacing w:after="0"/>
              <w:rPr>
                <w:sz w:val="20"/>
                <w:szCs w:val="20"/>
                <w:color w:val="auto"/>
              </w:rPr>
            </w:pPr>
            <w:r>
              <w:rPr>
                <w:rFonts w:ascii="Arial" w:cs="Arial" w:eastAsia="Arial" w:hAnsi="Arial"/>
                <w:sz w:val="14"/>
                <w:szCs w:val="14"/>
                <w:color w:val="auto"/>
              </w:rPr>
              <w:t>Total revenues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763,199</w:t>
            </w:r>
          </w:p>
        </w:tc>
        <w:tc>
          <w:tcPr>
            <w:tcW w:w="8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313,283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449,916</w:t>
            </w:r>
          </w:p>
        </w:tc>
      </w:tr>
      <w:tr>
        <w:trPr>
          <w:trHeight w:val="189"/>
        </w:trPr>
        <w:tc>
          <w:tcPr>
            <w:tcW w:w="73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Property operating expenses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(316,178)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(119,729)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(196,449)</w:t>
            </w:r>
          </w:p>
        </w:tc>
      </w:tr>
      <w:tr>
        <w:trPr>
          <w:trHeight w:val="185"/>
        </w:trPr>
        <w:tc>
          <w:tcPr>
            <w:tcW w:w="7380" w:type="dxa"/>
            <w:vAlign w:val="bottom"/>
            <w:gridSpan w:val="4"/>
          </w:tcPr>
          <w:p>
            <w:pPr>
              <w:ind w:left="100"/>
              <w:spacing w:after="0"/>
              <w:rPr>
                <w:sz w:val="20"/>
                <w:szCs w:val="20"/>
                <w:color w:val="auto"/>
              </w:rPr>
            </w:pPr>
            <w:r>
              <w:rPr>
                <w:rFonts w:ascii="Arial" w:cs="Arial" w:eastAsia="Arial" w:hAnsi="Arial"/>
                <w:sz w:val="14"/>
                <w:szCs w:val="14"/>
                <w:color w:val="auto"/>
              </w:rPr>
              <w:t>Transaction-related costs and investment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(21,835)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(15,131)</w:t>
            </w:r>
          </w:p>
        </w:tc>
      </w:tr>
      <w:tr>
        <w:trPr>
          <w:trHeight w:val="189"/>
        </w:trPr>
        <w:tc>
          <w:tcPr>
            <w:tcW w:w="73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Compensation and administrative expense</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(113,080)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(61,115)</w:t>
            </w:r>
          </w:p>
        </w:tc>
      </w:tr>
      <w:tr>
        <w:trPr>
          <w:trHeight w:val="185"/>
        </w:trPr>
        <w:tc>
          <w:tcPr>
            <w:tcW w:w="7380" w:type="dxa"/>
            <w:vAlign w:val="bottom"/>
            <w:tcBorders>
              <w:bottom w:val="single" w:sz="8" w:color="CCEEFF"/>
            </w:tcBorders>
            <w:gridSpan w:val="4"/>
          </w:tcPr>
          <w:p>
            <w:pPr>
              <w:ind w:left="100"/>
              <w:spacing w:after="0"/>
              <w:rPr>
                <w:sz w:val="20"/>
                <w:szCs w:val="20"/>
                <w:color w:val="auto"/>
              </w:rPr>
            </w:pPr>
            <w:r>
              <w:rPr>
                <w:rFonts w:ascii="Arial" w:cs="Arial" w:eastAsia="Arial" w:hAnsi="Arial"/>
                <w:sz w:val="14"/>
                <w:szCs w:val="14"/>
                <w:color w:val="auto"/>
              </w:rPr>
              <w:t>Other loss, net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(1,048)</w:t>
            </w:r>
          </w:p>
        </w:tc>
      </w:tr>
      <w:tr>
        <w:trPr>
          <w:trHeight w:val="206"/>
        </w:trPr>
        <w:tc>
          <w:tcPr>
            <w:tcW w:w="73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4"/>
                <w:szCs w:val="14"/>
                <w:color w:val="auto"/>
              </w:rPr>
              <w:t>EBITDA</w:t>
            </w:r>
            <w:r>
              <w:rPr>
                <w:rFonts w:ascii="Arial" w:cs="Arial" w:eastAsia="Arial" w:hAnsi="Arial"/>
                <w:sz w:val="14"/>
                <w:szCs w:val="14"/>
                <w:i w:val="1"/>
                <w:iCs w:val="1"/>
                <w:color w:val="auto"/>
              </w:rPr>
              <w:t>re</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310,813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134,640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176,173</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presents a reconciliation of net loss to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for the Digital Operating segment.</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1"/>
                <w:szCs w:val="11"/>
                <w:b w:val="1"/>
                <w:bCs w:val="1"/>
                <w:color w:val="auto"/>
              </w:rPr>
              <w:t>Year Ended December 31,</w:t>
            </w:r>
          </w:p>
        </w:tc>
      </w:tr>
      <w:tr>
        <w:trPr>
          <w:trHeight w:val="117"/>
        </w:trPr>
        <w:tc>
          <w:tcPr>
            <w:tcW w:w="844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020" w:type="dxa"/>
            <w:vAlign w:val="bottom"/>
          </w:tcPr>
          <w:p>
            <w:pPr>
              <w:jc w:val="right"/>
              <w:ind w:right="494"/>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1060" w:type="dxa"/>
            <w:vAlign w:val="bottom"/>
            <w:tcBorders>
              <w:bottom w:val="single" w:sz="8" w:color="auto"/>
            </w:tcBorders>
            <w:gridSpan w:val="2"/>
            <w:shd w:val="clear" w:color="auto" w:fill="CCEEFF"/>
          </w:tcPr>
          <w:p>
            <w:pPr>
              <w:spacing w:after="0" w:line="127" w:lineRule="exact"/>
              <w:rPr>
                <w:sz w:val="20"/>
                <w:szCs w:val="20"/>
                <w:color w:val="auto"/>
              </w:rPr>
            </w:pPr>
            <w:r>
              <w:rPr>
                <w:rFonts w:ascii="Arial" w:cs="Arial" w:eastAsia="Arial" w:hAnsi="Arial"/>
                <w:sz w:val="14"/>
                <w:szCs w:val="14"/>
                <w:color w:val="auto"/>
                <w:w w:val="99"/>
              </w:rPr>
              <w:t>Digital Operating</w:t>
            </w:r>
          </w:p>
        </w:tc>
        <w:tc>
          <w:tcPr>
            <w:tcW w:w="73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r>
      <w:tr>
        <w:trPr>
          <w:trHeight w:val="185"/>
        </w:trPr>
        <w:tc>
          <w:tcPr>
            <w:tcW w:w="8440" w:type="dxa"/>
            <w:vAlign w:val="bottom"/>
            <w:gridSpan w:val="3"/>
          </w:tcPr>
          <w:p>
            <w:pPr>
              <w:ind w:left="10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(230,841)</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(132,063)</w:t>
            </w:r>
          </w:p>
        </w:tc>
      </w:tr>
      <w:tr>
        <w:trPr>
          <w:trHeight w:val="189"/>
        </w:trPr>
        <w:tc>
          <w:tcPr>
            <w:tcW w:w="8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Adjustments: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5"/>
        </w:trPr>
        <w:tc>
          <w:tcPr>
            <w:tcW w:w="8440" w:type="dxa"/>
            <w:vAlign w:val="bottom"/>
            <w:gridSpan w:val="3"/>
          </w:tcPr>
          <w:p>
            <w:pPr>
              <w:ind w:left="20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125,387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77,976</w:t>
            </w:r>
          </w:p>
        </w:tc>
      </w:tr>
      <w:tr>
        <w:trPr>
          <w:trHeight w:val="189"/>
        </w:trPr>
        <w:tc>
          <w:tcPr>
            <w:tcW w:w="84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495,342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210,188</w:t>
            </w:r>
          </w:p>
        </w:tc>
      </w:tr>
      <w:tr>
        <w:trPr>
          <w:trHeight w:val="185"/>
        </w:trPr>
        <w:tc>
          <w:tcPr>
            <w:tcW w:w="844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Income tax benefit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(21,461)</w:t>
            </w:r>
          </w:p>
        </w:tc>
      </w:tr>
      <w:tr>
        <w:trPr>
          <w:trHeight w:val="206"/>
        </w:trPr>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4"/>
                <w:szCs w:val="14"/>
                <w:color w:val="auto"/>
              </w:rPr>
              <w:t>EBITDA</w:t>
            </w:r>
            <w:r>
              <w:rPr>
                <w:rFonts w:ascii="Arial" w:cs="Arial" w:eastAsia="Arial" w:hAnsi="Arial"/>
                <w:sz w:val="14"/>
                <w:szCs w:val="14"/>
                <w:i w:val="1"/>
                <w:iCs w:val="1"/>
                <w:color w:val="auto"/>
              </w:rPr>
              <w:t>re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310,813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134,640</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 w:right="220" w:firstLine="351"/>
        <w:spacing w:after="0" w:line="268" w:lineRule="auto"/>
        <w:rPr>
          <w:sz w:val="20"/>
          <w:szCs w:val="20"/>
          <w:color w:val="auto"/>
        </w:rPr>
      </w:pPr>
      <w:r>
        <w:rPr>
          <w:rFonts w:ascii="Arial" w:cs="Arial" w:eastAsia="Arial" w:hAnsi="Arial"/>
          <w:sz w:val="16"/>
          <w:szCs w:val="16"/>
          <w:color w:val="auto"/>
        </w:rPr>
        <w:t>The higher 2021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reflects the acquisition of Vantage SDC in July 2020, zColo in December 2020 and February 2021, and an add-on acquisition in the Vantage SDC portfolio in October 2021.</w:t>
      </w:r>
    </w:p>
    <w:p>
      <w:pPr>
        <w:spacing w:after="0" w:line="40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40" w:firstLine="351"/>
        <w:spacing w:after="0" w:line="310" w:lineRule="auto"/>
        <w:rPr>
          <w:sz w:val="20"/>
          <w:szCs w:val="20"/>
          <w:color w:val="auto"/>
        </w:rPr>
      </w:pPr>
      <w:r>
        <w:rPr>
          <w:rFonts w:ascii="Arial" w:cs="Arial" w:eastAsia="Arial" w:hAnsi="Arial"/>
          <w:sz w:val="14"/>
          <w:szCs w:val="14"/>
          <w:color w:val="auto"/>
        </w:rPr>
        <w:t>On a same store basis,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was largely consistent. While there was an increase in revenues attributed to an increase in rentable square footage, this was mostly offset by higher compensation and administrative costs as we ramped up resources to support the growth in business, additional costs incurred in the restructuring of DataBank's operations for REIT qualification, and unfavorable margins in our power component due to inclement weather conditions in 2021.</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Overview</w:t>
      </w:r>
    </w:p>
    <w:p>
      <w:pPr>
        <w:spacing w:after="0" w:line="115" w:lineRule="exact"/>
        <w:rPr>
          <w:sz w:val="20"/>
          <w:szCs w:val="20"/>
          <w:color w:val="auto"/>
        </w:rPr>
      </w:pPr>
    </w:p>
    <w:p>
      <w:pPr>
        <w:jc w:val="both"/>
        <w:ind w:right="120" w:firstLine="351"/>
        <w:spacing w:after="0" w:line="236" w:lineRule="auto"/>
        <w:rPr>
          <w:sz w:val="20"/>
          <w:szCs w:val="20"/>
          <w:color w:val="auto"/>
        </w:rPr>
      </w:pPr>
      <w:r>
        <w:rPr>
          <w:rFonts w:ascii="Arial" w:cs="Arial" w:eastAsia="Arial" w:hAnsi="Arial"/>
          <w:sz w:val="16"/>
          <w:szCs w:val="16"/>
          <w:color w:val="auto"/>
        </w:rPr>
        <w:t>We believe we have sufficient cash on hand, and anticipated cash generated from operating activities and external financing sources, to meet our short term and long term capital requirements.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liquidity position is $1.1 billion, composed of corporate cash on hand at December 31, 2021 and the full $200 million availability under our VFN Notes.</w:t>
      </w:r>
    </w:p>
    <w:p>
      <w:pPr>
        <w:spacing w:after="0" w:line="85"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We regularly evaluate our liquidity position, debt obligations, and anticipated cash needs to fund our operating and investing activities, based upon our projected financial and operating performance, and investment opportunities. Our evaluation of future liquidity requirements is regularly reviewed and updated for changes in internal projections, economic conditions, competitive landscape and other factors. At this time, while we are in compliance with all of our corporate debt covenants and have sufficient liquidity to meet our operational needs, we continue to evaluate alternatives to manage our capital structure and market opportunities to strengthen our liquidity and provide further operational and strategic flexibility.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Significant Liquidity and Capital Activities</w:t>
      </w:r>
    </w:p>
    <w:p>
      <w:pPr>
        <w:spacing w:after="0" w:line="113" w:lineRule="exact"/>
        <w:rPr>
          <w:sz w:val="20"/>
          <w:szCs w:val="20"/>
          <w:color w:val="auto"/>
        </w:rPr>
      </w:pPr>
    </w:p>
    <w:p>
      <w:pPr>
        <w:jc w:val="both"/>
        <w:ind w:left="480" w:right="60" w:hanging="136"/>
        <w:spacing w:after="0" w:line="246" w:lineRule="auto"/>
        <w:tabs>
          <w:tab w:leader="none" w:pos="453" w:val="left"/>
        </w:tabs>
        <w:numPr>
          <w:ilvl w:val="0"/>
          <w:numId w:val="50"/>
        </w:numPr>
        <w:rPr>
          <w:rFonts w:ascii="Arial" w:cs="Arial" w:eastAsia="Arial" w:hAnsi="Arial"/>
          <w:sz w:val="16"/>
          <w:szCs w:val="16"/>
          <w:i w:val="1"/>
          <w:iCs w:val="1"/>
          <w:color w:val="auto"/>
        </w:rPr>
      </w:pPr>
      <w:r>
        <w:rPr>
          <w:rFonts w:ascii="Arial" w:cs="Arial" w:eastAsia="Arial" w:hAnsi="Arial"/>
          <w:sz w:val="16"/>
          <w:szCs w:val="16"/>
          <w:color w:val="auto"/>
        </w:rPr>
        <w:t>In July 2021, we replaced our corporate credit facility with the issuance of $500 million aggregate principal amount of Series 2021-1 Notes, composed of: (i) $300 million 3.933% BBB rated Class A-2 Notes; and (ii) VFN Notes with up to $200 million availability. These Series 2021-1 Notes provide a lower cost of capital and extend our revolving credit maturity to 2026.</w:t>
      </w:r>
    </w:p>
    <w:p>
      <w:pPr>
        <w:spacing w:after="0" w:line="89" w:lineRule="exact"/>
        <w:rPr>
          <w:rFonts w:ascii="Arial" w:cs="Arial" w:eastAsia="Arial" w:hAnsi="Arial"/>
          <w:sz w:val="16"/>
          <w:szCs w:val="16"/>
          <w:i w:val="1"/>
          <w:iCs w:val="1"/>
          <w:color w:val="auto"/>
        </w:rPr>
      </w:pPr>
    </w:p>
    <w:p>
      <w:pPr>
        <w:ind w:left="480" w:hanging="136"/>
        <w:spacing w:after="0"/>
        <w:tabs>
          <w:tab w:leader="none" w:pos="480" w:val="left"/>
        </w:tabs>
        <w:numPr>
          <w:ilvl w:val="0"/>
          <w:numId w:val="50"/>
        </w:numPr>
        <w:rPr>
          <w:rFonts w:ascii="Arial" w:cs="Arial" w:eastAsia="Arial" w:hAnsi="Arial"/>
          <w:sz w:val="14"/>
          <w:szCs w:val="14"/>
          <w:i w:val="1"/>
          <w:iCs w:val="1"/>
          <w:color w:val="auto"/>
        </w:rPr>
      </w:pPr>
      <w:r>
        <w:rPr>
          <w:rFonts w:ascii="Arial" w:cs="Arial" w:eastAsia="Arial" w:hAnsi="Arial"/>
          <w:sz w:val="14"/>
          <w:szCs w:val="14"/>
          <w:color w:val="auto"/>
        </w:rPr>
        <w:t>In 2021, we reduced higher cost corporate indebtedness by $343 million, encompassing $193 million of corporate debt and $150 million of preferred stock.</w:t>
      </w:r>
    </w:p>
    <w:p>
      <w:pPr>
        <w:spacing w:after="0" w:line="119" w:lineRule="exact"/>
        <w:rPr>
          <w:rFonts w:ascii="Arial" w:cs="Arial" w:eastAsia="Arial" w:hAnsi="Arial"/>
          <w:sz w:val="14"/>
          <w:szCs w:val="14"/>
          <w:i w:val="1"/>
          <w:iCs w:val="1"/>
          <w:color w:val="auto"/>
        </w:rPr>
      </w:pPr>
    </w:p>
    <w:p>
      <w:pPr>
        <w:ind w:left="480" w:hanging="136"/>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completed the internalization of BRSP in April 2021 and received a one-time payment of $102 million for termination of the BRSP management contract.</w:t>
      </w:r>
    </w:p>
    <w:p>
      <w:pPr>
        <w:spacing w:after="0" w:line="119" w:lineRule="exact"/>
        <w:rPr>
          <w:rFonts w:ascii="Arial" w:cs="Arial" w:eastAsia="Arial" w:hAnsi="Arial"/>
          <w:sz w:val="14"/>
          <w:szCs w:val="14"/>
          <w:color w:val="auto"/>
        </w:rPr>
      </w:pPr>
    </w:p>
    <w:p>
      <w:pPr>
        <w:ind w:left="480" w:hanging="136"/>
        <w:spacing w:after="0"/>
        <w:tabs>
          <w:tab w:leader="none" w:pos="480" w:val="left"/>
        </w:tabs>
        <w:numPr>
          <w:ilvl w:val="0"/>
          <w:numId w:val="50"/>
        </w:numPr>
        <w:rPr>
          <w:rFonts w:ascii="Arial" w:cs="Arial" w:eastAsia="Arial" w:hAnsi="Arial"/>
          <w:sz w:val="16"/>
          <w:szCs w:val="16"/>
          <w:i w:val="1"/>
          <w:iCs w:val="1"/>
          <w:color w:val="auto"/>
        </w:rPr>
      </w:pPr>
      <w:r>
        <w:rPr>
          <w:rFonts w:ascii="Arial" w:cs="Arial" w:eastAsia="Arial" w:hAnsi="Arial"/>
          <w:sz w:val="16"/>
          <w:szCs w:val="16"/>
          <w:color w:val="auto"/>
        </w:rPr>
        <w:t>We sold 9.5 million BRSP shares in a secondary offering by BRSP in August 2021 for net proceeds of approximately $82 million.</w:t>
      </w:r>
    </w:p>
    <w:p>
      <w:pPr>
        <w:spacing w:after="0" w:line="96" w:lineRule="exact"/>
        <w:rPr>
          <w:rFonts w:ascii="Arial" w:cs="Arial" w:eastAsia="Arial" w:hAnsi="Arial"/>
          <w:sz w:val="16"/>
          <w:szCs w:val="16"/>
          <w:i w:val="1"/>
          <w:iCs w:val="1"/>
          <w:color w:val="auto"/>
        </w:rPr>
      </w:pPr>
    </w:p>
    <w:p>
      <w:pPr>
        <w:ind w:left="480" w:right="120" w:hanging="136"/>
        <w:spacing w:after="0" w:line="317" w:lineRule="auto"/>
        <w:tabs>
          <w:tab w:leader="none" w:pos="477" w:val="left"/>
        </w:tabs>
        <w:numPr>
          <w:ilvl w:val="0"/>
          <w:numId w:val="50"/>
        </w:numPr>
        <w:rPr>
          <w:rFonts w:ascii="Arial" w:cs="Arial" w:eastAsia="Arial" w:hAnsi="Arial"/>
          <w:sz w:val="12"/>
          <w:szCs w:val="12"/>
          <w:b w:val="1"/>
          <w:bCs w:val="1"/>
          <w:i w:val="1"/>
          <w:iCs w:val="1"/>
          <w:color w:val="auto"/>
        </w:rPr>
      </w:pPr>
      <w:r>
        <w:rPr>
          <w:rFonts w:ascii="Arial" w:cs="Arial" w:eastAsia="Arial" w:hAnsi="Arial"/>
          <w:sz w:val="14"/>
          <w:szCs w:val="14"/>
          <w:color w:val="auto"/>
        </w:rPr>
        <w:t>We monetized (i) our Wellness Infrastructure business in February 2022 for $151 million in cash, including cash distributions received from NRF Holdco prior to closing of the sale, and $155 million in note receivable; and (ii) substantially all of our OED investments in December 2021 for $443 million in cash.</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Needs and Sources of Liquidity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primary liquidity needs are to fund:</w:t>
      </w:r>
    </w:p>
    <w:p>
      <w:pPr>
        <w:spacing w:after="0" w:line="97" w:lineRule="exact"/>
        <w:rPr>
          <w:sz w:val="20"/>
          <w:szCs w:val="20"/>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acquisitions of target digital assets for our balance sheet and related ongoing commitments;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general partner and co-investment commitments to our investment vehicles;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warehouse investments pending the raising of third party capital for future investment vehicles;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principal and interest payments on our debt;</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operations, including compensation, administrative and overhead costs;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obligation for lease payments, principally leasehold data centers and corporate offices;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 construction and capital expenditures on our operating real estate;</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distributions to our common and preferred stockholders (to the extent distributions have not been suspended); and</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income tax liabilities of taxable REIT subsidiaries and of the Company subject to limitations as a REIT.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primary sources of liquidity are:</w:t>
      </w:r>
    </w:p>
    <w:p>
      <w:pPr>
        <w:spacing w:after="0" w:line="97" w:lineRule="exact"/>
        <w:rPr>
          <w:sz w:val="20"/>
          <w:szCs w:val="20"/>
          <w:color w:val="auto"/>
        </w:rPr>
      </w:pPr>
    </w:p>
    <w:p>
      <w:pPr>
        <w:ind w:left="480" w:hanging="136"/>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cash on hand;</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fees received from our investment management business, including the Company's share of realized net incentive or carried interest, if any;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 flow generated from our investments, both from operations and return of capital;</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availability under our VFN Notes;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issuance of additional term notes under our corporate securitization;</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third party co-investors in our consolidated investments and/or businesses;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proceeds from full or partial realization of investments;</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investment-level financing; and</w:t>
      </w:r>
    </w:p>
    <w:p>
      <w:pPr>
        <w:spacing w:after="0" w:line="49" w:lineRule="exact"/>
        <w:rPr>
          <w:rFonts w:ascii="Arial" w:cs="Arial" w:eastAsia="Arial" w:hAnsi="Arial"/>
          <w:sz w:val="16"/>
          <w:szCs w:val="16"/>
          <w:color w:val="auto"/>
        </w:rPr>
      </w:pPr>
    </w:p>
    <w:p>
      <w:pPr>
        <w:ind w:left="480" w:hanging="136"/>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proceeds from public or private equity and debt offerings..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Investment Commitments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2021, we have unfunded commitments of $89 million to our DBP funds.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Lease Obligations</w:t>
      </w:r>
    </w:p>
    <w:p>
      <w:pPr>
        <w:spacing w:after="0" w:line="113"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At December 31, 2021, we have $142.8 million and $299.7 million of finance and operating lease obligations, respectively, that were assumed through acquisitions, principally leasehold data centers, and $42.8 million of operating lease obligations on our corporate offices. These amounts represent fixed lease payments, excluding any contingent or other variable lease payments, and factor in lease renewal or termination options only if it is reasonably certain that such options would be exercised. These lease obligations will be funded through operating cash generated by the investment properties and corporate operating cash, respectively.</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Dividends</w:t>
      </w:r>
    </w:p>
    <w:p>
      <w:pPr>
        <w:spacing w:after="0" w:line="113" w:lineRule="exact"/>
        <w:rPr>
          <w:sz w:val="20"/>
          <w:szCs w:val="20"/>
          <w:color w:val="auto"/>
        </w:rPr>
      </w:pPr>
    </w:p>
    <w:p>
      <w:pPr>
        <w:ind w:right="160" w:firstLine="351"/>
        <w:spacing w:after="0" w:line="285" w:lineRule="auto"/>
        <w:rPr>
          <w:sz w:val="20"/>
          <w:szCs w:val="20"/>
          <w:color w:val="auto"/>
        </w:rPr>
      </w:pPr>
      <w:r>
        <w:rPr>
          <w:rFonts w:ascii="Arial" w:cs="Arial" w:eastAsia="Arial" w:hAnsi="Arial"/>
          <w:sz w:val="14"/>
          <w:szCs w:val="14"/>
          <w:color w:val="auto"/>
        </w:rPr>
        <w:t>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net taxable income. These distribution requirements may constrain our ability to accumulate operating cash flows. We intend to pay regular quarterly dividends to our stockholders in an amount equal to our net taxable income, if and to the extent authorized by our board of directors. Before we pay any dividend, whether for U.S. federal income tax purposes or otherwise, we must first meet both our operating requirements and debt service, including complying with any restrictions imposed by our lenders. If our cash available for distribution is less than our net taxable income, we may be required to sell assets or borrow funds to make cash distributions or we may make a portion of the required distribution in the form of a taxable stock distribution or distribution of debt securities.</w:t>
      </w:r>
    </w:p>
    <w:p>
      <w:pPr>
        <w:spacing w:after="0" w:line="49"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6"/>
          <w:szCs w:val="16"/>
          <w:i w:val="1"/>
          <w:iCs w:val="1"/>
          <w:color w:val="auto"/>
        </w:rPr>
        <w:t>Common Stock</w:t>
      </w:r>
      <w:r>
        <w:rPr>
          <w:rFonts w:ascii="Arial" w:cs="Arial" w:eastAsia="Arial" w:hAnsi="Arial"/>
          <w:sz w:val="16"/>
          <w:szCs w:val="16"/>
          <w:color w:val="auto"/>
        </w:rPr>
        <w:t>—The Company suspended dividends on its class A common stock beginning with the second quarter of 2020. Payment of common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was previously subject to certain restrictions under the terms of the corporate credit facility, which was terminated in July 2021. The Company continues to monitor its financial performance and liquidity position, and will reevaluate its dividend policy as conditions improve.</w:t>
      </w:r>
    </w:p>
    <w:p>
      <w:pPr>
        <w:spacing w:after="0" w:line="6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6"/>
          <w:szCs w:val="16"/>
          <w:i w:val="1"/>
          <w:iCs w:val="1"/>
          <w:color w:val="auto"/>
        </w:rPr>
        <w:t>Preferred Stock—</w:t>
      </w:r>
      <w:r>
        <w:rPr>
          <w:rFonts w:ascii="Arial" w:cs="Arial" w:eastAsia="Arial" w:hAnsi="Arial"/>
          <w:sz w:val="16"/>
          <w:szCs w:val="16"/>
          <w:color w:val="auto"/>
        </w:rPr>
        <w:t>At December 31, 2021, we have outstanding preferred stock totaling $884 million, bearing a weighted average dividend rate of 7.135% per</w:t>
      </w:r>
      <w:r>
        <w:rPr>
          <w:rFonts w:ascii="Arial" w:cs="Arial" w:eastAsia="Arial" w:hAnsi="Arial"/>
          <w:sz w:val="16"/>
          <w:szCs w:val="16"/>
          <w:i w:val="1"/>
          <w:iCs w:val="1"/>
          <w:color w:val="auto"/>
        </w:rPr>
        <w:t xml:space="preserve"> </w:t>
      </w:r>
      <w:r>
        <w:rPr>
          <w:rFonts w:ascii="Arial" w:cs="Arial" w:eastAsia="Arial" w:hAnsi="Arial"/>
          <w:sz w:val="16"/>
          <w:szCs w:val="16"/>
          <w:color w:val="auto"/>
        </w:rPr>
        <w:t>annum, with aggregate dividend payments of $15.8 million per quarter.</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Cash From Operations</w:t>
      </w:r>
    </w:p>
    <w:p>
      <w:pPr>
        <w:spacing w:after="0" w:line="113"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Our investments generate cash, either from operations or as a return of our invested capital. We primarily generate revenue from net operating income of our digital infrastructure business, which is partially offset by interest expense associated with non-recourse borrowings on our digital portfolio. We also receive periodic distributions from our equity investments, including our GP co-investments.</w:t>
      </w:r>
    </w:p>
    <w:p>
      <w:pPr>
        <w:spacing w:after="0" w:line="89"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Additionally, we generate fee related earnings from our digital investment management business, of which 31.5% is attributable to our noncontrolling investor, Wafra. Management fee income is generally a predictable and stable revenue stream, while carried interest and incentive fees are by nature less predictable in amount and timing. Our ability to establish new investment vehicles and raise investor capital depends on general market conditions and availability of attractive investment opportunities as well as availability of debt capital.</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Asset Monetization</w:t>
      </w:r>
    </w:p>
    <w:p>
      <w:pPr>
        <w:spacing w:after="0" w:line="113"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We periodically monetize our investments through opportunistic asset sales or to recycle capital from non-core assets. As noted above, in completing our digital transformation, we monetized (i) our Wellness Infrastructure assets in February 2022 for $151 million in cash, including cash distributions received from NRF Holdco prior to closing of the sale, and $155 million in note receivable; and (ii) the bulk of our OED portfolio in December 2021 for $443 million in cash.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206"/>
        <w:spacing w:after="0"/>
        <w:rPr>
          <w:sz w:val="20"/>
          <w:szCs w:val="20"/>
          <w:color w:val="auto"/>
        </w:rPr>
      </w:pPr>
      <w:r>
        <w:rPr>
          <w:rFonts w:ascii="Arial" w:cs="Arial" w:eastAsia="Arial" w:hAnsi="Arial"/>
          <w:sz w:val="16"/>
          <w:szCs w:val="16"/>
          <w:i w:val="1"/>
          <w:iCs w:val="1"/>
          <w:color w:val="auto"/>
        </w:rPr>
        <w:t>Debt</w:t>
      </w:r>
    </w:p>
    <w:p>
      <w:pPr>
        <w:spacing w:after="0" w:line="113" w:lineRule="exact"/>
        <w:rPr>
          <w:sz w:val="20"/>
          <w:szCs w:val="20"/>
          <w:color w:val="auto"/>
        </w:rPr>
      </w:pPr>
    </w:p>
    <w:p>
      <w:pPr>
        <w:ind w:left="346"/>
        <w:spacing w:after="0"/>
        <w:rPr>
          <w:sz w:val="20"/>
          <w:szCs w:val="20"/>
          <w:color w:val="auto"/>
        </w:rPr>
      </w:pPr>
      <w:r>
        <w:rPr>
          <w:rFonts w:ascii="Arial" w:cs="Arial" w:eastAsia="Arial" w:hAnsi="Arial"/>
          <w:sz w:val="16"/>
          <w:szCs w:val="16"/>
          <w:color w:val="auto"/>
        </w:rPr>
        <w:t>Description of our debt is included in Note 8 to the consolidated financial statements (and Note 11 for debt related to assets held for disposition).</w:t>
      </w:r>
    </w:p>
    <w:p>
      <w:pPr>
        <w:spacing w:after="0" w:line="97" w:lineRule="exact"/>
        <w:rPr>
          <w:sz w:val="20"/>
          <w:szCs w:val="20"/>
          <w:color w:val="auto"/>
        </w:rPr>
      </w:pPr>
    </w:p>
    <w:p>
      <w:pPr>
        <w:ind w:left="346"/>
        <w:spacing w:after="0"/>
        <w:rPr>
          <w:sz w:val="20"/>
          <w:szCs w:val="20"/>
          <w:color w:val="auto"/>
        </w:rPr>
      </w:pPr>
      <w:r>
        <w:rPr>
          <w:rFonts w:ascii="Arial" w:cs="Arial" w:eastAsia="Arial" w:hAnsi="Arial"/>
          <w:sz w:val="16"/>
          <w:szCs w:val="16"/>
          <w:color w:val="auto"/>
        </w:rPr>
        <w:t>Our indebtedness at December 31, 2021 is summarized as follows:</w:t>
      </w:r>
    </w:p>
    <w:p>
      <w:pPr>
        <w:spacing w:after="0" w:line="100"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86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7"/>
              </w:rPr>
              <w:t>Weighted Average Interest Rate</w:t>
            </w:r>
          </w:p>
        </w:tc>
        <w:tc>
          <w:tcPr>
            <w:tcW w:w="1560" w:type="dxa"/>
            <w:vAlign w:val="bottom"/>
            <w:vMerge w:val="restart"/>
          </w:tcPr>
          <w:p>
            <w:pPr>
              <w:jc w:val="right"/>
              <w:ind w:right="77"/>
              <w:spacing w:after="0"/>
              <w:rPr>
                <w:sz w:val="20"/>
                <w:szCs w:val="20"/>
                <w:color w:val="auto"/>
              </w:rPr>
            </w:pPr>
            <w:r>
              <w:rPr>
                <w:rFonts w:ascii="Arial" w:cs="Arial" w:eastAsia="Arial" w:hAnsi="Arial"/>
                <w:sz w:val="11"/>
                <w:szCs w:val="11"/>
                <w:b w:val="1"/>
                <w:bCs w:val="1"/>
                <w:color w:val="auto"/>
              </w:rPr>
              <w:t>Weighted Average Years</w:t>
            </w:r>
          </w:p>
        </w:tc>
        <w:tc>
          <w:tcPr>
            <w:tcW w:w="0" w:type="dxa"/>
            <w:vAlign w:val="bottom"/>
          </w:tcPr>
          <w:p>
            <w:pPr>
              <w:spacing w:after="0"/>
              <w:rPr>
                <w:sz w:val="1"/>
                <w:szCs w:val="1"/>
                <w:color w:val="auto"/>
              </w:rPr>
            </w:pPr>
          </w:p>
        </w:tc>
      </w:tr>
      <w:tr>
        <w:trPr>
          <w:trHeight w:val="70"/>
        </w:trPr>
        <w:tc>
          <w:tcPr>
            <w:tcW w:w="628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 in thousands)</w:t>
            </w:r>
          </w:p>
        </w:tc>
        <w:tc>
          <w:tcPr>
            <w:tcW w:w="160" w:type="dxa"/>
            <w:vAlign w:val="bottom"/>
          </w:tcPr>
          <w:p>
            <w:pPr>
              <w:spacing w:after="0"/>
              <w:rPr>
                <w:sz w:val="6"/>
                <w:szCs w:val="6"/>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11"/>
                <w:szCs w:val="11"/>
                <w:b w:val="1"/>
                <w:bCs w:val="1"/>
                <w:color w:val="auto"/>
              </w:rPr>
              <w:t>Outstanding Principal</w:t>
            </w:r>
          </w:p>
        </w:tc>
        <w:tc>
          <w:tcPr>
            <w:tcW w:w="1280" w:type="dxa"/>
            <w:vAlign w:val="bottom"/>
            <w:gridSpan w:val="2"/>
          </w:tcPr>
          <w:p>
            <w:pPr>
              <w:jc w:val="right"/>
              <w:ind w:right="245"/>
              <w:spacing w:after="0" w:line="71" w:lineRule="exact"/>
              <w:rPr>
                <w:sz w:val="20"/>
                <w:szCs w:val="20"/>
                <w:color w:val="auto"/>
              </w:rPr>
            </w:pPr>
            <w:r>
              <w:rPr>
                <w:rFonts w:ascii="Arial" w:cs="Arial" w:eastAsia="Arial" w:hAnsi="Arial"/>
                <w:sz w:val="7"/>
                <w:szCs w:val="7"/>
                <w:b w:val="1"/>
                <w:bCs w:val="1"/>
                <w:color w:val="auto"/>
              </w:rPr>
              <w:t>(1)</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425"/>
              <w:spacing w:after="0" w:line="117" w:lineRule="exact"/>
              <w:rPr>
                <w:sz w:val="20"/>
                <w:szCs w:val="20"/>
                <w:color w:val="auto"/>
              </w:rPr>
            </w:pPr>
            <w:r>
              <w:rPr>
                <w:rFonts w:ascii="Arial" w:cs="Arial" w:eastAsia="Arial" w:hAnsi="Arial"/>
                <w:sz w:val="11"/>
                <w:szCs w:val="11"/>
                <w:b w:val="1"/>
                <w:bCs w:val="1"/>
                <w:color w:val="auto"/>
                <w:w w:val="99"/>
              </w:rPr>
              <w:t>(Per Annum)</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right"/>
              <w:ind w:right="97"/>
              <w:spacing w:after="0" w:line="117" w:lineRule="exact"/>
              <w:rPr>
                <w:sz w:val="20"/>
                <w:szCs w:val="20"/>
                <w:color w:val="auto"/>
              </w:rPr>
            </w:pPr>
            <w:r>
              <w:rPr>
                <w:rFonts w:ascii="Arial" w:cs="Arial" w:eastAsia="Arial" w:hAnsi="Arial"/>
                <w:sz w:val="10"/>
                <w:szCs w:val="10"/>
                <w:b w:val="1"/>
                <w:bCs w:val="1"/>
                <w:color w:val="auto"/>
              </w:rPr>
              <w:t xml:space="preserve">Remaining to Maturity </w:t>
            </w:r>
            <w:r>
              <w:rPr>
                <w:rFonts w:ascii="Arial" w:cs="Arial" w:eastAsia="Arial" w:hAnsi="Arial"/>
                <w:sz w:val="13"/>
                <w:szCs w:val="13"/>
                <w:b w:val="1"/>
                <w:bCs w:val="1"/>
                <w:color w:val="auto"/>
                <w:vertAlign w:val="superscript"/>
              </w:rPr>
              <w:t>(2)</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Secured fund fee revenue notes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5"/>
        </w:trPr>
        <w:tc>
          <w:tcPr>
            <w:tcW w:w="6280" w:type="dxa"/>
            <w:vAlign w:val="bottom"/>
            <w:gridSpan w:val="2"/>
          </w:tcPr>
          <w:p>
            <w:pPr>
              <w:spacing w:after="0"/>
              <w:rPr>
                <w:sz w:val="20"/>
                <w:szCs w:val="20"/>
                <w:color w:val="auto"/>
              </w:rPr>
            </w:pPr>
            <w:r>
              <w:rPr>
                <w:rFonts w:ascii="Arial" w:cs="Arial" w:eastAsia="Arial" w:hAnsi="Arial"/>
                <w:sz w:val="14"/>
                <w:szCs w:val="14"/>
                <w:color w:val="auto"/>
              </w:rPr>
              <w:t>Convertible and exchangeable senior notes</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338,739</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5.31 %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Non-recourse investment level secured debt</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Fixed rate</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3,646,466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2.44 %</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rate</w:t>
            </w: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637,517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5.15 %</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60" w:type="dxa"/>
            <w:vAlign w:val="bottom"/>
            <w:tcBorders>
              <w:bottom w:val="single" w:sz="8" w:color="CCEEFF"/>
            </w:tcBorders>
          </w:tcPr>
          <w:p>
            <w:pPr>
              <w:spacing w:after="0"/>
              <w:rPr>
                <w:sz w:val="15"/>
                <w:szCs w:val="15"/>
                <w:color w:val="auto"/>
              </w:rPr>
            </w:pPr>
          </w:p>
        </w:tc>
        <w:tc>
          <w:tcPr>
            <w:tcW w:w="5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4,283,983</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6"/>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debt (excluding amounts related to assets held for disposition)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4,922,722</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Debt related to assets held for disposition (to be assumed by acquirer)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2,962,051</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w:t>
            </w:r>
          </w:p>
        </w:tc>
        <w:tc>
          <w:tcPr>
            <w:tcW w:w="5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0" w:type="dxa"/>
            <w:vAlign w:val="bottom"/>
            <w:vMerge w:val="continue"/>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6" w:right="380" w:hanging="206"/>
        <w:spacing w:after="0" w:line="215" w:lineRule="auto"/>
        <w:tabs>
          <w:tab w:leader="none" w:pos="185" w:val="left"/>
        </w:tabs>
        <w:numPr>
          <w:ilvl w:val="0"/>
          <w:numId w:val="54"/>
        </w:numPr>
        <w:rPr>
          <w:rFonts w:ascii="Arial" w:cs="Arial" w:eastAsia="Arial" w:hAnsi="Arial"/>
          <w:sz w:val="16"/>
          <w:szCs w:val="16"/>
          <w:color w:val="auto"/>
          <w:vertAlign w:val="superscript"/>
        </w:rPr>
      </w:pPr>
      <w:r>
        <w:rPr>
          <w:rFonts w:ascii="Arial" w:cs="Arial" w:eastAsia="Arial" w:hAnsi="Arial"/>
          <w:sz w:val="12"/>
          <w:szCs w:val="12"/>
          <w:color w:val="auto"/>
        </w:rPr>
        <w:t>Calculated based upon outstanding debt principal at balance sheet date. For variable rate debt, weighted average interest rate is calculated based upon the applicable index plus spread at balance sheet date.</w:t>
      </w:r>
    </w:p>
    <w:p>
      <w:pPr>
        <w:spacing w:after="0" w:line="38" w:lineRule="exact"/>
        <w:rPr>
          <w:rFonts w:ascii="Arial" w:cs="Arial" w:eastAsia="Arial" w:hAnsi="Arial"/>
          <w:sz w:val="16"/>
          <w:szCs w:val="16"/>
          <w:color w:val="auto"/>
          <w:vertAlign w:val="superscript"/>
        </w:rPr>
      </w:pPr>
    </w:p>
    <w:p>
      <w:pPr>
        <w:ind w:left="206" w:right="220" w:hanging="206"/>
        <w:spacing w:after="0" w:line="215" w:lineRule="auto"/>
        <w:tabs>
          <w:tab w:leader="none" w:pos="185" w:val="left"/>
        </w:tabs>
        <w:numPr>
          <w:ilvl w:val="0"/>
          <w:numId w:val="54"/>
        </w:numPr>
        <w:rPr>
          <w:rFonts w:ascii="Arial" w:cs="Arial" w:eastAsia="Arial" w:hAnsi="Arial"/>
          <w:sz w:val="16"/>
          <w:szCs w:val="16"/>
          <w:color w:val="auto"/>
          <w:vertAlign w:val="superscript"/>
        </w:rPr>
      </w:pPr>
      <w:r>
        <w:rPr>
          <w:rFonts w:ascii="Arial" w:cs="Arial" w:eastAsia="Arial" w:hAnsi="Arial"/>
          <w:sz w:val="12"/>
          <w:szCs w:val="12"/>
          <w:color w:val="auto"/>
        </w:rPr>
        <w:t>Calculated based upon anticipated repayment dates for notes issued under securitization financing; otherwise based upon initial maturity dates, or extended maturity dates if extension criteria are met for extensions that are at the Company's option.</w:t>
      </w:r>
    </w:p>
    <w:p>
      <w:pPr>
        <w:spacing w:after="0" w:line="128" w:lineRule="exact"/>
        <w:rPr>
          <w:sz w:val="20"/>
          <w:szCs w:val="20"/>
          <w:color w:val="auto"/>
        </w:rPr>
      </w:pPr>
    </w:p>
    <w:p>
      <w:pPr>
        <w:ind w:left="346"/>
        <w:spacing w:after="0"/>
        <w:rPr>
          <w:sz w:val="20"/>
          <w:szCs w:val="20"/>
          <w:color w:val="auto"/>
        </w:rPr>
      </w:pPr>
      <w:r>
        <w:rPr>
          <w:rFonts w:ascii="Arial" w:cs="Arial" w:eastAsia="Arial" w:hAnsi="Arial"/>
          <w:sz w:val="16"/>
          <w:szCs w:val="16"/>
          <w:color w:val="auto"/>
        </w:rPr>
        <w:t>Scheduled principal payments on our debt obligations at December 31, 2021, excluding debt classified as held for disposition, were as follows.</w:t>
      </w:r>
    </w:p>
    <w:p>
      <w:pPr>
        <w:spacing w:after="0" w:line="2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1"/>
                <w:szCs w:val="11"/>
                <w:b w:val="1"/>
                <w:bCs w:val="1"/>
                <w:color w:val="auto"/>
              </w:rPr>
              <w:t>Year Ending December 31,</w:t>
            </w: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60" w:type="dxa"/>
            <w:vAlign w:val="bottom"/>
            <w:gridSpan w:val="4"/>
          </w:tcPr>
          <w:p>
            <w:pPr>
              <w:ind w:left="360"/>
              <w:spacing w:after="0" w:line="117" w:lineRule="exact"/>
              <w:rPr>
                <w:sz w:val="20"/>
                <w:szCs w:val="20"/>
                <w:color w:val="auto"/>
              </w:rPr>
            </w:pPr>
            <w:r>
              <w:rPr>
                <w:rFonts w:ascii="Arial" w:cs="Arial" w:eastAsia="Arial" w:hAnsi="Arial"/>
                <w:sz w:val="11"/>
                <w:szCs w:val="11"/>
                <w:b w:val="1"/>
                <w:bCs w:val="1"/>
                <w:color w:val="auto"/>
              </w:rPr>
              <w:t>(In</w:t>
            </w:r>
          </w:p>
        </w:tc>
        <w:tc>
          <w:tcPr>
            <w:tcW w:w="560" w:type="dxa"/>
            <w:vAlign w:val="bottom"/>
          </w:tcPr>
          <w:p>
            <w:pPr>
              <w:spacing w:after="0"/>
              <w:rPr>
                <w:sz w:val="10"/>
                <w:szCs w:val="10"/>
                <w:color w:val="auto"/>
              </w:rPr>
            </w:pPr>
          </w:p>
        </w:tc>
        <w:tc>
          <w:tcPr>
            <w:tcW w:w="680" w:type="dxa"/>
            <w:vAlign w:val="bottom"/>
            <w:vMerge w:val="restart"/>
          </w:tcPr>
          <w:p>
            <w:pPr>
              <w:jc w:val="right"/>
              <w:ind w:right="252"/>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vMerge w:val="restart"/>
          </w:tcPr>
          <w:p>
            <w:pPr>
              <w:jc w:val="right"/>
              <w:ind w:right="37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vMerge w:val="restart"/>
          </w:tcPr>
          <w:p>
            <w:pPr>
              <w:jc w:val="right"/>
              <w:ind w:right="392"/>
              <w:spacing w:after="0"/>
              <w:rPr>
                <w:sz w:val="20"/>
                <w:szCs w:val="20"/>
                <w:color w:val="auto"/>
              </w:rPr>
            </w:pPr>
            <w:r>
              <w:rPr>
                <w:rFonts w:ascii="Arial" w:cs="Arial" w:eastAsia="Arial" w:hAnsi="Arial"/>
                <w:sz w:val="11"/>
                <w:szCs w:val="11"/>
                <w:b w:val="1"/>
                <w:bCs w:val="1"/>
                <w:color w:val="auto"/>
              </w:rPr>
              <w:t>2026</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jc w:val="right"/>
              <w:ind w:right="212"/>
              <w:spacing w:after="0" w:line="117" w:lineRule="exact"/>
              <w:rPr>
                <w:sz w:val="20"/>
                <w:szCs w:val="20"/>
                <w:color w:val="auto"/>
              </w:rPr>
            </w:pPr>
            <w:r>
              <w:rPr>
                <w:rFonts w:ascii="Arial" w:cs="Arial" w:eastAsia="Arial" w:hAnsi="Arial"/>
                <w:sz w:val="11"/>
                <w:szCs w:val="11"/>
                <w:b w:val="1"/>
                <w:bCs w:val="1"/>
                <w:color w:val="auto"/>
              </w:rPr>
              <w:t>2027 and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vMerge w:val="restart"/>
          </w:tcPr>
          <w:p>
            <w:pPr>
              <w:jc w:val="right"/>
              <w:ind w:right="37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060" w:type="dxa"/>
            <w:vAlign w:val="bottom"/>
            <w:gridSpan w:val="4"/>
            <w:vMerge w:val="restart"/>
          </w:tcPr>
          <w:p>
            <w:pPr>
              <w:spacing w:after="0" w:line="85" w:lineRule="exact"/>
              <w:rPr>
                <w:sz w:val="20"/>
                <w:szCs w:val="20"/>
                <w:color w:val="auto"/>
              </w:rPr>
            </w:pPr>
            <w:r>
              <w:rPr>
                <w:rFonts w:ascii="Arial" w:cs="Arial" w:eastAsia="Arial" w:hAnsi="Arial"/>
                <w:sz w:val="9"/>
                <w:szCs w:val="9"/>
                <w:b w:val="1"/>
                <w:bCs w:val="1"/>
                <w:color w:val="auto"/>
              </w:rPr>
              <w:t>thousands)</w:t>
            </w:r>
          </w:p>
        </w:tc>
        <w:tc>
          <w:tcPr>
            <w:tcW w:w="5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gridSpan w:val="3"/>
            <w:vMerge w:val="restart"/>
          </w:tcPr>
          <w:p>
            <w:pPr>
              <w:ind w:left="440"/>
              <w:spacing w:after="0" w:line="85" w:lineRule="exact"/>
              <w:rPr>
                <w:sz w:val="20"/>
                <w:szCs w:val="20"/>
                <w:color w:val="auto"/>
              </w:rPr>
            </w:pPr>
            <w:r>
              <w:rPr>
                <w:rFonts w:ascii="Arial" w:cs="Arial" w:eastAsia="Arial" w:hAnsi="Arial"/>
                <w:sz w:val="9"/>
                <w:szCs w:val="9"/>
                <w:b w:val="1"/>
                <w:bCs w:val="1"/>
                <w:color w:val="auto"/>
              </w:rPr>
              <w:t>thereafter</w:t>
            </w:r>
          </w:p>
        </w:tc>
        <w:tc>
          <w:tcPr>
            <w:tcW w:w="6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060" w:type="dxa"/>
            <w:vAlign w:val="bottom"/>
            <w:gridSpan w:val="4"/>
            <w:vMerge w:val="continue"/>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Secured fund</w:t>
            </w: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60" w:type="dxa"/>
            <w:vAlign w:val="bottom"/>
            <w:gridSpan w:val="4"/>
            <w:shd w:val="clear" w:color="auto" w:fill="CCEEFF"/>
          </w:tcPr>
          <w:p>
            <w:pPr>
              <w:ind w:left="80"/>
              <w:spacing w:after="0" w:line="141" w:lineRule="exact"/>
              <w:rPr>
                <w:sz w:val="20"/>
                <w:szCs w:val="20"/>
                <w:color w:val="auto"/>
              </w:rPr>
            </w:pPr>
            <w:r>
              <w:rPr>
                <w:rFonts w:ascii="Arial" w:cs="Arial" w:eastAsia="Arial" w:hAnsi="Arial"/>
                <w:sz w:val="14"/>
                <w:szCs w:val="14"/>
                <w:color w:val="auto"/>
              </w:rPr>
              <w:t>fee revenue</w:t>
            </w:r>
          </w:p>
        </w:tc>
        <w:tc>
          <w:tcPr>
            <w:tcW w:w="560" w:type="dxa"/>
            <w:vAlign w:val="bottom"/>
            <w:shd w:val="clear" w:color="auto" w:fill="CCEEFF"/>
          </w:tcPr>
          <w:p>
            <w:pPr>
              <w:jc w:val="right"/>
              <w:ind w:right="3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0"/>
              <w:spacing w:after="0" w:line="141"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0"/>
              <w:spacing w:after="0" w:line="141"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1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6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notes</w:t>
            </w: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54"/>
        </w:trPr>
        <w:tc>
          <w:tcPr>
            <w:tcW w:w="1060" w:type="dxa"/>
            <w:vAlign w:val="bottom"/>
            <w:gridSpan w:val="4"/>
          </w:tcPr>
          <w:p>
            <w:pPr>
              <w:spacing w:after="0" w:line="154" w:lineRule="exact"/>
              <w:rPr>
                <w:sz w:val="20"/>
                <w:szCs w:val="20"/>
                <w:color w:val="auto"/>
              </w:rPr>
            </w:pPr>
            <w:r>
              <w:rPr>
                <w:rFonts w:ascii="Arial" w:cs="Arial" w:eastAsia="Arial" w:hAnsi="Arial"/>
                <w:sz w:val="14"/>
                <w:szCs w:val="14"/>
                <w:color w:val="auto"/>
              </w:rPr>
              <w:t>Convertible</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60" w:type="dxa"/>
            <w:vAlign w:val="bottom"/>
            <w:gridSpan w:val="4"/>
          </w:tcPr>
          <w:p>
            <w:pPr>
              <w:ind w:left="80"/>
              <w:spacing w:after="0" w:line="141" w:lineRule="exact"/>
              <w:rPr>
                <w:sz w:val="20"/>
                <w:szCs w:val="20"/>
                <w:color w:val="auto"/>
              </w:rPr>
            </w:pPr>
            <w:r>
              <w:rPr>
                <w:rFonts w:ascii="Arial" w:cs="Arial" w:eastAsia="Arial" w:hAnsi="Arial"/>
                <w:sz w:val="14"/>
                <w:szCs w:val="14"/>
                <w:color w:val="auto"/>
              </w:rPr>
              <w:t>and</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60" w:type="dxa"/>
            <w:vAlign w:val="bottom"/>
            <w:gridSpan w:val="4"/>
          </w:tcPr>
          <w:p>
            <w:pPr>
              <w:ind w:left="80"/>
              <w:spacing w:after="0" w:line="141" w:lineRule="exact"/>
              <w:rPr>
                <w:sz w:val="20"/>
                <w:szCs w:val="20"/>
                <w:color w:val="auto"/>
              </w:rPr>
            </w:pPr>
            <w:r>
              <w:rPr>
                <w:rFonts w:ascii="Arial" w:cs="Arial" w:eastAsia="Arial" w:hAnsi="Arial"/>
                <w:sz w:val="14"/>
                <w:szCs w:val="14"/>
                <w:color w:val="auto"/>
              </w:rPr>
              <w:t>exchangeable</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gridSpan w:val="4"/>
          </w:tcPr>
          <w:p>
            <w:pPr>
              <w:ind w:left="80"/>
              <w:spacing w:after="0"/>
              <w:rPr>
                <w:sz w:val="20"/>
                <w:szCs w:val="20"/>
                <w:color w:val="auto"/>
              </w:rPr>
            </w:pPr>
            <w:r>
              <w:rPr>
                <w:rFonts w:ascii="Arial" w:cs="Arial" w:eastAsia="Arial" w:hAnsi="Arial"/>
                <w:sz w:val="14"/>
                <w:szCs w:val="14"/>
                <w:color w:val="auto"/>
              </w:rPr>
              <w:t>senior notes</w:t>
            </w:r>
          </w:p>
        </w:tc>
        <w:tc>
          <w:tcPr>
            <w:tcW w:w="5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138,739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338,739</w:t>
            </w:r>
          </w:p>
        </w:tc>
        <w:tc>
          <w:tcPr>
            <w:tcW w:w="0" w:type="dxa"/>
            <w:vAlign w:val="bottom"/>
          </w:tcPr>
          <w:p>
            <w:pPr>
              <w:spacing w:after="0"/>
              <w:rPr>
                <w:sz w:val="1"/>
                <w:szCs w:val="1"/>
                <w:color w:val="auto"/>
              </w:rPr>
            </w:pPr>
          </w:p>
        </w:tc>
      </w:tr>
      <w:tr>
        <w:trPr>
          <w:trHeight w:val="189"/>
        </w:trPr>
        <w:tc>
          <w:tcPr>
            <w:tcW w:w="2360" w:type="dxa"/>
            <w:vAlign w:val="bottom"/>
            <w:gridSpan w:val="7"/>
            <w:shd w:val="clear" w:color="auto" w:fill="CCEEFF"/>
          </w:tcPr>
          <w:p>
            <w:pPr>
              <w:ind w:left="360"/>
              <w:spacing w:after="0"/>
              <w:rPr>
                <w:sz w:val="20"/>
                <w:szCs w:val="20"/>
                <w:color w:val="auto"/>
              </w:rPr>
            </w:pPr>
            <w:r>
              <w:rPr>
                <w:rFonts w:ascii="Arial" w:cs="Arial" w:eastAsia="Arial" w:hAnsi="Arial"/>
                <w:sz w:val="14"/>
                <w:szCs w:val="14"/>
                <w:color w:val="auto"/>
              </w:rPr>
              <w:t>Investment-level secured debt</w:t>
            </w: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60" w:type="dxa"/>
            <w:vAlign w:val="bottom"/>
          </w:tcPr>
          <w:p>
            <w:pPr>
              <w:spacing w:after="0"/>
              <w:rPr>
                <w:sz w:val="13"/>
                <w:szCs w:val="13"/>
                <w:color w:val="auto"/>
              </w:rPr>
            </w:pPr>
          </w:p>
        </w:tc>
        <w:tc>
          <w:tcPr>
            <w:tcW w:w="70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Digital</w:t>
            </w:r>
          </w:p>
        </w:tc>
        <w:tc>
          <w:tcPr>
            <w:tcW w:w="5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6,230</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228,793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616,503</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1,146,267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color w:val="auto"/>
              </w:rPr>
              <w:t>1,619,690</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60" w:type="dxa"/>
            <w:vAlign w:val="bottom"/>
            <w:gridSpan w:val="4"/>
            <w:vMerge w:val="restart"/>
          </w:tcPr>
          <w:p>
            <w:pPr>
              <w:ind w:left="100"/>
              <w:spacing w:after="0"/>
              <w:rPr>
                <w:sz w:val="20"/>
                <w:szCs w:val="20"/>
                <w:color w:val="auto"/>
              </w:rPr>
            </w:pPr>
            <w:r>
              <w:rPr>
                <w:rFonts w:ascii="Arial" w:cs="Arial" w:eastAsia="Arial" w:hAnsi="Arial"/>
                <w:sz w:val="14"/>
                <w:szCs w:val="14"/>
                <w:color w:val="auto"/>
              </w:rPr>
              <w:t>Operating</w:t>
            </w:r>
          </w:p>
        </w:tc>
        <w:tc>
          <w:tcPr>
            <w:tcW w:w="5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4,217,483</w:t>
            </w:r>
          </w:p>
        </w:tc>
        <w:tc>
          <w:tcPr>
            <w:tcW w:w="0" w:type="dxa"/>
            <w:vAlign w:val="bottom"/>
          </w:tcPr>
          <w:p>
            <w:pPr>
              <w:spacing w:after="0"/>
              <w:rPr>
                <w:sz w:val="1"/>
                <w:szCs w:val="1"/>
                <w:color w:val="auto"/>
              </w:rPr>
            </w:pPr>
          </w:p>
        </w:tc>
      </w:tr>
      <w:tr>
        <w:trPr>
          <w:trHeight w:val="73"/>
        </w:trPr>
        <w:tc>
          <w:tcPr>
            <w:tcW w:w="106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66,500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66,500</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6,230</w:t>
            </w:r>
          </w:p>
        </w:tc>
        <w:tc>
          <w:tcPr>
            <w:tcW w:w="6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495,293</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616,503</w:t>
            </w:r>
          </w:p>
        </w:tc>
        <w:tc>
          <w:tcPr>
            <w:tcW w:w="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1,285,006</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1,919,690</w:t>
            </w:r>
          </w:p>
        </w:tc>
        <w:tc>
          <w:tcPr>
            <w:tcW w:w="6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4,922,722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 w:right="180" w:firstLine="351"/>
        <w:spacing w:after="0" w:line="246" w:lineRule="auto"/>
        <w:rPr>
          <w:sz w:val="20"/>
          <w:szCs w:val="20"/>
          <w:color w:val="auto"/>
        </w:rPr>
      </w:pPr>
      <w:r>
        <w:rPr>
          <w:rFonts w:ascii="Arial" w:cs="Arial" w:eastAsia="Arial" w:hAnsi="Arial"/>
          <w:sz w:val="16"/>
          <w:szCs w:val="16"/>
          <w:color w:val="auto"/>
        </w:rPr>
        <w:t>Debt maturities and future debt principal payments are presented based upon anticipated repayment dates for notes issued under securitization financing, otherwise based upon initial maturity dates or extended maturity dates if extension criteria are met at December 31, 2021 for extensions that are at the Company's option.</w:t>
      </w:r>
    </w:p>
    <w:p>
      <w:pPr>
        <w:spacing w:after="0" w:line="120" w:lineRule="exact"/>
        <w:rPr>
          <w:sz w:val="20"/>
          <w:szCs w:val="20"/>
          <w:color w:val="auto"/>
        </w:rPr>
      </w:pPr>
    </w:p>
    <w:p>
      <w:pPr>
        <w:ind w:left="426"/>
        <w:spacing w:after="0"/>
        <w:rPr>
          <w:sz w:val="20"/>
          <w:szCs w:val="20"/>
          <w:color w:val="auto"/>
        </w:rPr>
      </w:pPr>
      <w:r>
        <w:rPr>
          <w:rFonts w:ascii="Arial" w:cs="Arial" w:eastAsia="Arial" w:hAnsi="Arial"/>
          <w:sz w:val="16"/>
          <w:szCs w:val="16"/>
          <w:i w:val="1"/>
          <w:iCs w:val="1"/>
          <w:color w:val="auto"/>
        </w:rPr>
        <w:t>Securitized Financing Facility</w:t>
      </w:r>
    </w:p>
    <w:p>
      <w:pPr>
        <w:spacing w:after="0" w:line="113" w:lineRule="exact"/>
        <w:rPr>
          <w:sz w:val="20"/>
          <w:szCs w:val="20"/>
          <w:color w:val="auto"/>
        </w:rPr>
      </w:pPr>
    </w:p>
    <w:p>
      <w:pPr>
        <w:ind w:left="6" w:right="200" w:firstLine="351"/>
        <w:spacing w:after="0" w:line="246" w:lineRule="auto"/>
        <w:rPr>
          <w:sz w:val="20"/>
          <w:szCs w:val="20"/>
          <w:color w:val="auto"/>
        </w:rPr>
      </w:pPr>
      <w:r>
        <w:rPr>
          <w:rFonts w:ascii="Arial" w:cs="Arial" w:eastAsia="Arial" w:hAnsi="Arial"/>
          <w:sz w:val="16"/>
          <w:szCs w:val="16"/>
          <w:color w:val="auto"/>
        </w:rPr>
        <w:t>As discussed above and further in Note 8 to the consolidated financial statements, we replaced our corporate credit facility with a securitized financing facility in July 2021 through the issuance of $300 million 3.933% Class A-2 Notes, and $200 million of VFN Notes, which is available to be drawn in full as of the date of this filing.</w:t>
      </w:r>
    </w:p>
    <w:p>
      <w:pPr>
        <w:spacing w:after="0" w:line="73" w:lineRule="exact"/>
        <w:rPr>
          <w:sz w:val="20"/>
          <w:szCs w:val="20"/>
          <w:color w:val="auto"/>
        </w:rPr>
      </w:pPr>
    </w:p>
    <w:p>
      <w:pPr>
        <w:ind w:left="426"/>
        <w:spacing w:after="0"/>
        <w:rPr>
          <w:sz w:val="20"/>
          <w:szCs w:val="20"/>
          <w:color w:val="auto"/>
        </w:rPr>
      </w:pPr>
      <w:r>
        <w:rPr>
          <w:rFonts w:ascii="Arial" w:cs="Arial" w:eastAsia="Arial" w:hAnsi="Arial"/>
          <w:sz w:val="16"/>
          <w:szCs w:val="16"/>
          <w:i w:val="1"/>
          <w:iCs w:val="1"/>
          <w:color w:val="auto"/>
        </w:rPr>
        <w:t>Non-Recourse Investment-Level Secured Debt</w:t>
      </w:r>
    </w:p>
    <w:p>
      <w:pPr>
        <w:spacing w:after="0" w:line="113" w:lineRule="exact"/>
        <w:rPr>
          <w:sz w:val="20"/>
          <w:szCs w:val="20"/>
          <w:color w:val="auto"/>
        </w:rPr>
      </w:pPr>
    </w:p>
    <w:p>
      <w:pPr>
        <w:ind w:left="346"/>
        <w:spacing w:after="0"/>
        <w:rPr>
          <w:sz w:val="20"/>
          <w:szCs w:val="20"/>
          <w:color w:val="auto"/>
        </w:rPr>
      </w:pPr>
      <w:r>
        <w:rPr>
          <w:rFonts w:ascii="Arial" w:cs="Arial" w:eastAsia="Arial" w:hAnsi="Arial"/>
          <w:sz w:val="16"/>
          <w:szCs w:val="16"/>
          <w:color w:val="auto"/>
        </w:rPr>
        <w:t>Investment level financing is non-recourse to us and secured by the respective underlying real estate.</w:t>
      </w:r>
    </w:p>
    <w:p>
      <w:pPr>
        <w:spacing w:after="0" w:line="81" w:lineRule="exact"/>
        <w:rPr>
          <w:sz w:val="20"/>
          <w:szCs w:val="20"/>
          <w:color w:val="auto"/>
        </w:rPr>
      </w:pPr>
    </w:p>
    <w:p>
      <w:pPr>
        <w:ind w:left="566"/>
        <w:spacing w:after="0"/>
        <w:rPr>
          <w:sz w:val="20"/>
          <w:szCs w:val="20"/>
          <w:color w:val="auto"/>
        </w:rPr>
      </w:pPr>
      <w:r>
        <w:rPr>
          <w:rFonts w:ascii="Arial" w:cs="Arial" w:eastAsia="Arial" w:hAnsi="Arial"/>
          <w:sz w:val="16"/>
          <w:szCs w:val="16"/>
          <w:i w:val="1"/>
          <w:iCs w:val="1"/>
          <w:color w:val="auto"/>
        </w:rPr>
        <w:t>Significant Developments</w:t>
      </w:r>
    </w:p>
    <w:p>
      <w:pPr>
        <w:spacing w:after="0" w:line="97" w:lineRule="exact"/>
        <w:rPr>
          <w:sz w:val="20"/>
          <w:szCs w:val="20"/>
          <w:color w:val="auto"/>
        </w:rPr>
      </w:pPr>
    </w:p>
    <w:p>
      <w:pPr>
        <w:jc w:val="both"/>
        <w:ind w:left="706" w:right="120" w:hanging="145"/>
        <w:spacing w:after="0" w:line="252" w:lineRule="auto"/>
        <w:tabs>
          <w:tab w:leader="none" w:pos="700" w:val="left"/>
        </w:tabs>
        <w:numPr>
          <w:ilvl w:val="0"/>
          <w:numId w:val="55"/>
        </w:numPr>
        <w:rPr>
          <w:rFonts w:ascii="Arial" w:cs="Arial" w:eastAsia="Arial" w:hAnsi="Arial"/>
          <w:sz w:val="8"/>
          <w:szCs w:val="8"/>
          <w:b w:val="1"/>
          <w:bCs w:val="1"/>
          <w:i w:val="1"/>
          <w:iCs w:val="1"/>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In March 2021 and October 2021, DataBank raised $658 million and $332 million of 5-year securitized notes at blended fixed rates of</w:t>
      </w:r>
      <w:r>
        <w:rPr>
          <w:rFonts w:ascii="Arial" w:cs="Arial" w:eastAsia="Arial" w:hAnsi="Arial"/>
          <w:sz w:val="16"/>
          <w:szCs w:val="16"/>
          <w:i w:val="1"/>
          <w:iCs w:val="1"/>
          <w:color w:val="auto"/>
        </w:rPr>
        <w:t xml:space="preserve"> </w:t>
      </w:r>
      <w:r>
        <w:rPr>
          <w:rFonts w:ascii="Arial" w:cs="Arial" w:eastAsia="Arial" w:hAnsi="Arial"/>
          <w:sz w:val="16"/>
          <w:szCs w:val="16"/>
          <w:color w:val="auto"/>
        </w:rPr>
        <w:t>2.32% and 2.43% per annum, respectively. Proceeds from the March securitization were applied principally to refinance $514 million of outstanding debt, which meaningfully reduced DataBank's overall cost of debt and extended its debt maturities, while the October proceeds were used to repay borrowings on its credit facility and to finance future acquisitions.</w:t>
      </w:r>
    </w:p>
    <w:p>
      <w:pPr>
        <w:spacing w:after="0" w:line="200" w:lineRule="exact"/>
        <w:rPr>
          <w:sz w:val="20"/>
          <w:szCs w:val="20"/>
          <w:color w:val="auto"/>
        </w:rPr>
      </w:pPr>
    </w:p>
    <w:p>
      <w:pPr>
        <w:spacing w:after="0" w:line="213" w:lineRule="exact"/>
        <w:rPr>
          <w:sz w:val="20"/>
          <w:szCs w:val="20"/>
          <w:color w:val="auto"/>
        </w:rPr>
      </w:pPr>
    </w:p>
    <w:p>
      <w:pPr>
        <w:jc w:val="center"/>
        <w:ind w:right="74"/>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6"/>
          </w:cols>
          <w:pgMar w:left="314" w:top="140"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700"/>
        <w:spacing w:after="0" w:line="246" w:lineRule="auto"/>
        <w:rPr>
          <w:sz w:val="20"/>
          <w:szCs w:val="20"/>
          <w:color w:val="auto"/>
        </w:rPr>
      </w:pPr>
      <w:r>
        <w:rPr>
          <w:rFonts w:ascii="Arial" w:cs="Arial" w:eastAsia="Arial" w:hAnsi="Arial"/>
          <w:sz w:val="16"/>
          <w:szCs w:val="16"/>
          <w:color w:val="auto"/>
        </w:rPr>
        <w:t>In November 2021, Vantage SDC issued $530 million of 5-year securitized notes at a blended fixed rate of 2.17% per annum. Proceeds were applied to replace its current bridge financing and fund capital expenditures on the September 2021 add-on acquisition as well as to fund payments for future build-out and lease-up of expansion capacity.</w:t>
      </w:r>
    </w:p>
    <w:p>
      <w:pPr>
        <w:spacing w:after="0" w:line="73" w:lineRule="exact"/>
        <w:rPr>
          <w:sz w:val="20"/>
          <w:szCs w:val="20"/>
          <w:color w:val="auto"/>
        </w:rPr>
      </w:pPr>
    </w:p>
    <w:p>
      <w:pPr>
        <w:ind w:left="700" w:right="800" w:hanging="145"/>
        <w:spacing w:after="0" w:line="268" w:lineRule="auto"/>
        <w:tabs>
          <w:tab w:leader="none" w:pos="696"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In the third quarter of 2021, the Company entered into a credit facility to fund the acquisition of loans that are warehoused for a future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vehicle. At December 31, 2021, $83.5 million was available to be drawn from the facility.</w:t>
      </w:r>
    </w:p>
    <w:p>
      <w:pPr>
        <w:spacing w:after="0" w:line="56" w:lineRule="exact"/>
        <w:rPr>
          <w:rFonts w:ascii="Arial" w:cs="Arial" w:eastAsia="Arial" w:hAnsi="Arial"/>
          <w:sz w:val="16"/>
          <w:szCs w:val="16"/>
          <w:i w:val="1"/>
          <w:iCs w:val="1"/>
          <w:color w:val="auto"/>
        </w:rPr>
      </w:pPr>
    </w:p>
    <w:p>
      <w:pPr>
        <w:ind w:left="700" w:right="120" w:hanging="145"/>
        <w:spacing w:after="0" w:line="256" w:lineRule="auto"/>
        <w:tabs>
          <w:tab w:leader="none" w:pos="696"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Dispositions—</w:t>
      </w:r>
      <w:r>
        <w:rPr>
          <w:rFonts w:ascii="Arial" w:cs="Arial" w:eastAsia="Arial" w:hAnsi="Arial"/>
          <w:sz w:val="16"/>
          <w:szCs w:val="16"/>
          <w:color w:val="auto"/>
        </w:rPr>
        <w:t>Consolidated investment-level debt of $4 billion financing our hotel and OED portfolios, and $2.86 billion held by NRF Holdco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held for disposition) have been assumed by the respective acquirers upon sale of our hotel and OED assets in 2021 and NRF Holdco in 2022, resulting in significant deleveraging of our balance sheet.</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Public Offerings</w:t>
      </w:r>
    </w:p>
    <w:p>
      <w:pPr>
        <w:spacing w:after="0" w:line="113" w:lineRule="exact"/>
        <w:rPr>
          <w:sz w:val="20"/>
          <w:szCs w:val="20"/>
          <w:color w:val="auto"/>
        </w:rPr>
      </w:pPr>
    </w:p>
    <w:p>
      <w:pPr>
        <w:ind w:right="260" w:firstLine="351"/>
        <w:spacing w:after="0" w:line="248" w:lineRule="auto"/>
        <w:rPr>
          <w:sz w:val="20"/>
          <w:szCs w:val="20"/>
          <w:color w:val="auto"/>
        </w:rPr>
      </w:pPr>
      <w:r>
        <w:rPr>
          <w:rFonts w:ascii="Arial" w:cs="Arial" w:eastAsia="Arial" w:hAnsi="Arial"/>
          <w:sz w:val="16"/>
          <w:szCs w:val="16"/>
          <w:color w:val="auto"/>
        </w:rPr>
        <w:t>We may offer and sell various types of securities under our shelf registration statement. These securities may be issued from time to time at our discretion based on our needs and depending upon market conditions and available pricing.</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Cash Flows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activities from our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2"/>
                <w:szCs w:val="12"/>
                <w:color w:val="auto"/>
              </w:rPr>
            </w:pPr>
          </w:p>
        </w:tc>
      </w:tr>
      <w:tr>
        <w:trPr>
          <w:trHeight w:val="117"/>
        </w:trPr>
        <w:tc>
          <w:tcPr>
            <w:tcW w:w="79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0"/>
                <w:szCs w:val="10"/>
                <w:color w:val="auto"/>
              </w:rPr>
            </w:pPr>
          </w:p>
        </w:tc>
        <w:tc>
          <w:tcPr>
            <w:tcW w:w="1200" w:type="dxa"/>
            <w:vAlign w:val="bottom"/>
          </w:tcPr>
          <w:p>
            <w:pPr>
              <w:jc w:val="right"/>
              <w:ind w:right="596"/>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jc w:val="right"/>
              <w:ind w:right="594"/>
              <w:spacing w:after="0" w:line="117" w:lineRule="exact"/>
              <w:rPr>
                <w:sz w:val="20"/>
                <w:szCs w:val="20"/>
                <w:color w:val="auto"/>
              </w:rPr>
            </w:pPr>
            <w:r>
              <w:rPr>
                <w:rFonts w:ascii="Arial" w:cs="Arial" w:eastAsia="Arial" w:hAnsi="Arial"/>
                <w:sz w:val="11"/>
                <w:szCs w:val="11"/>
                <w:b w:val="1"/>
                <w:bCs w:val="1"/>
                <w:color w:val="auto"/>
                <w:w w:val="97"/>
              </w:rPr>
              <w:t>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2"/>
        </w:trPr>
        <w:tc>
          <w:tcPr>
            <w:tcW w:w="79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cash provided by (used in):</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5"/>
        </w:trPr>
        <w:tc>
          <w:tcPr>
            <w:tcW w:w="7960" w:type="dxa"/>
            <w:vAlign w:val="bottom"/>
            <w:gridSpan w:val="2"/>
          </w:tcPr>
          <w:p>
            <w:pPr>
              <w:ind w:left="1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248,237</w:t>
            </w:r>
          </w:p>
        </w:tc>
        <w:tc>
          <w:tcPr>
            <w:tcW w:w="80" w:type="dxa"/>
            <w:vAlign w:val="bottom"/>
          </w:tcPr>
          <w:p>
            <w:pPr>
              <w:spacing w:after="0"/>
              <w:rPr>
                <w:sz w:val="16"/>
                <w:szCs w:val="16"/>
                <w:color w:val="auto"/>
              </w:rPr>
            </w:pPr>
          </w:p>
        </w:tc>
        <w:tc>
          <w:tcPr>
            <w:tcW w:w="66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89,893</w:t>
            </w:r>
          </w:p>
        </w:tc>
      </w:tr>
      <w:tr>
        <w:trPr>
          <w:trHeight w:val="189"/>
        </w:trPr>
        <w:tc>
          <w:tcPr>
            <w:tcW w:w="7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Investing activities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146,565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(1,931,980)</w:t>
            </w:r>
          </w:p>
        </w:tc>
      </w:tr>
      <w:tr>
        <w:trPr>
          <w:trHeight w:val="182"/>
        </w:trPr>
        <w:tc>
          <w:tcPr>
            <w:tcW w:w="7960" w:type="dxa"/>
            <w:vAlign w:val="bottom"/>
            <w:gridSpan w:val="2"/>
          </w:tcPr>
          <w:p>
            <w:pPr>
              <w:ind w:left="120"/>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411,260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1,373,027</w:t>
            </w:r>
          </w:p>
        </w:tc>
      </w:tr>
    </w:tbl>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Operating Activities</w:t>
      </w:r>
    </w:p>
    <w:p>
      <w:pPr>
        <w:spacing w:after="0" w:line="113"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Cash inflows from operating activities are generated primarily through property operating income from our real estate investments, interest received from our loans and securities portfolio, distributions of earnings received from equity investments, and fee income from our investment management business. This is partially offset by payment of operating expenses, including property management and operations, loan servicing and workout of loans in default, investment transaction costs, as well as compensation and general administrative costs.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activities generated net cash inflows of $248.2 million in 2021 and $89.9 million in 2020.</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Notable items affecting operating cash flows included the following:</w:t>
      </w:r>
    </w:p>
    <w:p>
      <w:pPr>
        <w:spacing w:after="0" w:line="97" w:lineRule="exact"/>
        <w:rPr>
          <w:sz w:val="20"/>
          <w:szCs w:val="20"/>
          <w:color w:val="auto"/>
        </w:rPr>
      </w:pPr>
    </w:p>
    <w:p>
      <w:pPr>
        <w:jc w:val="both"/>
        <w:ind w:left="480" w:right="220" w:hanging="136"/>
        <w:spacing w:after="0" w:line="298" w:lineRule="auto"/>
        <w:tabs>
          <w:tab w:leader="none" w:pos="4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2021, the higher operating cash flows included receipt of a $102.3 million one-time payment in connection with termination of the BRSP management agreement and growth in fee income following successful fund raising in our Digital Investment Management business. Additionally, there was higher net operating cash flows from our Digital Operating segment, with a full year of operations in 2021 from portfolios acquired during 2020.</w:t>
      </w:r>
    </w:p>
    <w:p>
      <w:pPr>
        <w:spacing w:after="0" w:line="55" w:lineRule="exact"/>
        <w:rPr>
          <w:rFonts w:ascii="Arial" w:cs="Arial" w:eastAsia="Arial" w:hAnsi="Arial"/>
          <w:sz w:val="14"/>
          <w:szCs w:val="14"/>
          <w:color w:val="auto"/>
        </w:rPr>
      </w:pPr>
    </w:p>
    <w:p>
      <w:pPr>
        <w:ind w:left="480" w:right="240" w:hanging="136"/>
        <w:spacing w:after="0" w:line="248" w:lineRule="auto"/>
        <w:tabs>
          <w:tab w:leader="none" w:pos="4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2020, operating cash flows were negatively affected by the fallout from COVID-19 on our hospitality business that was sold in 2021, and also included $39.9 million of carried interest compensation payment realized from the sale of our light industrial portfolio in December 2019</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Investing Activities</w:t>
      </w:r>
    </w:p>
    <w:p>
      <w:pPr>
        <w:spacing w:after="0" w:line="113"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Investing activities include primarily cash outlays for acquisition of real estate, disbursements on new and/or existing loans, and contributions to unconsolidated ventures, which are partially offset by repayments and sales of loans receivable, distributions of capital received from unconsolidated ventures, and proceeds from sale of real estate and equity investments.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investing activities resulted in net cash inflows of $146.6 million in 2021 compared to net cash outflows of $1.9 billion in 2020.</w:t>
      </w:r>
    </w:p>
    <w:p>
      <w:pPr>
        <w:spacing w:after="0" w:line="81" w:lineRule="exact"/>
        <w:rPr>
          <w:sz w:val="20"/>
          <w:szCs w:val="20"/>
          <w:color w:val="auto"/>
        </w:rPr>
      </w:pPr>
    </w:p>
    <w:p>
      <w:pPr>
        <w:ind w:left="480" w:right="80" w:hanging="136"/>
        <w:spacing w:after="0" w:line="268" w:lineRule="auto"/>
        <w:tabs>
          <w:tab w:leader="none" w:pos="476"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Real estate investments</w:t>
      </w:r>
      <w:r>
        <w:rPr>
          <w:rFonts w:ascii="Arial" w:cs="Arial" w:eastAsia="Arial" w:hAnsi="Arial"/>
          <w:sz w:val="16"/>
          <w:szCs w:val="16"/>
          <w:color w:val="auto"/>
        </w:rPr>
        <w:t>—Real estate investing activities generated net cash outflows in both years. Outflows were significantly higher in 2020 totaling $2.1</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driven by the acquisition of Vantage SDC in July 2020 and zColo in December 2020.</w:t>
      </w:r>
    </w:p>
    <w:p>
      <w:pPr>
        <w:spacing w:after="0" w:line="72" w:lineRule="exact"/>
        <w:rPr>
          <w:rFonts w:ascii="Arial" w:cs="Arial" w:eastAsia="Arial" w:hAnsi="Arial"/>
          <w:sz w:val="16"/>
          <w:szCs w:val="16"/>
          <w:i w:val="1"/>
          <w:iCs w:val="1"/>
          <w:color w:val="auto"/>
        </w:rPr>
      </w:pPr>
    </w:p>
    <w:p>
      <w:pPr>
        <w:ind w:left="480"/>
        <w:spacing w:after="0" w:line="245" w:lineRule="auto"/>
        <w:rPr>
          <w:rFonts w:ascii="Arial" w:cs="Arial" w:eastAsia="Arial" w:hAnsi="Arial"/>
          <w:sz w:val="16"/>
          <w:szCs w:val="16"/>
          <w:i w:val="1"/>
          <w:iCs w:val="1"/>
          <w:color w:val="auto"/>
        </w:rPr>
      </w:pPr>
      <w:r>
        <w:rPr>
          <w:rFonts w:ascii="Arial" w:cs="Arial" w:eastAsia="Arial" w:hAnsi="Arial"/>
          <w:sz w:val="16"/>
          <w:szCs w:val="16"/>
          <w:color w:val="auto"/>
        </w:rPr>
        <w:t>In 2021, net cash outflows from real estate investing activities were $384.9 million. This was driven by payments for add-on acquisition and expanded capacity in Vantage SDC and capital expenditures within the overall digital operating portfolio. These outflows were partially offset by proceeds from sales of various properties in Europe and in our Wellness Infrastructure business in the first half of 2021, as well as sales of real estate investment holding entities in our hotel business in March and the OED portfolio in December, both of which were net of cash deconsolidated.</w:t>
      </w:r>
    </w:p>
    <w:p>
      <w:pPr>
        <w:spacing w:after="0" w:line="74" w:lineRule="exact"/>
        <w:rPr>
          <w:rFonts w:ascii="Arial" w:cs="Arial" w:eastAsia="Arial" w:hAnsi="Arial"/>
          <w:sz w:val="16"/>
          <w:szCs w:val="16"/>
          <w:i w:val="1"/>
          <w:iCs w:val="1"/>
          <w:color w:val="auto"/>
        </w:rPr>
      </w:pPr>
    </w:p>
    <w:p>
      <w:pPr>
        <w:ind w:left="480" w:right="100" w:hanging="136"/>
        <w:spacing w:after="0" w:line="250" w:lineRule="auto"/>
        <w:tabs>
          <w:tab w:leader="none" w:pos="476"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Debt investments</w:t>
      </w:r>
      <w:r>
        <w:rPr>
          <w:rFonts w:ascii="Arial" w:cs="Arial" w:eastAsia="Arial" w:hAnsi="Arial"/>
          <w:sz w:val="16"/>
          <w:szCs w:val="16"/>
          <w:color w:val="auto"/>
        </w:rPr>
        <w:t>—Investing cash inflows in 2021 included $452.1 million from our debt investments, attributed to loan repayments, in particular a $305.0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repayment received on two loans in our Irish loan portfolio, and $146.0 million in proceeds from sale of our loan investment holding entities in the OED portfolio in December, net of cash deconsolidated. These cash inflows were partially offset by payments for loans acquired and warehoused for future digital credit vehicles, including a potential CLO, other loan disbursements and acquisition of additional N-Star CDOs at a discount by our Wellness Infrastructure segment.</w:t>
      </w:r>
    </w:p>
    <w:p>
      <w:pPr>
        <w:spacing w:after="0" w:line="86" w:lineRule="exact"/>
        <w:rPr>
          <w:rFonts w:ascii="Arial" w:cs="Arial" w:eastAsia="Arial" w:hAnsi="Arial"/>
          <w:sz w:val="16"/>
          <w:szCs w:val="16"/>
          <w:i w:val="1"/>
          <w:iCs w:val="1"/>
          <w:color w:val="auto"/>
        </w:rPr>
      </w:pPr>
    </w:p>
    <w:p>
      <w:pPr>
        <w:ind w:left="480" w:right="200"/>
        <w:spacing w:after="0" w:line="248" w:lineRule="auto"/>
        <w:rPr>
          <w:rFonts w:ascii="Arial" w:cs="Arial" w:eastAsia="Arial" w:hAnsi="Arial"/>
          <w:sz w:val="16"/>
          <w:szCs w:val="16"/>
          <w:i w:val="1"/>
          <w:iCs w:val="1"/>
          <w:color w:val="auto"/>
        </w:rPr>
      </w:pPr>
      <w:r>
        <w:rPr>
          <w:rFonts w:ascii="Arial" w:cs="Arial" w:eastAsia="Arial" w:hAnsi="Arial"/>
          <w:sz w:val="16"/>
          <w:szCs w:val="16"/>
          <w:color w:val="auto"/>
        </w:rPr>
        <w:t>In 2020, our debt investments generated a much smaller net cash inflow of $59.8 million as receipts from loan repayments were largely offset primarily by drawdowns on development loans.</w:t>
      </w:r>
    </w:p>
    <w:p>
      <w:pPr>
        <w:spacing w:after="0" w:line="71" w:lineRule="exact"/>
        <w:rPr>
          <w:rFonts w:ascii="Arial" w:cs="Arial" w:eastAsia="Arial" w:hAnsi="Arial"/>
          <w:sz w:val="16"/>
          <w:szCs w:val="16"/>
          <w:i w:val="1"/>
          <w:iCs w:val="1"/>
          <w:color w:val="auto"/>
        </w:rPr>
      </w:pPr>
    </w:p>
    <w:p>
      <w:pPr>
        <w:ind w:left="480" w:right="40" w:hanging="136"/>
        <w:spacing w:after="0" w:line="250" w:lineRule="auto"/>
        <w:tabs>
          <w:tab w:leader="none" w:pos="476"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—In 2021, our equity investments recorded net cash inflows of $104.6 million. Significant sales of equity investments included 9.5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BRSP shares for $81.8 million of cash, and sale of investment holding entities in the OED portfolio in December which generated proceeds of $177.8 million, net of cash deconsolidated. Sales proceeds, along with return of capital distributions received from our investments, were partially offset primarily by funding of our digital fund commitments and draws on acquisition, development and construction ("ADC") loans that were accounted for as equity method investments prior to their sale in December.</w:t>
      </w:r>
    </w:p>
    <w:p>
      <w:pPr>
        <w:spacing w:after="0" w:line="86" w:lineRule="exact"/>
        <w:rPr>
          <w:rFonts w:ascii="Arial" w:cs="Arial" w:eastAsia="Arial" w:hAnsi="Arial"/>
          <w:sz w:val="16"/>
          <w:szCs w:val="16"/>
          <w:i w:val="1"/>
          <w:iCs w:val="1"/>
          <w:color w:val="auto"/>
        </w:rPr>
      </w:pPr>
    </w:p>
    <w:p>
      <w:pPr>
        <w:ind w:left="480" w:right="240"/>
        <w:spacing w:after="0" w:line="246" w:lineRule="auto"/>
        <w:rPr>
          <w:rFonts w:ascii="Arial" w:cs="Arial" w:eastAsia="Arial" w:hAnsi="Arial"/>
          <w:sz w:val="16"/>
          <w:szCs w:val="16"/>
          <w:i w:val="1"/>
          <w:iCs w:val="1"/>
          <w:color w:val="auto"/>
        </w:rPr>
      </w:pPr>
      <w:r>
        <w:rPr>
          <w:rFonts w:ascii="Arial" w:cs="Arial" w:eastAsia="Arial" w:hAnsi="Arial"/>
          <w:sz w:val="16"/>
          <w:szCs w:val="16"/>
          <w:color w:val="auto"/>
        </w:rPr>
        <w:t>2020 also recorded net cash inflows of $152.3 million from equity investments, attributed primarily to $179.1 million of net proceeds received from sale of our investment in RXR Realty and $87.4 million from recapitalization of our joint venture investment in Albertsons, both of which were partially offset by funding of our commitments to DBP I and additional draws on ADC loans.</w:t>
      </w:r>
    </w:p>
    <w:p>
      <w:pPr>
        <w:spacing w:after="0" w:line="89" w:lineRule="exact"/>
        <w:rPr>
          <w:rFonts w:ascii="Arial" w:cs="Arial" w:eastAsia="Arial" w:hAnsi="Arial"/>
          <w:sz w:val="16"/>
          <w:szCs w:val="16"/>
          <w:i w:val="1"/>
          <w:iCs w:val="1"/>
          <w:color w:val="auto"/>
        </w:rPr>
      </w:pPr>
    </w:p>
    <w:p>
      <w:pPr>
        <w:ind w:left="480" w:right="100"/>
        <w:spacing w:after="0" w:line="248" w:lineRule="auto"/>
        <w:rPr>
          <w:rFonts w:ascii="Arial" w:cs="Arial" w:eastAsia="Arial" w:hAnsi="Arial"/>
          <w:sz w:val="16"/>
          <w:szCs w:val="16"/>
          <w:i w:val="1"/>
          <w:iCs w:val="1"/>
          <w:color w:val="auto"/>
        </w:rPr>
      </w:pPr>
      <w:r>
        <w:rPr>
          <w:rFonts w:ascii="Arial" w:cs="Arial" w:eastAsia="Arial" w:hAnsi="Arial"/>
          <w:sz w:val="16"/>
          <w:szCs w:val="16"/>
          <w:color w:val="auto"/>
        </w:rPr>
        <w:t>Purchases and sales of equity investments include trading activities in marketable equity securities by our consolidated funds in the digital liquid strategy in both years, more so in 2021.</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Financing Activities</w:t>
      </w:r>
    </w:p>
    <w:p>
      <w:pPr>
        <w:spacing w:after="0" w:line="113"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We finance our investing activities largely through investment-level secured debt and capital from co-investors. We also draw upon our securitized financing facility to finance our investing and operating activities, as well as have the ability to raise capital in the public markets through issuances of preferred stock, common stock and private placement notes. Accordingly, we incur cash outlays for payments on our investment-level and corporate debt, dividends to our preferred stockholders and common stockholders (common dividends are temporarily suspended), as well as distributions to noncontrolling interests in our various investments.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Financing activities generated net cash inflows of $411.3 million in 2021 and $1.4 billion in 2020.</w:t>
      </w:r>
    </w:p>
    <w:p>
      <w:pPr>
        <w:spacing w:after="0" w:line="108" w:lineRule="exact"/>
        <w:rPr>
          <w:sz w:val="20"/>
          <w:szCs w:val="20"/>
          <w:color w:val="auto"/>
        </w:rPr>
      </w:pPr>
    </w:p>
    <w:p>
      <w:pPr>
        <w:ind w:left="480" w:right="100" w:hanging="136"/>
        <w:spacing w:after="0" w:line="241" w:lineRule="auto"/>
        <w:tabs>
          <w:tab w:leader="none" w:pos="446" w:val="left"/>
        </w:tabs>
        <w:numPr>
          <w:ilvl w:val="0"/>
          <w:numId w:val="59"/>
        </w:numPr>
        <w:rPr>
          <w:rFonts w:ascii="Arial" w:cs="Arial" w:eastAsia="Arial" w:hAnsi="Arial"/>
          <w:sz w:val="17"/>
          <w:szCs w:val="17"/>
          <w:i w:val="1"/>
          <w:iCs w:val="1"/>
          <w:color w:val="auto"/>
        </w:rPr>
      </w:pPr>
      <w:r>
        <w:rPr>
          <w:rFonts w:ascii="Arial" w:cs="Arial" w:eastAsia="Arial" w:hAnsi="Arial"/>
          <w:sz w:val="16"/>
          <w:szCs w:val="16"/>
          <w:color w:val="auto"/>
        </w:rPr>
        <w:t>In 2021, borrowings exceeded debt repayments at both the corporate and investment level, resulting in aggregate net cash inflows of $671.2 million. At the corporate level, we replaced our credit facility with a securitized financing facility, from which we issued $300 million of Class A-2 Notes in July. Investment-level financing activities included issuances of securitized notes and draws on variable funding notes by Vantage SDC to finance an add-on acquisition, future expansion capacity and capital expenditures, as well as by DataBank to refinance existing debt and fund future acquisition. There was also repayment of debt financing various real estate in Europe that were sold during the year.</w:t>
      </w:r>
    </w:p>
    <w:p>
      <w:pPr>
        <w:spacing w:after="0" w:line="94" w:lineRule="exact"/>
        <w:rPr>
          <w:sz w:val="20"/>
          <w:szCs w:val="20"/>
          <w:color w:val="auto"/>
        </w:rPr>
      </w:pPr>
    </w:p>
    <w:p>
      <w:pPr>
        <w:ind w:left="480" w:right="320"/>
        <w:spacing w:after="0" w:line="317" w:lineRule="auto"/>
        <w:rPr>
          <w:sz w:val="20"/>
          <w:szCs w:val="20"/>
          <w:color w:val="auto"/>
        </w:rPr>
      </w:pPr>
      <w:r>
        <w:rPr>
          <w:rFonts w:ascii="Arial" w:cs="Arial" w:eastAsia="Arial" w:hAnsi="Arial"/>
          <w:sz w:val="14"/>
          <w:szCs w:val="14"/>
          <w:color w:val="auto"/>
        </w:rPr>
        <w:t>In terms of cash outflows, we redeemed $150.3 million of preferred stock, applying some of the proceeds from our Class A-2 Notes. Dividend payments were $73.4 million, which is lower in 2021 following additional preferred stock redemptions and continued suspension of common stock dividends.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right="200"/>
        <w:spacing w:after="0" w:line="248" w:lineRule="auto"/>
        <w:rPr>
          <w:sz w:val="20"/>
          <w:szCs w:val="20"/>
          <w:color w:val="auto"/>
        </w:rPr>
      </w:pPr>
      <w:r>
        <w:rPr>
          <w:rFonts w:ascii="Arial" w:cs="Arial" w:eastAsia="Arial" w:hAnsi="Arial"/>
          <w:sz w:val="16"/>
          <w:szCs w:val="16"/>
          <w:color w:val="auto"/>
        </w:rPr>
        <w:t>Additionally, distributions outpaced contributions from noncontrolling interests, resulting in net cash outflow of $16.9 million, with gross activities during the year associated with third party co-investors primarily in the OED portfolio prior to deconsolidation upon sale of our interests in December.</w:t>
      </w:r>
    </w:p>
    <w:p>
      <w:pPr>
        <w:spacing w:after="0" w:line="88" w:lineRule="exact"/>
        <w:rPr>
          <w:sz w:val="20"/>
          <w:szCs w:val="20"/>
          <w:color w:val="auto"/>
        </w:rPr>
      </w:pPr>
    </w:p>
    <w:p>
      <w:pPr>
        <w:ind w:left="480" w:hanging="136"/>
        <w:spacing w:after="0" w:line="244" w:lineRule="auto"/>
        <w:tabs>
          <w:tab w:leader="none" w:pos="476" w:val="left"/>
        </w:tabs>
        <w:numPr>
          <w:ilvl w:val="0"/>
          <w:numId w:val="60"/>
        </w:numPr>
        <w:rPr>
          <w:rFonts w:ascii="Arial" w:cs="Arial" w:eastAsia="Arial" w:hAnsi="Arial"/>
          <w:sz w:val="16"/>
          <w:szCs w:val="16"/>
          <w:i w:val="1"/>
          <w:iCs w:val="1"/>
          <w:color w:val="auto"/>
        </w:rPr>
      </w:pPr>
      <w:r>
        <w:rPr>
          <w:rFonts w:ascii="Arial" w:cs="Arial" w:eastAsia="Arial" w:hAnsi="Arial"/>
          <w:sz w:val="16"/>
          <w:szCs w:val="16"/>
          <w:color w:val="auto"/>
        </w:rPr>
        <w:t>The significant financing net cash inflows in 2020 were driven by $1.8 billion of net contributions from noncontrolling interests, of which $1.5 billion represented third party investors in Vantage SDC and zColo, primarily fee bearing capital that we raised, and a $253.6 million investment by Wafra in our digital investment management business. Additionally, borrowings on our investment level debt exceeded repayments for a net cash inflow of $278.1 million, which included $550.0 million of debt drawn to finance our acquisition of zColo. However, these financing cash inflows were partially offset by: (i) $402.9 million settlement in January 2020 of the December 2019 redemption of our Series B and E preferred stock using proceeds from our industrial sale in December 2019; (ii) higher dividend payments of $185.8 million which included common stock dividends in the first quarter of 2020 in addition to preferred stock; and (iv) partial repurchase of our 3.875% convertible senior notes for $81.3 million through a tender offer in September 2020. An additional repurchase of our 3.875% convertible senior notes for $289.7 million was made through a concurrent application of all of the net proceeds from our issuance of $300.0 million of new 5.75% exchangeable senior notes in July 2020.</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Guarantees and Off-Balance Sheet Arrangements</w:t>
      </w:r>
    </w:p>
    <w:p>
      <w:pPr>
        <w:spacing w:after="0" w:line="115" w:lineRule="exact"/>
        <w:rPr>
          <w:sz w:val="20"/>
          <w:szCs w:val="20"/>
          <w:color w:val="auto"/>
        </w:rPr>
      </w:pPr>
    </w:p>
    <w:p>
      <w:pPr>
        <w:ind w:right="200" w:firstLine="351"/>
        <w:spacing w:after="0" w:line="248" w:lineRule="auto"/>
        <w:rPr>
          <w:sz w:val="20"/>
          <w:szCs w:val="20"/>
          <w:color w:val="auto"/>
        </w:rPr>
      </w:pPr>
      <w:r>
        <w:rPr>
          <w:rFonts w:ascii="Arial" w:cs="Arial" w:eastAsia="Arial" w:hAnsi="Arial"/>
          <w:sz w:val="16"/>
          <w:szCs w:val="16"/>
          <w:color w:val="auto"/>
        </w:rPr>
        <w:t>In connection with financing arrangements for certain unconsolidated ventures, we provided customary non-recourse carve-out guarantees. We believe that the likelihood of making any payments under the guarantees is remote.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5"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Our financial statements are prepared in accordance with GAAP, which requires the use of estimates and assumptions that involve the exercise of judgment and that affect the reported amounts of assets, liabilities, and the disclosure of contingent assets and liabilities at the date of the financial statements and the reported amounts of revenues and expenses during the reporting period. Our critical accounting policies and estimates are integral to understanding and evaluating our reported financial results as they require subjective or complex management judgments, resulting from the need to make estimates about the effect of matters that are inherently uncertain and unpredictable.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Highlighted below are accounting policies and estimates that we believe to be critical based on the nature of our</w:t>
      </w:r>
    </w:p>
    <w:p>
      <w:pPr>
        <w:spacing w:after="0" w:line="3" w:lineRule="exact"/>
        <w:rPr>
          <w:sz w:val="20"/>
          <w:szCs w:val="20"/>
          <w:color w:val="auto"/>
        </w:rPr>
      </w:pPr>
    </w:p>
    <w:p>
      <w:pPr>
        <w:ind w:right="280"/>
        <w:spacing w:after="0" w:line="298" w:lineRule="auto"/>
        <w:rPr>
          <w:sz w:val="20"/>
          <w:szCs w:val="20"/>
          <w:color w:val="auto"/>
        </w:rPr>
      </w:pPr>
      <w:r>
        <w:rPr>
          <w:rFonts w:ascii="Arial" w:cs="Arial" w:eastAsia="Arial" w:hAnsi="Arial"/>
          <w:sz w:val="14"/>
          <w:szCs w:val="14"/>
          <w:color w:val="auto"/>
        </w:rPr>
        <w:t>business and/or require significant management judgment and assumptions. With respect to all critical estimates discussed below, we have established policies and control procedures which seek to ensure that estimates and assumptions are appropriately governed and applied consistently from period to period. We believe that all of the decisions and assessments applied were reasonable at the time made, based upon information available to us at that time.</w:t>
      </w:r>
    </w:p>
    <w:p>
      <w:pPr>
        <w:spacing w:after="0" w:line="55" w:lineRule="exact"/>
        <w:rPr>
          <w:sz w:val="20"/>
          <w:szCs w:val="20"/>
          <w:color w:val="auto"/>
        </w:rPr>
      </w:pPr>
    </w:p>
    <w:p>
      <w:pPr>
        <w:ind w:right="420" w:firstLine="351"/>
        <w:spacing w:after="0" w:line="248" w:lineRule="auto"/>
        <w:rPr>
          <w:sz w:val="20"/>
          <w:szCs w:val="20"/>
          <w:color w:val="auto"/>
        </w:rPr>
      </w:pPr>
      <w:r>
        <w:rPr>
          <w:rFonts w:ascii="Arial" w:cs="Arial" w:eastAsia="Arial" w:hAnsi="Arial"/>
          <w:sz w:val="16"/>
          <w:szCs w:val="16"/>
          <w:color w:val="auto"/>
        </w:rPr>
        <w:t>Due to the inherently judgmental nature of the various projections and assumptions used, and unpredictability of economic and market conditions, actual results may differ from estimates, and changes in estimates and assumptions could have a material effect on our financial statements in the future.</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Impairment</w:t>
      </w:r>
    </w:p>
    <w:p>
      <w:pPr>
        <w:spacing w:after="0" w:line="115" w:lineRule="exact"/>
        <w:rPr>
          <w:sz w:val="20"/>
          <w:szCs w:val="20"/>
          <w:color w:val="auto"/>
        </w:rPr>
      </w:pPr>
    </w:p>
    <w:p>
      <w:pPr>
        <w:ind w:right="360" w:firstLine="351"/>
        <w:spacing w:after="0" w:line="317" w:lineRule="auto"/>
        <w:rPr>
          <w:sz w:val="20"/>
          <w:szCs w:val="20"/>
          <w:color w:val="auto"/>
        </w:rPr>
      </w:pPr>
      <w:r>
        <w:rPr>
          <w:rFonts w:ascii="Arial" w:cs="Arial" w:eastAsia="Arial" w:hAnsi="Arial"/>
          <w:sz w:val="14"/>
          <w:szCs w:val="14"/>
          <w:color w:val="auto"/>
        </w:rPr>
        <w:t>In connection with our review and preparation of the financial statements, prior to and subsequent to each quarter end, we evaluate if prevailing events or changes in circumstances indicate that carrying values of the following assets may not be recoverable, in which case, an impairment analysis is performed.</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Assets Held for Disposition</w:t>
      </w:r>
    </w:p>
    <w:p>
      <w:pPr>
        <w:spacing w:after="0" w:line="115"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For assets that meet the criteria to be classified as held for disposition, impairment loss may be recognized in order to reduce the asset carrying amount to its estimated fair value less disposal costs. Depending on specific circumstances at the time the asset is classified as held for disposition, fair value is generally estimated based upon either a letter of intent setting out preliminary terms for a potential acquisition by a buyer, a contracted sales price, or derived using market comparables or other indicative pricing in the market. Until such time a disposition is consummated, the asset fair values may be subject to change, including the determination of disposal costs and various closing adjustments that may involve the application of estimates and assumptions. If fair value is determined to have increased subsequent to classifying an asset as held for disposition, impairment loss may be reversed up to the amount of cumulative loss previously recognized. For disposition of a portfolio of assets in bulk, the unit of account is the disposal group, which may require an allocation of the aggregate impairment loss to individual assets within the disposal group and such allocation could involve subjectivity and judgement.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firstLine="351"/>
        <w:spacing w:after="0" w:line="248" w:lineRule="auto"/>
        <w:rPr>
          <w:sz w:val="20"/>
          <w:szCs w:val="20"/>
          <w:color w:val="auto"/>
        </w:rPr>
      </w:pPr>
      <w:r>
        <w:rPr>
          <w:rFonts w:ascii="Arial" w:cs="Arial" w:eastAsia="Arial" w:hAnsi="Arial"/>
          <w:sz w:val="16"/>
          <w:szCs w:val="16"/>
          <w:color w:val="auto"/>
        </w:rPr>
        <w:t>In 2021, the Company classified its portfolio of OED investments, Other IM business and Wellness Infrastructure business as held for disposition and wrote down the carrying value of these assets, as discussed in Notes 1 and 11 of the consolidated financial statements.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Real Estate Held for Investment</w:t>
      </w:r>
    </w:p>
    <w:p>
      <w:pPr>
        <w:spacing w:after="0" w:line="115"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Triggering events that may indicate potential impairment of our real estate held for investment include, but are not limited to, the Company's shortened hold period assumptions; deterioration in current and/or projected net operating income; significant near-term lease expirations; decline in occupancy; or other customer or market conditions that would negatively affect property operating cash flows.</w:t>
      </w:r>
    </w:p>
    <w:p>
      <w:pPr>
        <w:spacing w:after="0" w:line="89" w:lineRule="exact"/>
        <w:rPr>
          <w:sz w:val="20"/>
          <w:szCs w:val="20"/>
          <w:color w:val="auto"/>
        </w:rPr>
      </w:pPr>
    </w:p>
    <w:p>
      <w:pPr>
        <w:jc w:val="both"/>
        <w:ind w:firstLine="351"/>
        <w:spacing w:after="0" w:line="278" w:lineRule="auto"/>
        <w:rPr>
          <w:sz w:val="20"/>
          <w:szCs w:val="20"/>
          <w:color w:val="auto"/>
        </w:rPr>
      </w:pPr>
      <w:r>
        <w:rPr>
          <w:rFonts w:ascii="Arial" w:cs="Arial" w:eastAsia="Arial" w:hAnsi="Arial"/>
          <w:sz w:val="14"/>
          <w:szCs w:val="14"/>
          <w:color w:val="auto"/>
        </w:rPr>
        <w:t>The carrying amount of real estate held for investment is not recoverable if it exceeds the undiscounted future net cash flows expected to be generated by the property, including any estimated proceeds from eventual disposition of the property. If multiple outcomes are under consideration, the Company may apply either a probability-weighted cash flows approach or the single-most-likely estimate of cash flows approach, whichever is more appropriate under the circumstances.</w:t>
      </w:r>
    </w:p>
    <w:p>
      <w:pPr>
        <w:spacing w:after="0" w:line="2"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Impairment is recognized to reduce the carrying value of the property to its estimated fair value, generally based upon a discounted net cash flow analysis which applies a terminal capitalization rate at the end of the projection period to derive an exit value, or a direct capitalization approach which applies an overall capitalization rate to expected net operating income to estimate current property value.</w:t>
      </w:r>
    </w:p>
    <w:p>
      <w:pPr>
        <w:spacing w:after="0" w:line="89" w:lineRule="exact"/>
        <w:rPr>
          <w:sz w:val="20"/>
          <w:szCs w:val="20"/>
          <w:color w:val="auto"/>
        </w:rPr>
      </w:pPr>
    </w:p>
    <w:p>
      <w:pPr>
        <w:ind w:right="500" w:firstLine="351"/>
        <w:spacing w:after="0" w:line="245" w:lineRule="auto"/>
        <w:rPr>
          <w:sz w:val="20"/>
          <w:szCs w:val="20"/>
          <w:color w:val="auto"/>
        </w:rPr>
      </w:pPr>
      <w:r>
        <w:rPr>
          <w:rFonts w:ascii="Arial" w:cs="Arial" w:eastAsia="Arial" w:hAnsi="Arial"/>
          <w:sz w:val="16"/>
          <w:szCs w:val="16"/>
          <w:color w:val="auto"/>
        </w:rPr>
        <w:t>Estimation of future net cash flows involves significant judgment and assumptions, including, but not limited to, the Company's anticipated hold period; probability-weighting to different cash flow scenarios or the determination of the single-most-likely cash flow scenario, where applicable; available market information such as competition levels, leasing trends, occupancy trends, lease rates, and market prices of similar properties recently sold or currently being offered for sale; and capitalization rates.</w:t>
      </w:r>
    </w:p>
    <w:p>
      <w:pPr>
        <w:spacing w:after="0" w:line="91" w:lineRule="exact"/>
        <w:rPr>
          <w:sz w:val="20"/>
          <w:szCs w:val="20"/>
          <w:color w:val="auto"/>
        </w:rPr>
      </w:pPr>
    </w:p>
    <w:p>
      <w:pPr>
        <w:ind w:right="640" w:firstLine="351"/>
        <w:spacing w:after="0" w:line="248" w:lineRule="auto"/>
        <w:rPr>
          <w:sz w:val="20"/>
          <w:szCs w:val="20"/>
          <w:color w:val="auto"/>
        </w:rPr>
      </w:pPr>
      <w:r>
        <w:rPr>
          <w:rFonts w:ascii="Arial" w:cs="Arial" w:eastAsia="Arial" w:hAnsi="Arial"/>
          <w:sz w:val="16"/>
          <w:szCs w:val="16"/>
          <w:color w:val="auto"/>
        </w:rPr>
        <w:t>Refer to Note 11 of the consolidated financial statements for a discussion of impairment recorded on real estate prior to their classification as held for disposition.</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Significant equity method investments that are subject to periodic impairment assessment include the Company's investment in BRSP.</w:t>
      </w:r>
    </w:p>
    <w:p>
      <w:pPr>
        <w:spacing w:after="0" w:line="97" w:lineRule="exact"/>
        <w:rPr>
          <w:sz w:val="20"/>
          <w:szCs w:val="20"/>
          <w:color w:val="auto"/>
        </w:rPr>
      </w:pPr>
    </w:p>
    <w:p>
      <w:pPr>
        <w:ind w:right="180" w:firstLine="351"/>
        <w:spacing w:after="0" w:line="246" w:lineRule="auto"/>
        <w:rPr>
          <w:sz w:val="20"/>
          <w:szCs w:val="20"/>
          <w:color w:val="auto"/>
        </w:rPr>
      </w:pPr>
      <w:r>
        <w:rPr>
          <w:rFonts w:ascii="Arial" w:cs="Arial" w:eastAsia="Arial" w:hAnsi="Arial"/>
          <w:sz w:val="16"/>
          <w:szCs w:val="16"/>
          <w:color w:val="auto"/>
        </w:rPr>
        <w:t>Indicators of impairment on equity method investments generally include the Company's shortened hold period assumptions; significant deterioration in earnings performance, asset quality, or business prospects of the investee; or significant adverse change in the industry, economic, or market environment of the investee.</w:t>
      </w:r>
    </w:p>
    <w:p>
      <w:pPr>
        <w:spacing w:after="0" w:line="89" w:lineRule="exact"/>
        <w:rPr>
          <w:sz w:val="20"/>
          <w:szCs w:val="20"/>
          <w:color w:val="auto"/>
        </w:rPr>
      </w:pPr>
    </w:p>
    <w:p>
      <w:pPr>
        <w:jc w:val="both"/>
        <w:ind w:right="600" w:firstLine="351"/>
        <w:spacing w:after="0" w:line="246" w:lineRule="auto"/>
        <w:rPr>
          <w:sz w:val="20"/>
          <w:szCs w:val="20"/>
          <w:color w:val="auto"/>
        </w:rPr>
      </w:pPr>
      <w:r>
        <w:rPr>
          <w:rFonts w:ascii="Arial" w:cs="Arial" w:eastAsia="Arial" w:hAnsi="Arial"/>
          <w:sz w:val="16"/>
          <w:szCs w:val="16"/>
          <w:color w:val="auto"/>
        </w:rPr>
        <w:t>If indicators of impairment exist, the Company estimates the fair value of its equity method investment, which considers factors such as the estimated enterprise value of the investee, fair value of the investee's underlying net assets, or net cash flows to be generated by the investee, and for equity method investees with publicly-traded equity, the traded price of the equity securities in an active market.</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Further consideration is made if a decrease in the fair value of equity method investments is other-than-temporary to determine if impairment loss should be recognized. Assessment of other-than-temporary impairment may involve significant management judgment, including, but not limited to, consideration of the investee’s current and projected financial condition and earnings, business prospects and creditworthiness; significant and prolonged decline in traded price of the investee’s equity security; or the Company's ability and intent to hold the investment until recovery of its carrying value. If management is unable to reasonably assert that an impairment is temporary or believes that the Company may not fully recover the carrying value of its investment, then the impairment is considered to be other-than-temporary.</w:t>
      </w:r>
    </w:p>
    <w:p>
      <w:pPr>
        <w:spacing w:after="0" w:line="94" w:lineRule="exact"/>
        <w:rPr>
          <w:sz w:val="20"/>
          <w:szCs w:val="20"/>
          <w:color w:val="auto"/>
        </w:rPr>
      </w:pPr>
    </w:p>
    <w:p>
      <w:pPr>
        <w:ind w:right="80" w:firstLine="351"/>
        <w:spacing w:after="0" w:line="248" w:lineRule="auto"/>
        <w:rPr>
          <w:sz w:val="20"/>
          <w:szCs w:val="20"/>
          <w:color w:val="auto"/>
        </w:rPr>
      </w:pPr>
      <w:r>
        <w:rPr>
          <w:rFonts w:ascii="Arial" w:cs="Arial" w:eastAsia="Arial" w:hAnsi="Arial"/>
          <w:sz w:val="16"/>
          <w:szCs w:val="16"/>
          <w:color w:val="auto"/>
        </w:rPr>
        <w:t>Refer to Note 11 of the consolidated financial statements for a discussion of impairment recorded on equity method investments prior to their classification as held for disposition and to Note 5 for assessment of other-than-temporary impairment of our investment in BRSP in prior years, .</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Goodwill</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December 31, 2021, the Company's goodwill is associated with its digital investment management and digital operating businesses.</w:t>
      </w:r>
    </w:p>
    <w:p>
      <w:pPr>
        <w:spacing w:after="0" w:line="97" w:lineRule="exact"/>
        <w:rPr>
          <w:sz w:val="20"/>
          <w:szCs w:val="20"/>
          <w:color w:val="auto"/>
        </w:rPr>
      </w:pPr>
    </w:p>
    <w:p>
      <w:pPr>
        <w:jc w:val="both"/>
        <w:ind w:right="140" w:firstLine="386"/>
        <w:spacing w:after="0" w:line="298" w:lineRule="auto"/>
        <w:rPr>
          <w:sz w:val="20"/>
          <w:szCs w:val="20"/>
          <w:color w:val="auto"/>
        </w:rPr>
      </w:pPr>
      <w:r>
        <w:rPr>
          <w:rFonts w:ascii="Arial" w:cs="Arial" w:eastAsia="Arial" w:hAnsi="Arial"/>
          <w:sz w:val="14"/>
          <w:szCs w:val="14"/>
          <w:color w:val="auto"/>
        </w:rPr>
        <w:t>Goodwill is tested for impairment at the reporting unit to which it is assigned, which can be an operating segment or one level below an operating segment. The assessment of goodwill for impairment may initially be performed based on qualitative factors to determine if it is more likely than not that the fair value of the reporting unit is less than its carrying value, including goodwill. If so, a quantitative assessment is performed, and to the extent the carrying value of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reporting unit exceeds its fair value, impairment is recognized for the excess up to the amount of goodwill assigned to the reporting unit. Alternatively, the Company may bypass a qualitative assessment and proceed directly to a quantitative assessment.</w:t>
      </w:r>
    </w:p>
    <w:p>
      <w:pPr>
        <w:spacing w:after="0" w:line="88" w:lineRule="exact"/>
        <w:rPr>
          <w:sz w:val="20"/>
          <w:szCs w:val="20"/>
          <w:color w:val="auto"/>
        </w:rPr>
      </w:pPr>
    </w:p>
    <w:p>
      <w:pPr>
        <w:ind w:right="220" w:firstLine="386"/>
        <w:spacing w:after="0" w:line="246" w:lineRule="auto"/>
        <w:rPr>
          <w:sz w:val="20"/>
          <w:szCs w:val="20"/>
          <w:color w:val="auto"/>
        </w:rPr>
      </w:pPr>
      <w:r>
        <w:rPr>
          <w:rFonts w:ascii="Arial" w:cs="Arial" w:eastAsia="Arial" w:hAnsi="Arial"/>
          <w:sz w:val="16"/>
          <w:szCs w:val="16"/>
          <w:color w:val="auto"/>
        </w:rPr>
        <w:t>A qualitative assessment considers various factors such as macroeconomic, industry and market conditions to the extent they affect the earnings performance of the reporting unit, changes in business strategy and/or management of the reporting unit, changes in composition or mix of revenues and/or cost structure of the reporting unit, financial performance and business prospects of the reporting unit, among other factors.</w:t>
      </w:r>
    </w:p>
    <w:p>
      <w:pPr>
        <w:spacing w:after="0" w:line="89" w:lineRule="exact"/>
        <w:rPr>
          <w:sz w:val="20"/>
          <w:szCs w:val="20"/>
          <w:color w:val="auto"/>
        </w:rPr>
      </w:pPr>
    </w:p>
    <w:p>
      <w:pPr>
        <w:ind w:right="20" w:firstLine="386"/>
        <w:spacing w:after="0" w:line="286" w:lineRule="auto"/>
        <w:rPr>
          <w:sz w:val="20"/>
          <w:szCs w:val="20"/>
          <w:color w:val="auto"/>
        </w:rPr>
      </w:pPr>
      <w:r>
        <w:rPr>
          <w:rFonts w:ascii="Arial" w:cs="Arial" w:eastAsia="Arial" w:hAnsi="Arial"/>
          <w:sz w:val="14"/>
          <w:szCs w:val="14"/>
          <w:color w:val="auto"/>
        </w:rPr>
        <w:t>In a quantitative assessment, significant judgment, assumptions and estimates are applied in determining the fair value of reporting units. The Company has generally used the income approach to estimate fair value by discounting the projected net cash flows of the reporting unit, and may corroborate with market-based data where available and appropriate. Projection of future cash flows is based upon various factors, including, but not limited to, our strategic plans in regard to our business and operations, internal forecasts, terminal year residual revenue multiples, operating profit margins, pricing of similar businesses and comparable transactions where applicable, and risk-adjusted discount rates to present value future cash flows. Given the level of sensitivity in the inputs, a change in the value of any one input, in isolation or in combination, could significantly affect the overall estimation of fair value of the reporting unit.</w:t>
      </w:r>
    </w:p>
    <w:p>
      <w:pPr>
        <w:spacing w:after="0" w:line="65" w:lineRule="exact"/>
        <w:rPr>
          <w:sz w:val="20"/>
          <w:szCs w:val="20"/>
          <w:color w:val="auto"/>
        </w:rPr>
      </w:pPr>
    </w:p>
    <w:p>
      <w:pPr>
        <w:ind w:right="140" w:firstLine="351"/>
        <w:spacing w:after="0" w:line="246" w:lineRule="auto"/>
        <w:rPr>
          <w:sz w:val="20"/>
          <w:szCs w:val="20"/>
          <w:color w:val="auto"/>
        </w:rPr>
      </w:pPr>
      <w:r>
        <w:rPr>
          <w:rFonts w:ascii="Arial" w:cs="Arial" w:eastAsia="Arial" w:hAnsi="Arial"/>
          <w:sz w:val="16"/>
          <w:szCs w:val="16"/>
          <w:color w:val="auto"/>
        </w:rPr>
        <w:t>The Company determined that there were no indicators of impairment to goodwill in 2021. Refer to Note 11 of the consolidated financial statements for a discussion of impairment recorded on the Other IM goodwill in prior years, including triggering events, and methodology and inputs applied in estimating fair value of the Other IM reporting unit.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Fair Value</w:t>
      </w:r>
    </w:p>
    <w:p>
      <w:pPr>
        <w:spacing w:after="0" w:line="115" w:lineRule="exact"/>
        <w:rPr>
          <w:sz w:val="20"/>
          <w:szCs w:val="20"/>
          <w:color w:val="auto"/>
        </w:rPr>
      </w:pPr>
    </w:p>
    <w:p>
      <w:pPr>
        <w:jc w:val="both"/>
        <w:ind w:right="120" w:firstLine="351"/>
        <w:spacing w:after="0" w:line="246" w:lineRule="auto"/>
        <w:rPr>
          <w:sz w:val="20"/>
          <w:szCs w:val="20"/>
          <w:color w:val="auto"/>
        </w:rPr>
      </w:pPr>
      <w:r>
        <w:rPr>
          <w:rFonts w:ascii="Arial" w:cs="Arial" w:eastAsia="Arial" w:hAnsi="Arial"/>
          <w:sz w:val="16"/>
          <w:szCs w:val="16"/>
          <w:color w:val="auto"/>
        </w:rPr>
        <w:t>The Company carries certain assets at fair value on a recurring basis or at the time of initial acquisition. The Company has elected the fair value option for all loans receivable effective January 1, 2020. In a business combination or asset acquisition, all assets acquired and liabilities assumed are initially measured at fair value upon acquisition.</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Loans Receivable</w:t>
      </w:r>
    </w:p>
    <w:p>
      <w:pPr>
        <w:spacing w:after="0" w:line="115"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Certain loans receivable are classified under Level 3 of the fair value hierarchy, with the measurement of fair value using at least one unobservable input that is significant and requiring management judgment. Level 3 fair value for loans receivable are generally estimated based upon the income approach, applying a discounted cash flow model. This involves a projection of principal and interest that are expected to be collected, and includes consideration of factors such as the financial standing and credit risk of the borrower or sponsor, operating results and/or value of the underlying collateral, and market yields for loans with similar credit risk and other characteristics. In times of adverse economic conditions, the judgment applied in estimating unobservable inputs is subject to a greater degree of uncertainty.</w:t>
      </w:r>
    </w:p>
    <w:p>
      <w:pPr>
        <w:spacing w:after="0" w:line="94" w:lineRule="exact"/>
        <w:rPr>
          <w:sz w:val="20"/>
          <w:szCs w:val="20"/>
          <w:color w:val="auto"/>
        </w:rPr>
      </w:pPr>
    </w:p>
    <w:p>
      <w:pPr>
        <w:ind w:left="280" w:right="180" w:firstLine="70"/>
        <w:spacing w:after="0" w:line="366" w:lineRule="auto"/>
        <w:rPr>
          <w:sz w:val="20"/>
          <w:szCs w:val="20"/>
          <w:color w:val="auto"/>
        </w:rPr>
      </w:pPr>
      <w:r>
        <w:rPr>
          <w:rFonts w:ascii="Arial" w:cs="Arial" w:eastAsia="Arial" w:hAnsi="Arial"/>
          <w:sz w:val="16"/>
          <w:szCs w:val="16"/>
          <w:color w:val="auto"/>
        </w:rPr>
        <w:t xml:space="preserve">Refer to Notes 13 and 11 of the consolidated financial statements for additional information on the inputs applied in estimating fair value of loans receivable. </w:t>
      </w:r>
      <w:r>
        <w:rPr>
          <w:rFonts w:ascii="Arial" w:cs="Arial" w:eastAsia="Arial" w:hAnsi="Arial"/>
          <w:sz w:val="16"/>
          <w:szCs w:val="16"/>
          <w:b w:val="1"/>
          <w:bCs w:val="1"/>
          <w:i w:val="1"/>
          <w:iCs w:val="1"/>
          <w:color w:val="auto"/>
        </w:rPr>
        <w:t>Allocation of Purchase Consideration</w:t>
      </w:r>
    </w:p>
    <w:p>
      <w:pPr>
        <w:ind w:firstLine="351"/>
        <w:spacing w:after="0" w:line="245" w:lineRule="auto"/>
        <w:rPr>
          <w:sz w:val="20"/>
          <w:szCs w:val="20"/>
          <w:color w:val="auto"/>
        </w:rPr>
      </w:pPr>
      <w:r>
        <w:rPr>
          <w:rFonts w:ascii="Arial" w:cs="Arial" w:eastAsia="Arial" w:hAnsi="Arial"/>
          <w:sz w:val="16"/>
          <w:szCs w:val="16"/>
          <w:color w:val="auto"/>
        </w:rPr>
        <w:t>In a business combination, the Company measures the assets acquired, liabilities assumed and any noncontrolling interests of the acquiree at their acquisition date fair values, with the excess of purchase consideration over the fair value of net assets acquired and the fair value of any previously held interest in the acquiree, recognized as goodwill. In an asset acquisition, the Company allocates the purchase consideration to the assets acquired and liabilities assumed based upon their relative fair values, which does not give rise to goodwill.</w:t>
      </w:r>
    </w:p>
    <w:p>
      <w:pPr>
        <w:spacing w:after="0" w:line="91"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The estimation of fair value of the assets acquired and liabilities assumed involves significant judgment and assumptions. Acquired assets are generally composed of real estate, lease right-of-use ("ROU") asset, lease-related intangibles, investment management related intangibles, and other identifiable intangibles such as customer contracts, customer relationships and trade names. The Company generally values real estate based upon their replacement cost for buildings (in an as-vacant state), improvements and data center infrastructure, and based upon comparable sales or current listings for land. Lease ROU assets are measured based upon future lease payments over the lease term, adjusted for any lease incentives and capitalized direct leasing costs, and discounted at the incremental borrowing rate. Identifiable intangible assets are typically valued using the income approach based upon net cash flows expected to be generated by the assets, discounted to present value. Estimates applied include, but are not limited to: (i) construction costs for buildings and improvements; (ii) cost per kilowatt and costs of design, engineering, construction and installation for data center infrastructure; and (iii) for intangible assets, expected future cash flows, reinvestment rates by existing investors in our investment management business, lease renewal rates, customer attrition rates, discount rates, and useful lives. These estimates are based upon assumptions that management believes a market participant would apply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valuing the assets. These estimates and assumptions are forward-looking and are subject to uncertainties in future economic, market and industry conditions.</w:t>
      </w:r>
    </w:p>
    <w:p>
      <w:pPr>
        <w:spacing w:after="0" w:line="85" w:lineRule="exact"/>
        <w:rPr>
          <w:sz w:val="20"/>
          <w:szCs w:val="20"/>
          <w:color w:val="auto"/>
        </w:rPr>
      </w:pPr>
    </w:p>
    <w:p>
      <w:pPr>
        <w:ind w:right="400" w:firstLine="351"/>
        <w:spacing w:after="0" w:line="228" w:lineRule="auto"/>
        <w:rPr>
          <w:sz w:val="20"/>
          <w:szCs w:val="20"/>
          <w:color w:val="auto"/>
        </w:rPr>
      </w:pPr>
      <w:r>
        <w:rPr>
          <w:rFonts w:ascii="Arial" w:cs="Arial" w:eastAsia="Arial" w:hAnsi="Arial"/>
          <w:sz w:val="16"/>
          <w:szCs w:val="16"/>
          <w:color w:val="auto"/>
        </w:rPr>
        <w:t>Refer to Note 3 of the consolidated financial statements for additional discussion of the methodology and inputs applied in estimating fair value of assets acquired and liabilities assumed.</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Equity Method Earnings</w:t>
      </w:r>
      <w:r>
        <w:rPr>
          <w:rFonts w:ascii="Arial" w:cs="Arial" w:eastAsia="Arial" w:hAnsi="Arial"/>
          <w:sz w:val="16"/>
          <w:szCs w:val="16"/>
          <w:i w:val="1"/>
          <w:iCs w:val="1"/>
          <w:color w:val="auto"/>
        </w:rPr>
        <w:t>—</w:t>
      </w:r>
      <w:r>
        <w:rPr>
          <w:rFonts w:ascii="Arial" w:cs="Arial" w:eastAsia="Arial" w:hAnsi="Arial"/>
          <w:sz w:val="16"/>
          <w:szCs w:val="16"/>
          <w:b w:val="1"/>
          <w:bCs w:val="1"/>
          <w:color w:val="auto"/>
        </w:rPr>
        <w:t>Carried Interest</w:t>
      </w:r>
    </w:p>
    <w:p>
      <w:pPr>
        <w:spacing w:after="0" w:line="103" w:lineRule="exact"/>
        <w:rPr>
          <w:sz w:val="20"/>
          <w:szCs w:val="20"/>
          <w:color w:val="auto"/>
        </w:rPr>
      </w:pPr>
    </w:p>
    <w:p>
      <w:pPr>
        <w:ind w:firstLine="351"/>
        <w:spacing w:after="0" w:line="249" w:lineRule="auto"/>
        <w:rPr>
          <w:sz w:val="20"/>
          <w:szCs w:val="20"/>
          <w:color w:val="auto"/>
        </w:rPr>
      </w:pPr>
      <w:r>
        <w:rPr>
          <w:rFonts w:ascii="Arial" w:cs="Arial" w:eastAsia="Arial" w:hAnsi="Arial"/>
          <w:sz w:val="14"/>
          <w:szCs w:val="14"/>
          <w:color w:val="auto"/>
        </w:rPr>
        <w:t>The Company recognizes carried interests from its equity method investments as general partner in investment vehicles that it sponsors. Carried interest represents a disproportionate allocation of returns from the Company's sponsored investment vehicles based upon the extent to which cumulative performance of the vehicles exceeds minimum return hurdles pursuant to terms of their respective governing agreements. The amount of carried interest recognized is based upon the cumulative performance of each investment vehicle if it were liquidated as of the reporting date, which in turn is largely driven by appreciation in value of the underlying investments held by these vehicles. Fair value of the underlying investments is typically estimated using unobservable inputs and assumptions that involves significant judgement and is therefore subject to inherent uncertainties. The investments held by sponsored vehicles are revalued each quarter, with the results subject to the Company's valuation review and approval process. Carried interest is subject to reversal until such time it is realized, which generally occurs upon disposition of all underlying investments of an investment vehicle, or in part with each disposition. A portion of carried interest is allocated to certain employees, and is similarly subject to reversal if there is a decline in the cumulative carried interest amounts previously recognized.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Consolidation</w:t>
      </w:r>
    </w:p>
    <w:p>
      <w:pPr>
        <w:spacing w:after="0" w:line="115" w:lineRule="exact"/>
        <w:rPr>
          <w:sz w:val="20"/>
          <w:szCs w:val="20"/>
          <w:color w:val="auto"/>
        </w:rPr>
      </w:pPr>
    </w:p>
    <w:p>
      <w:pPr>
        <w:ind w:right="120" w:firstLine="351"/>
        <w:spacing w:after="0" w:line="248" w:lineRule="auto"/>
        <w:rPr>
          <w:sz w:val="20"/>
          <w:szCs w:val="20"/>
          <w:color w:val="auto"/>
        </w:rPr>
      </w:pPr>
      <w:r>
        <w:rPr>
          <w:rFonts w:ascii="Arial" w:cs="Arial" w:eastAsia="Arial" w:hAnsi="Arial"/>
          <w:sz w:val="16"/>
          <w:szCs w:val="16"/>
          <w:color w:val="auto"/>
        </w:rPr>
        <w:t>The determination of whether the Company has a controlling financial interest and therefore consolidates an entity can significantly affect presentation in the consolidated financial statements.</w:t>
      </w:r>
    </w:p>
    <w:p>
      <w:pPr>
        <w:spacing w:after="0" w:line="88" w:lineRule="exact"/>
        <w:rPr>
          <w:sz w:val="20"/>
          <w:szCs w:val="20"/>
          <w:color w:val="auto"/>
        </w:rPr>
      </w:pPr>
    </w:p>
    <w:p>
      <w:pPr>
        <w:ind w:right="20" w:firstLine="386"/>
        <w:spacing w:after="0" w:line="244" w:lineRule="auto"/>
        <w:rPr>
          <w:sz w:val="20"/>
          <w:szCs w:val="20"/>
          <w:color w:val="auto"/>
        </w:rPr>
      </w:pPr>
      <w:r>
        <w:rPr>
          <w:rFonts w:ascii="Arial" w:cs="Arial" w:eastAsia="Arial" w:hAnsi="Arial"/>
          <w:sz w:val="16"/>
          <w:szCs w:val="16"/>
          <w:color w:val="auto"/>
        </w:rPr>
        <w:t>A consolidation assessment at the onset of the Company's initial investment in or other involvement with an entity as well as reassessments on an ongoing basis, may involve significant judgement, more so if an entity is determined to be a variable interest entity ("VIE").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depends upon facts and circumstances specific to an entity at the time of the assessment, and could change over time.</w:t>
      </w:r>
    </w:p>
    <w:p>
      <w:pPr>
        <w:spacing w:after="0" w:line="94" w:lineRule="exact"/>
        <w:rPr>
          <w:sz w:val="20"/>
          <w:szCs w:val="20"/>
          <w:color w:val="auto"/>
        </w:rPr>
      </w:pPr>
    </w:p>
    <w:p>
      <w:pPr>
        <w:ind w:right="560" w:firstLine="386"/>
        <w:spacing w:after="0" w:line="248" w:lineRule="auto"/>
        <w:rPr>
          <w:sz w:val="20"/>
          <w:szCs w:val="20"/>
          <w:color w:val="auto"/>
        </w:rPr>
      </w:pPr>
      <w:r>
        <w:rPr>
          <w:rFonts w:ascii="Arial" w:cs="Arial" w:eastAsia="Arial" w:hAnsi="Arial"/>
          <w:sz w:val="16"/>
          <w:szCs w:val="16"/>
          <w:color w:val="auto"/>
        </w:rPr>
        <w:t>Note 14 to the consolidated financial statements discusses the Company's involvement in various types of entities that are considered to be VIEs and whether the Company is determined to be the primary beneficiary.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Updates</w:t>
      </w:r>
    </w:p>
    <w:p>
      <w:pPr>
        <w:spacing w:after="0" w:line="115" w:lineRule="exact"/>
        <w:rPr>
          <w:sz w:val="20"/>
          <w:szCs w:val="20"/>
          <w:color w:val="auto"/>
        </w:rPr>
      </w:pPr>
    </w:p>
    <w:p>
      <w:pPr>
        <w:ind w:right="160" w:firstLine="351"/>
        <w:spacing w:after="0" w:line="248" w:lineRule="auto"/>
        <w:rPr>
          <w:sz w:val="20"/>
          <w:szCs w:val="20"/>
          <w:color w:val="auto"/>
        </w:rPr>
      </w:pPr>
      <w:r>
        <w:rPr>
          <w:rFonts w:ascii="Arial" w:cs="Arial" w:eastAsia="Arial" w:hAnsi="Arial"/>
          <w:sz w:val="16"/>
          <w:szCs w:val="16"/>
          <w:color w:val="auto"/>
        </w:rPr>
        <w:t>The effects of accounting standards adopted in 2021 and the potential effects of accounting standards to be adopted in the future are described in Note 2 to our consolidated financial statements in Item 15. "Exhibits, Financial Statement Schedules" of this Annual Report.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61" w:lineRule="exact"/>
        <w:rPr>
          <w:sz w:val="20"/>
          <w:szCs w:val="20"/>
          <w:color w:val="auto"/>
        </w:rPr>
      </w:pPr>
    </w:p>
    <w:p>
      <w:pPr>
        <w:ind w:right="600" w:firstLine="351"/>
        <w:spacing w:after="0" w:line="248" w:lineRule="auto"/>
        <w:rPr>
          <w:sz w:val="20"/>
          <w:szCs w:val="20"/>
          <w:color w:val="auto"/>
        </w:rPr>
      </w:pPr>
      <w:r>
        <w:rPr>
          <w:rFonts w:ascii="Arial" w:cs="Arial" w:eastAsia="Arial" w:hAnsi="Arial"/>
          <w:sz w:val="16"/>
          <w:szCs w:val="16"/>
          <w:color w:val="auto"/>
        </w:rPr>
        <w:t>Market risk represents the risk of financial loss from adverse movement in market prices. The primary sources of market risk are interest rates, foreign currency exchange rates, commodity prices, and equity prices.</w:t>
      </w:r>
    </w:p>
    <w:p>
      <w:pPr>
        <w:spacing w:after="0" w:line="88"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Our business is exposed primarily to interest rate risk on variable rate interest bearing instruments, foreign exchange risk on non U.S. digital operating business and foreign denominated investments, the effect of market risk on our fee income and net carried interest allocation, equity price risk on marketable equity securities, and commodity price risk in connection with our digital operating business.</w:t>
      </w:r>
    </w:p>
    <w:p>
      <w:pPr>
        <w:spacing w:after="0" w:line="89" w:lineRule="exact"/>
        <w:rPr>
          <w:sz w:val="20"/>
          <w:szCs w:val="20"/>
          <w:color w:val="auto"/>
        </w:rPr>
      </w:pPr>
    </w:p>
    <w:p>
      <w:pPr>
        <w:ind w:right="580" w:firstLine="351"/>
        <w:spacing w:after="0" w:line="396" w:lineRule="auto"/>
        <w:rPr>
          <w:sz w:val="20"/>
          <w:szCs w:val="20"/>
          <w:color w:val="auto"/>
        </w:rPr>
      </w:pPr>
      <w:r>
        <w:rPr>
          <w:rFonts w:ascii="Arial" w:cs="Arial" w:eastAsia="Arial" w:hAnsi="Arial"/>
          <w:sz w:val="16"/>
          <w:szCs w:val="16"/>
          <w:color w:val="auto"/>
        </w:rPr>
        <w:t xml:space="preserve">The following discussion excludes the effect of market risk on assets and corresponding liabilities that were held for disposition at December 31, 2021. </w:t>
      </w:r>
      <w:r>
        <w:rPr>
          <w:rFonts w:ascii="Arial" w:cs="Arial" w:eastAsia="Arial" w:hAnsi="Arial"/>
          <w:sz w:val="16"/>
          <w:szCs w:val="16"/>
          <w:b w:val="1"/>
          <w:bCs w:val="1"/>
          <w:color w:val="auto"/>
        </w:rPr>
        <w:t>Interest Rate Risk</w:t>
      </w:r>
    </w:p>
    <w:p>
      <w:pPr>
        <w:spacing w:after="0" w:line="1" w:lineRule="exact"/>
        <w:rPr>
          <w:sz w:val="20"/>
          <w:szCs w:val="20"/>
          <w:color w:val="auto"/>
        </w:rPr>
      </w:pPr>
    </w:p>
    <w:p>
      <w:pPr>
        <w:jc w:val="both"/>
        <w:ind w:right="700" w:firstLine="351"/>
        <w:spacing w:after="0" w:line="246" w:lineRule="auto"/>
        <w:rPr>
          <w:sz w:val="20"/>
          <w:szCs w:val="20"/>
          <w:color w:val="auto"/>
        </w:rPr>
      </w:pPr>
      <w:r>
        <w:rPr>
          <w:rFonts w:ascii="Arial" w:cs="Arial" w:eastAsia="Arial" w:hAnsi="Arial"/>
          <w:sz w:val="16"/>
          <w:szCs w:val="16"/>
          <w:color w:val="auto"/>
        </w:rPr>
        <w:t>Instruments bearing variable interest rates include our debt obligations and loans receivable warehoused on the balance sheet for future sponsored investment vehicles, all of which are subject to interest rate fluctuations that will affect future cash flows, specifically interest expense and interest income, respectively.</w:t>
      </w:r>
    </w:p>
    <w:p>
      <w:pPr>
        <w:spacing w:after="0" w:line="73" w:lineRule="exact"/>
        <w:rPr>
          <w:sz w:val="20"/>
          <w:szCs w:val="20"/>
          <w:color w:val="auto"/>
        </w:rPr>
      </w:pPr>
    </w:p>
    <w:p>
      <w:pPr>
        <w:ind w:right="40" w:firstLine="351"/>
        <w:spacing w:after="0" w:line="247" w:lineRule="auto"/>
        <w:rPr>
          <w:sz w:val="20"/>
          <w:szCs w:val="20"/>
          <w:color w:val="auto"/>
        </w:rPr>
      </w:pPr>
      <w:r>
        <w:rPr>
          <w:rFonts w:ascii="Arial" w:cs="Arial" w:eastAsia="Arial" w:hAnsi="Arial"/>
          <w:sz w:val="16"/>
          <w:szCs w:val="16"/>
          <w:i w:val="1"/>
          <w:iCs w:val="1"/>
          <w:color w:val="auto"/>
        </w:rPr>
        <w:t>Variable Rate Debt (Corporate and Digital Operating)</w:t>
      </w:r>
      <w:r>
        <w:rPr>
          <w:rFonts w:ascii="Arial" w:cs="Arial" w:eastAsia="Arial" w:hAnsi="Arial"/>
          <w:sz w:val="16"/>
          <w:szCs w:val="16"/>
          <w:color w:val="auto"/>
        </w:rPr>
        <w:t>—At December 31, 2021, all of our corporate debt have fixed interest rates. There were no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on our corporate VFN Notes, which is a variable rate revolver. Similarly, investment level financing in our digital operating business are primarily fixed rate securitized notes issued by our subsidiaries, Vantage SDC and DataBank, with $571.0 million or 14% composed of variable rate debt. Our variable rate debt are indexed to either 1-month or 3-month LIBOR. We may utilize derivative instruments, generally interest rate caps, as economic hedges to limit the exposure to interest rate increases on our variable rate debt. There were no interest rate derivatives utilized at December 31, 2021. As our digital operating subsidiaries are substantially owned by third party investors, the resulting increase in interest expense from higher interest rates will be attributed predominantly to noncontrolling interests, with a minimal share of that effect attributed to our shareholders. Based upon the outstanding principal on our variable rate debt at December 31, 2021, a hypothetical 100 basis point increase in interest rates would increase annualized interest expense by $5.7 million on a consolidated basis or $1.1 million after attribution to noncontrolling interests.</w:t>
      </w:r>
    </w:p>
    <w:p>
      <w:pPr>
        <w:spacing w:after="0" w:line="73" w:lineRule="exact"/>
        <w:rPr>
          <w:sz w:val="20"/>
          <w:szCs w:val="20"/>
          <w:color w:val="auto"/>
        </w:rPr>
      </w:pPr>
    </w:p>
    <w:p>
      <w:pPr>
        <w:ind w:right="20" w:firstLine="351"/>
        <w:spacing w:after="0" w:line="249" w:lineRule="auto"/>
        <w:rPr>
          <w:sz w:val="20"/>
          <w:szCs w:val="20"/>
          <w:color w:val="auto"/>
        </w:rPr>
      </w:pPr>
      <w:r>
        <w:rPr>
          <w:rFonts w:ascii="Arial" w:cs="Arial" w:eastAsia="Arial" w:hAnsi="Arial"/>
          <w:sz w:val="16"/>
          <w:szCs w:val="16"/>
          <w:i w:val="1"/>
          <w:iCs w:val="1"/>
          <w:color w:val="auto"/>
        </w:rPr>
        <w:t>Variable Rate Loans Receivable and Corresponding Debt</w:t>
      </w:r>
      <w:r>
        <w:rPr>
          <w:rFonts w:ascii="Arial" w:cs="Arial" w:eastAsia="Arial" w:hAnsi="Arial"/>
          <w:sz w:val="16"/>
          <w:szCs w:val="16"/>
          <w:color w:val="auto"/>
        </w:rPr>
        <w:t>—We hold variable rate loans receivable totaling $169.6 million at December 31, 2021, all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warehoused on the balance sheet for future sponsored investment vehicles. Our variable rate loans receivable are indexed primarily to LIBOR, and a majority of these loans are partially funded through a LIBOR-based credit facility with $66.5 million drawn at December 31, 2021, which reduces our net exposure to interest rate fluctuations. Additionally, our LIBOR rate loans generally have contractual LIBOR floors, which establishes minimum LIBOR rates. At December 31, 2021, the LIBOR rates were less than 1% and were at or marginally above the LIBOR floor for these loans. Accordingly, a decrease in interest rates would not materially affect the amount of interest income earned on our variable rate loans.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5"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As of December 31, 2021, we have limited direct foreign currency exposure from our foreign operations in the digital operating business and foreign currency denominated investments warehoused on the balance sheet for future sponsored vehicles. Changes in foreign currency rates can adversely affect earnings and the value of our foreign currency denominated investments, including investments in our foreign subsidiaries.</w:t>
      </w:r>
    </w:p>
    <w:p>
      <w:pPr>
        <w:spacing w:after="0" w:line="89"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We have exposure to foreign currency risk from the operations of our foreign subsidiaries to the extent the U.S. dollar is not the functional currency. This applies to our subsidiaries in U.K. and France, which collectively operate six colocation data centers. For the substantial majority of our subsidiaries in Canada that operate our hyperscale data centers, the U.S dollar is the functional currency. The resulting effect from translation of the balance sheets and statements of operations of these subsidiaries are recorded as a component of accumulated other comprehensive income (loss) in stockholders' equity, and reclassified into earnings only upon a sale or a complete or substantially complete liquidation of the foreign subsidiary. These subsidiaries with non U.S. dollar functional currencies make up a small percentage of our digital operating business. Accordingly, our exposure to foreign currency risk from the operations of our foreign subsidiaries is limited as of December 31, 2021.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Our foreign currency denominated investments, which are temporarily warehoused on the balance sheet, are held by our U.S. subsidiaries. We generally mitigate foreign currency risk on our foreign currency denominated investments by utilizing currency instruments as economic hedges, such as foreign currency put options, forward contracts and costless collars. The maturity date of these instruments approximate the projected dates of related cash flows from the respective investments. At December 31, 2021, our foreign currency denominated investments is primarily in GBP (£36.3 million) for which we have entered into foreign exchange forward contracts to mitigate our exposure.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 Effect on Fee Income and Net Carried Interest Allocation</w:t>
      </w:r>
    </w:p>
    <w:p>
      <w:pPr>
        <w:spacing w:after="0" w:line="99" w:lineRule="exact"/>
        <w:rPr>
          <w:sz w:val="20"/>
          <w:szCs w:val="20"/>
          <w:color w:val="auto"/>
        </w:rPr>
      </w:pPr>
    </w:p>
    <w:p>
      <w:pPr>
        <w:ind w:right="60" w:firstLine="351"/>
        <w:spacing w:after="0" w:line="249"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—To the extent management fees are based upon fair value of the underlying investments of our managed investment vehicles,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or decrease in fair value will directly affect our management fee income. Generally, our management fee income is calculated based upon investors' committed capital during the commitment period of the vehicle, and thereafter, contributed or invested capital during the investing and liquidating periods. To a lesser extent, management fees are based upon the net asset value of vehicles in our digital liquid securities strategy, measured at fair value. At December 31, 2021, our digital liquid securities strategy make up 4% of our $18.3 billion FEEUM. Accordingly, most of our management fee income will not be directly affected by changes in investment fair values.</w:t>
      </w:r>
    </w:p>
    <w:p>
      <w:pPr>
        <w:spacing w:after="0" w:line="71" w:lineRule="exact"/>
        <w:rPr>
          <w:sz w:val="20"/>
          <w:szCs w:val="20"/>
          <w:color w:val="auto"/>
        </w:rPr>
      </w:pPr>
    </w:p>
    <w:p>
      <w:pPr>
        <w:ind w:firstLine="351"/>
        <w:spacing w:after="0" w:line="247" w:lineRule="auto"/>
        <w:rPr>
          <w:sz w:val="20"/>
          <w:szCs w:val="20"/>
          <w:color w:val="auto"/>
        </w:rPr>
      </w:pPr>
      <w:r>
        <w:rPr>
          <w:rFonts w:ascii="Arial" w:cs="Arial" w:eastAsia="Arial" w:hAnsi="Arial"/>
          <w:sz w:val="16"/>
          <w:szCs w:val="16"/>
          <w:i w:val="1"/>
          <w:iCs w:val="1"/>
          <w:color w:val="auto"/>
        </w:rPr>
        <w:t>Incentive Fees and Carried Interest</w:t>
      </w:r>
      <w:r>
        <w:rPr>
          <w:rFonts w:ascii="Arial" w:cs="Arial" w:eastAsia="Arial" w:hAnsi="Arial"/>
          <w:sz w:val="16"/>
          <w:szCs w:val="16"/>
          <w:color w:val="auto"/>
        </w:rPr>
        <w:t>—Incentive fees and carried interest, net of management allocations, are earned based upon the financial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a vehicle above a specified return threshold, which is largely driven by appreciation in value of underlying investments. Carried interest is subject to reversal until such time it is realized, which generally occurs upon disposition of all underlying investments of an investment vehicle, or in part with each disposition. The extent of the effect of fair value changes to the amount of incentive fees and carried interest earned will depend upon the cumulative performance of an investment vehicle relative to its return threshold, the performance measurement period used to calculate incentives and carried interest, and the stage of the vehicle's lifecycle. Investment fair values in turn could be affected by various factors, including but not limited to, the financial performance of the portfolio company, economic conditions, foreign exchange rates, comparable transactions in the market, and equity prices for publicly traded securities. Therefore, fair value changes are unpredictable and the effect on incentive fee and carried interest varies across different investment vehicles.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Price Risk</w:t>
      </w:r>
    </w:p>
    <w:p>
      <w:pPr>
        <w:spacing w:after="0" w:line="115" w:lineRule="exact"/>
        <w:rPr>
          <w:sz w:val="20"/>
          <w:szCs w:val="20"/>
          <w:color w:val="auto"/>
        </w:rPr>
      </w:pPr>
    </w:p>
    <w:p>
      <w:pPr>
        <w:ind w:right="60" w:firstLine="351"/>
        <w:spacing w:after="0" w:line="230" w:lineRule="auto"/>
        <w:rPr>
          <w:sz w:val="20"/>
          <w:szCs w:val="20"/>
          <w:color w:val="auto"/>
        </w:rPr>
      </w:pPr>
      <w:r>
        <w:rPr>
          <w:rFonts w:ascii="Arial" w:cs="Arial" w:eastAsia="Arial" w:hAnsi="Arial"/>
          <w:sz w:val="16"/>
          <w:szCs w:val="16"/>
          <w:color w:val="auto"/>
        </w:rPr>
        <w:t>At December 31, 2021, we have $201.9 million of investments in marketable equity securities, held largely by our sponsored liquid funds that are consolidated. Realized and unrealized gains and losses from marketable equity securities are recorded in other gain (loss) on the consolidated statement of operations. Market prices for publicly traded equity securities may be volatile and fluctuate due to a myriad of factors, including but not limited to, financial performance of the investee, industry conditions, economic and political environment, level of trades in a security, and general sentiments in the equity markets. Therefore the level of volatility and price fluctuations are unpredictable. Our funds constantly rebalance their investment portfolio to take advantage of market opportunities and to manage risk. Additionally, one of our funds employ a long/short equity strategy, taking long positions that serve as collateral for short positions, which in combination, reduces its market risk exposure. The effect of equity price decreases to earnings attributable to our shareholders is further reduced as our consolidated liquid funds are substantially owned by third party capital or noncontrolling interests.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15" w:lineRule="exact"/>
        <w:rPr>
          <w:sz w:val="20"/>
          <w:szCs w:val="20"/>
          <w:color w:val="auto"/>
        </w:rPr>
      </w:pPr>
    </w:p>
    <w:p>
      <w:pPr>
        <w:ind w:right="20" w:firstLine="351"/>
        <w:spacing w:after="0" w:line="271" w:lineRule="auto"/>
        <w:rPr>
          <w:sz w:val="20"/>
          <w:szCs w:val="20"/>
          <w:color w:val="auto"/>
        </w:rPr>
      </w:pPr>
      <w:r>
        <w:rPr>
          <w:rFonts w:ascii="Arial" w:cs="Arial" w:eastAsia="Arial" w:hAnsi="Arial"/>
          <w:sz w:val="14"/>
          <w:szCs w:val="14"/>
          <w:color w:val="auto"/>
        </w:rPr>
        <w:t>Certain operating costs in our data center portfolio are subject to price fluctuations caused by volatility of underlying commodity prices, primarily electricity used in our data center operations. We closely monitor the cost of electricity at all of our locations and may enter into power utility contracts to purchase electricity at fixed prices in certain locations in the U.S., with such contracts generally representing less than our forecasted usage. Our building of new data centers and expansion of existing data centers will also subject us to commodity price risk with respect to building materials such as steel and copper. Additionally, the lead time to procure data center equipment is substantial and procurement delays could increase construction cost and delay revenue generation.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required by this item appear in Item 15. "Exhibits and Financial Statement Schedules" of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5" w:lineRule="exact"/>
        <w:rPr>
          <w:sz w:val="20"/>
          <w:szCs w:val="20"/>
          <w:color w:val="auto"/>
        </w:rPr>
      </w:pPr>
    </w:p>
    <w:p>
      <w:pPr>
        <w:ind w:right="140" w:firstLine="351"/>
        <w:spacing w:after="0" w:line="285" w:lineRule="auto"/>
        <w:rPr>
          <w:sz w:val="20"/>
          <w:szCs w:val="20"/>
          <w:color w:val="auto"/>
        </w:rPr>
      </w:pPr>
      <w:r>
        <w:rPr>
          <w:rFonts w:ascii="Arial" w:cs="Arial" w:eastAsia="Arial" w:hAnsi="Arial"/>
          <w:sz w:val="14"/>
          <w:szCs w:val="14"/>
          <w:color w:val="auto"/>
        </w:rPr>
        <w:t>We maintain disclosure controls and procedures (as defined in Rule 13a-15(e) and 15d-15(e) of the Exchange Act) that are designed to ensure that information required to be disclosed in our reports that we file or submit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even effective disclosure controls and procedures can only provide reasonable assurance of achieving their control objectives.</w:t>
      </w:r>
    </w:p>
    <w:p>
      <w:pPr>
        <w:spacing w:after="0" w:line="65" w:lineRule="exact"/>
        <w:rPr>
          <w:sz w:val="20"/>
          <w:szCs w:val="20"/>
          <w:color w:val="auto"/>
        </w:rPr>
      </w:pPr>
    </w:p>
    <w:p>
      <w:pPr>
        <w:jc w:val="both"/>
        <w:ind w:right="160" w:firstLine="351"/>
        <w:spacing w:after="0" w:line="246" w:lineRule="auto"/>
        <w:rPr>
          <w:sz w:val="20"/>
          <w:szCs w:val="20"/>
          <w:color w:val="auto"/>
        </w:rPr>
      </w:pPr>
      <w:r>
        <w:rPr>
          <w:rFonts w:ascii="Arial" w:cs="Arial" w:eastAsia="Arial" w:hAnsi="Arial"/>
          <w:sz w:val="16"/>
          <w:szCs w:val="16"/>
          <w:color w:val="auto"/>
        </w:rPr>
        <w:t>As required by Rule 13a-15(b) of the Exchange Act, we have evaluated, under the supervision and with the participation of management, including our Chief Executive Officer and Chief Financial Officer, the effectiveness of our disclosure controls and procedures. Based upon our evaluation, our Chief Executive Officer and Chief Financial Officer concluded that our disclosure controls and procedures were effective at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5" w:lineRule="exact"/>
        <w:rPr>
          <w:sz w:val="20"/>
          <w:szCs w:val="20"/>
          <w:color w:val="auto"/>
        </w:rPr>
      </w:pPr>
    </w:p>
    <w:p>
      <w:pPr>
        <w:ind w:firstLine="351"/>
        <w:spacing w:after="0" w:line="298" w:lineRule="auto"/>
        <w:rPr>
          <w:sz w:val="20"/>
          <w:szCs w:val="20"/>
          <w:color w:val="auto"/>
        </w:rPr>
      </w:pPr>
      <w:r>
        <w:rPr>
          <w:rFonts w:ascii="Arial" w:cs="Arial" w:eastAsia="Arial" w:hAnsi="Arial"/>
          <w:sz w:val="14"/>
          <w:szCs w:val="14"/>
          <w:color w:val="auto"/>
        </w:rPr>
        <w:t>There have been no changes in our internal control over financial reporting (as defined in Rule 13a-15(f) and 15d-15(f) of the Exchange Act) during the quarter ended December 31, 2021 that have materially affected, or are reasonably likely to materially affect, our internal control over financial reporting, other than completion of our evaluation and integration of the policies, processes, systems and operations of zColo that was acquired by DataBank in December 2020.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15"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13a-15(f) and 15d-15(f) of the Exchange Act).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78" w:lineRule="exact"/>
        <w:rPr>
          <w:sz w:val="20"/>
          <w:szCs w:val="20"/>
          <w:color w:val="auto"/>
        </w:rPr>
      </w:pPr>
    </w:p>
    <w:p>
      <w:pPr>
        <w:ind w:right="40" w:firstLine="351"/>
        <w:spacing w:after="0" w:line="256" w:lineRule="auto"/>
        <w:rPr>
          <w:sz w:val="20"/>
          <w:szCs w:val="20"/>
          <w:color w:val="auto"/>
        </w:rPr>
      </w:pPr>
      <w:r>
        <w:rPr>
          <w:rFonts w:ascii="Arial" w:cs="Arial" w:eastAsia="Arial" w:hAnsi="Arial"/>
          <w:sz w:val="16"/>
          <w:szCs w:val="16"/>
          <w:color w:val="auto"/>
        </w:rPr>
        <w:t xml:space="preserve">Management evaluated the effectiveness of our internal control over financial reporting using the criteria set forth in the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Based on our evaluation, management concluded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our internal control over financial reporting was effective as of December 31, 2021.</w:t>
      </w:r>
    </w:p>
    <w:p>
      <w:pPr>
        <w:spacing w:after="0" w:line="82" w:lineRule="exact"/>
        <w:rPr>
          <w:sz w:val="20"/>
          <w:szCs w:val="20"/>
          <w:color w:val="auto"/>
        </w:rPr>
      </w:pPr>
    </w:p>
    <w:p>
      <w:pPr>
        <w:ind w:right="100" w:firstLine="351"/>
        <w:spacing w:after="0" w:line="246" w:lineRule="auto"/>
        <w:rPr>
          <w:sz w:val="20"/>
          <w:szCs w:val="20"/>
          <w:color w:val="auto"/>
        </w:rPr>
      </w:pPr>
      <w:r>
        <w:rPr>
          <w:rFonts w:ascii="Arial" w:cs="Arial" w:eastAsia="Arial" w:hAnsi="Arial"/>
          <w:sz w:val="16"/>
          <w:szCs w:val="16"/>
          <w:color w:val="auto"/>
        </w:rPr>
        <w:t>Our internal control system was designed to provide reasonable assurance to management and our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9" w:lineRule="exact"/>
        <w:rPr>
          <w:sz w:val="20"/>
          <w:szCs w:val="20"/>
          <w:color w:val="auto"/>
        </w:rPr>
      </w:pPr>
    </w:p>
    <w:p>
      <w:pPr>
        <w:ind w:right="560" w:firstLine="351"/>
        <w:spacing w:after="0" w:line="248" w:lineRule="auto"/>
        <w:rPr>
          <w:sz w:val="20"/>
          <w:szCs w:val="20"/>
          <w:color w:val="auto"/>
        </w:rPr>
      </w:pPr>
      <w:r>
        <w:rPr>
          <w:rFonts w:ascii="Arial" w:cs="Arial" w:eastAsia="Arial" w:hAnsi="Arial"/>
          <w:sz w:val="16"/>
          <w:szCs w:val="16"/>
          <w:color w:val="auto"/>
        </w:rPr>
        <w:t>Ernst &amp; Young LLP, an independent registered public accounting firm, has audited the effectiveness of our internal control over financial reporting as of December 31, 2021, as stated in their attestation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DigitalBridge Group, Inc.</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15" w:lineRule="exact"/>
        <w:rPr>
          <w:sz w:val="20"/>
          <w:szCs w:val="20"/>
          <w:color w:val="auto"/>
        </w:rPr>
      </w:pPr>
    </w:p>
    <w:p>
      <w:pPr>
        <w:jc w:val="both"/>
        <w:ind w:right="140"/>
        <w:spacing w:after="0" w:line="245" w:lineRule="auto"/>
        <w:rPr>
          <w:sz w:val="20"/>
          <w:szCs w:val="20"/>
          <w:color w:val="auto"/>
        </w:rPr>
      </w:pPr>
      <w:r>
        <w:rPr>
          <w:rFonts w:ascii="Arial" w:cs="Arial" w:eastAsia="Arial" w:hAnsi="Arial"/>
          <w:sz w:val="16"/>
          <w:szCs w:val="16"/>
          <w:color w:val="auto"/>
        </w:rPr>
        <w:t>We have audited DigitalBridge Group, Inc.’s internal control over financial reporting as of December 31, 2021, based on criteria established in Internal Control— Integrated Framework issued by the Committee of Sponsoring Organizations of the Treadway Commission (2013 framework) (the COSO criteria). In our opinion, DigitalBridge Group, Inc. (the Company) maintained, in all material respects, effective internal control over financial reporting as of December 31, 2021, based on the COSO criteria.</w:t>
      </w:r>
    </w:p>
    <w:p>
      <w:pPr>
        <w:spacing w:after="0" w:line="9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equity and cash flows for each of the three years in the period ended December 31, 2021, and the related notes and financial statement schedule listed in the Index at Item 15, and our report dated February 28, 2022 expressed an unqualified opinion thereon.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5"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ind w:right="600"/>
        <w:spacing w:after="0" w:line="24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5"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U.S. Federal Income Tax Considerations</w:t>
      </w:r>
    </w:p>
    <w:p>
      <w:pPr>
        <w:spacing w:after="0" w:line="173" w:lineRule="exact"/>
        <w:rPr>
          <w:sz w:val="20"/>
          <w:szCs w:val="20"/>
          <w:color w:val="auto"/>
        </w:rPr>
      </w:pPr>
    </w:p>
    <w:p>
      <w:pPr>
        <w:ind w:firstLine="351"/>
        <w:spacing w:after="0" w:line="215" w:lineRule="auto"/>
        <w:rPr>
          <w:sz w:val="20"/>
          <w:szCs w:val="20"/>
          <w:color w:val="auto"/>
        </w:rPr>
      </w:pPr>
      <w:r>
        <w:rPr>
          <w:rFonts w:ascii="Arial" w:cs="Arial" w:eastAsia="Arial" w:hAnsi="Arial"/>
          <w:sz w:val="16"/>
          <w:szCs w:val="16"/>
          <w:color w:val="auto"/>
        </w:rPr>
        <w:t>The following is a discussion of certain material U.S. federal income tax considerations relating to our qualification and taxation as a real estate investment trust, which we refer to as a REIT, and the acquisition, holding, and disposition of our class A common stock, preferred stock, and depositary shares (for purposes of this section only, collectively referred to as “stock”). As used in this section, references to the terms “Company,” “we,” “our,” and “us” mean only DigitalBridge Group, Inc. and not its subsidiaries or other lower-tier entities, except as otherwise indicated. This summary is based upon the Internal Revenue Code of 1986, as amended, which we refer to as the Code, the regulations promulgated by the U.S. Treasury Department, which we refer to as the Treasury Regulations, rulings and other administrative interpretations and practices of the Internal Revenue Service, which we refer to as the IRS (including administrative interpretations and practices expressed in private letter rulings which are binding on the IRS only with respect to the particular taxpayers who requested and received those rulings),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We have not sought and will not seek an advance ruling from the IRS regarding any matter discussed in this section. The summary is also based upon the assumption that we have operated and will operate the Company and its subsidiaries and affiliated entities in accordance with their applicable organizational documents. This summary is for general information only, and does not purport to discuss all aspects of U.S. federal income taxation that may be important to a particular investor in light of its investment or tax circumstances, or to investors subject to special tax rules, including:</w:t>
      </w:r>
    </w:p>
    <w:p>
      <w:pPr>
        <w:spacing w:after="0" w:line="44" w:lineRule="exact"/>
        <w:rPr>
          <w:sz w:val="20"/>
          <w:szCs w:val="20"/>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tax-exempt organizations (except to the extent discussed in “—Taxation of Tax—Exempt Stockholders” below);</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financial institutions or broker-dealers;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non-U.S. individuals and foreign corporations (except to the extent discussed in “—Taxation of Non-U.S. Stockholders” below);</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U.S. expatriates;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persons who mark-to-market our stock;</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subchapter S corporations;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U.S. stockholders, as defined below, whose functional currency is not the U.S. dollar;</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regulated investment companies;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REITs;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trusts and estates;</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holders who receive our stock through the exercise of employee stock options or otherwise as compensation;</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persons subject to the alternative minimum tax provisions of the Code;</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persons holding our stock through a partnership or similar pass-through entity; and</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persons holding a 10% or more (by vote or value) beneficial interest in our stock.</w:t>
      </w:r>
    </w:p>
    <w:p>
      <w:pPr>
        <w:spacing w:after="0" w:line="97" w:lineRule="exact"/>
        <w:rPr>
          <w:sz w:val="20"/>
          <w:szCs w:val="20"/>
          <w:color w:val="auto"/>
        </w:rPr>
      </w:pPr>
    </w:p>
    <w:p>
      <w:pPr>
        <w:ind w:right="280" w:firstLine="351"/>
        <w:spacing w:after="0" w:line="248" w:lineRule="auto"/>
        <w:rPr>
          <w:sz w:val="20"/>
          <w:szCs w:val="20"/>
          <w:color w:val="auto"/>
        </w:rPr>
      </w:pPr>
      <w:r>
        <w:rPr>
          <w:rFonts w:ascii="Arial" w:cs="Arial" w:eastAsia="Arial" w:hAnsi="Arial"/>
          <w:sz w:val="16"/>
          <w:szCs w:val="16"/>
          <w:color w:val="auto"/>
        </w:rPr>
        <w:t>This summary assumes that stockholders hold shares of our stock as capital assets for U.S. federal income tax purposes, which generally means property held for investment.</w:t>
      </w:r>
    </w:p>
    <w:p>
      <w:pPr>
        <w:spacing w:after="0" w:line="88" w:lineRule="exact"/>
        <w:rPr>
          <w:sz w:val="20"/>
          <w:szCs w:val="20"/>
          <w:color w:val="auto"/>
        </w:rPr>
      </w:pPr>
    </w:p>
    <w:p>
      <w:pPr>
        <w:ind w:right="60" w:firstLine="351"/>
        <w:spacing w:after="0" w:line="246" w:lineRule="auto"/>
        <w:rPr>
          <w:sz w:val="20"/>
          <w:szCs w:val="20"/>
          <w:color w:val="auto"/>
        </w:rPr>
      </w:pPr>
      <w:r>
        <w:rPr>
          <w:rFonts w:ascii="Arial" w:cs="Arial" w:eastAsia="Arial" w:hAnsi="Arial"/>
          <w:sz w:val="16"/>
          <w:szCs w:val="16"/>
          <w:color w:val="auto"/>
        </w:rPr>
        <w:t>The statements in this section are based on the current U.S. federal income tax laws, are for general information purposes only and are not tax advice. We cannot assure you that new laws, interpretations of law or court decisions, any of which may take effect retroactively, will not cause any statement in this section to be inaccurate.</w:t>
      </w:r>
    </w:p>
    <w:p>
      <w:pPr>
        <w:spacing w:after="0" w:line="7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b w:val="1"/>
          <w:bCs w:val="1"/>
          <w:color w:val="auto"/>
        </w:rPr>
        <w:t>THE U.S. FEDERAL INCOME TAX TREATMENT OF US AS A REIT AND OF YOU AS A HOLDER OF OUR STOCK DEPENDS IN SOME INSTANCES ON DETERMINATIONS OF FACT AND INTERPRETATIONS OF COMPLEX PROVISIONS OF U.S. FEDERAL INCOME TAX LAW FOR WHICH NO CLEAR PRECEDENT OR AUTHORITY MAY BE AVAILABLE. IN ADDITION, THE TAX CONSEQUENCES TO ANY PARTICULAR HOLDER OF OUR STOCK WILL DEPEND ON SUCH HOLDER’S PARTICULAR TAX CIRCUMSTANCES.</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YOU SHOULD CONSULT YOUR TAX ADVISOR REGARDING THE SPECIFIC TAX CONSEQUENCES TO YOU OF THE OWNERSHIP AND SALE OF OUR STOCK AND OF ITS INTENDED ELECTION TO BE TAXED AS A REIT. SPECIFICALLY, YOU SHOULD CONSULT YOUR TAX ADVISOR REGARDING THE FEDERAL, STATE, LOCAL, FOREIGN AND OTHER TAX CONSEQUENCES OF SUCH OWNERSHIP, SALE AND ELECTION, AND REGARDING POTENTIAL CHANGES IN APPLICABLE TAX LAWS.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Taxation of DigitalBridge</w:t>
      </w:r>
    </w:p>
    <w:p>
      <w:pPr>
        <w:spacing w:after="0" w:line="115" w:lineRule="exact"/>
        <w:rPr>
          <w:sz w:val="20"/>
          <w:szCs w:val="20"/>
          <w:color w:val="auto"/>
        </w:rPr>
      </w:pPr>
    </w:p>
    <w:p>
      <w:pPr>
        <w:ind w:right="180" w:firstLine="351"/>
        <w:spacing w:after="0" w:line="250" w:lineRule="auto"/>
        <w:rPr>
          <w:sz w:val="20"/>
          <w:szCs w:val="20"/>
          <w:color w:val="auto"/>
        </w:rPr>
      </w:pPr>
      <w:r>
        <w:rPr>
          <w:rFonts w:ascii="Arial" w:cs="Arial" w:eastAsia="Arial" w:hAnsi="Arial"/>
          <w:sz w:val="16"/>
          <w:szCs w:val="16"/>
          <w:color w:val="auto"/>
        </w:rPr>
        <w:t xml:space="preserve">We elected to be taxed as a REIT under the U.S. federal income tax laws commencing with our taxable year ended December 31, 2017. We believe that we are organized and have operated, and we intend to continue to operate, in a manner so as to qualify for taxation as a REIT under the Code;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Company will continue to evaluate whether it will maintain REIT status for 2022 or for future years. This section discusses the laws governing the U.S. federal income tax treatment of a REIT and its stockholders. These laws are highly technical and complex.</w:t>
      </w:r>
    </w:p>
    <w:p>
      <w:pPr>
        <w:spacing w:after="0" w:line="87"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Qualification and taxation as a REIT depends on our ability to meet on a continuing basis, through actual operating results, distribution levels, and diversity of ownership by holders of our securities and asset ownership, and various other qualification requirements imposed upon REITs by the Code. In addition, our ability to qualify as a REIT may depend in part upon the operating results, organizational structure and entity classification for U.S. federal income tax purposes of certain entities in which we invest. Our ability to qualify as a REIT also requires that we satisfy certain asset tests, some of which depend upon the fair market values of assets that we own directly or indirectly. Such values may not be susceptible to a precise determination, whether for past, current, or future periods, and based upon the types of assets that we own and intend to own, such values can vary rapidly, significantly and unpredictably. Accordingly, no assurance can be given that the actual results of our operations for any taxable year will satisfy such requirements for qualification and taxation as a REIT. Similarly, the income we earn from our assets may not be earned when or in the proportions anticipated. For example, we may encounter situations in which a relatively small investment generates a higher than expected return in a particular year (or vice versa). A discussion of the tax consequences of the failure to qualify as a REIT and certain alternatives is included below in the section entitled “—Failure to Qualify.”</w:t>
      </w:r>
    </w:p>
    <w:p>
      <w:pPr>
        <w:spacing w:after="0" w:line="94"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As indicated above, our qualification and taxation as a REIT depends upon our ability to meet, on a continuing basis, various qualification requirements imposed upon REITs by the Code. The material qualification requirements are summarized below under “—Requirements for Qualification.” While we intend to operate so that we qualify as a REIT, no assurance can be given that the IRS will not challenge our qualification, or that we have been or will be able to operate in accordance with the REIT requirements in the future. See “—Requirements for Qualification—Failure to Qualify.”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CARES Act</w:t>
      </w:r>
    </w:p>
    <w:p>
      <w:pPr>
        <w:spacing w:after="0" w:line="115" w:lineRule="exact"/>
        <w:rPr>
          <w:sz w:val="20"/>
          <w:szCs w:val="20"/>
          <w:color w:val="auto"/>
        </w:rPr>
      </w:pPr>
    </w:p>
    <w:p>
      <w:pPr>
        <w:ind w:right="580" w:firstLine="281"/>
        <w:spacing w:after="0" w:line="248" w:lineRule="auto"/>
        <w:rPr>
          <w:sz w:val="20"/>
          <w:szCs w:val="20"/>
          <w:color w:val="auto"/>
        </w:rPr>
      </w:pPr>
      <w:r>
        <w:rPr>
          <w:rFonts w:ascii="Arial" w:cs="Arial" w:eastAsia="Arial" w:hAnsi="Arial"/>
          <w:sz w:val="16"/>
          <w:szCs w:val="16"/>
          <w:color w:val="auto"/>
        </w:rPr>
        <w:t>The Coronavirus Aid, Relief, and Economic Security Act (the "CARES Act") (P.L. 116-136) that was signed into law on March 27, 2020 includes several significant tax provisions. These changes include:</w:t>
      </w:r>
    </w:p>
    <w:p>
      <w:pPr>
        <w:spacing w:after="0" w:line="88" w:lineRule="exact"/>
        <w:rPr>
          <w:sz w:val="20"/>
          <w:szCs w:val="20"/>
          <w:color w:val="auto"/>
        </w:rPr>
      </w:pPr>
    </w:p>
    <w:p>
      <w:pPr>
        <w:ind w:left="560" w:hanging="145"/>
        <w:spacing w:after="0" w:line="246" w:lineRule="auto"/>
        <w:tabs>
          <w:tab w:leader="none" w:pos="6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elimination of the taxable income limit for net operating losses ("NOLs") for all taxable years beginning after December 31, 2017 and before January 1, 2021, thereby permitting corporate taxpayers to use NOLs to fully offset taxable income (although as a REIT, we will continue to only be able to use NOLs against taxable income remaining after taking into account any dividends-paid deduction);</w:t>
      </w:r>
    </w:p>
    <w:p>
      <w:pPr>
        <w:spacing w:after="0" w:line="89" w:lineRule="exact"/>
        <w:rPr>
          <w:rFonts w:ascii="Arial" w:cs="Arial" w:eastAsia="Arial" w:hAnsi="Arial"/>
          <w:sz w:val="16"/>
          <w:szCs w:val="16"/>
          <w:color w:val="auto"/>
        </w:rPr>
      </w:pPr>
    </w:p>
    <w:p>
      <w:pPr>
        <w:ind w:left="640" w:hanging="225"/>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allowing our TRSs to carry back NOLs arising in 2018, 2019, and 2020 to the five taxable years preceding the taxable year of the loss;</w:t>
      </w:r>
    </w:p>
    <w:p>
      <w:pPr>
        <w:spacing w:after="0" w:line="96" w:lineRule="exact"/>
        <w:rPr>
          <w:rFonts w:ascii="Arial" w:cs="Arial" w:eastAsia="Arial" w:hAnsi="Arial"/>
          <w:sz w:val="16"/>
          <w:szCs w:val="16"/>
          <w:color w:val="auto"/>
        </w:rPr>
      </w:pPr>
    </w:p>
    <w:p>
      <w:pPr>
        <w:ind w:left="560" w:right="240" w:hanging="145"/>
        <w:spacing w:after="0" w:line="246" w:lineRule="auto"/>
        <w:tabs>
          <w:tab w:leader="none" w:pos="6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increase to the business interest limitation under Section 163(j) of the Code, from 30 percent to 50 percent for taxable years 2019 and 2020 and the addition of an election by taxpayers to use their 2019 adjusted taxable income as their adjusted taxable income in 2020 for purposes of applying the limitation; and</w:t>
      </w:r>
    </w:p>
    <w:p>
      <w:pPr>
        <w:spacing w:after="0" w:line="89" w:lineRule="exact"/>
        <w:rPr>
          <w:rFonts w:ascii="Arial" w:cs="Arial" w:eastAsia="Arial" w:hAnsi="Arial"/>
          <w:sz w:val="16"/>
          <w:szCs w:val="16"/>
          <w:color w:val="auto"/>
        </w:rPr>
      </w:pPr>
    </w:p>
    <w:p>
      <w:pPr>
        <w:ind w:left="560" w:right="220" w:hanging="145"/>
        <w:spacing w:after="0" w:line="248" w:lineRule="auto"/>
        <w:tabs>
          <w:tab w:leader="none" w:pos="6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"technical correction" amending Section 168(e)(3)(E) of the Code to add "qualified improvement property" to "15-year property" and assigning a class life of 20 years under Section 168(g)(3)(B) of the Code to qualified improvement property under Section 168(e)(3)(E)(vii) of the Code.</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Taxation of REITs in General</w:t>
      </w:r>
    </w:p>
    <w:p>
      <w:pPr>
        <w:spacing w:after="0" w:line="115"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Provided that we qualify as a REIT, we will be entitled at the REIT level to a deduction from our taxable income for dividends that we pay and, therefore, will not be subject to U.S. federal corporate income tax at the REIT level on our taxable income that is currently distributed to holders of our securities. This treatment substantially eliminates the “double taxation” at the corporate and stockholder levels that generally results from an investment in a non-REIT C corporation. A non-REIT C corporation is a corporation that generally is required to pay tax at the corporate level. Double taxation means taxation once at the corporate level when income is earned and once again at the stockholder level when the income is distributed. In general, the income that we generate is taxed only at the stockholder level upon a distribution of dividends to our stockholders.</w:t>
      </w:r>
    </w:p>
    <w:p>
      <w:pPr>
        <w:spacing w:after="0" w:line="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4"/>
          <w:szCs w:val="14"/>
          <w:color w:val="auto"/>
        </w:rPr>
        <w:t>U.S. stockholders generally will be subject to taxation on dividends distributed by us (other than designated capital gain dividends and “qualified dividend income”) at rates applicable to ordinary income, instead of at lower capital gain rates. For taxable years beginning after December 31, 2017, and before January 1, 2026, generally, U.S. stockholders that are individuals, trusts or estates may deduct 20% of the aggregate amount of ordinary dividends distributed by us,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subject to certain limitations. Capital gain dividends and qualified dividend income will continue to be subject to a maximum 20% rate. See “—Taxation of Taxable U.S. Stockholders of DigitalBridge—Taxation of U.S. Stockholders on Distributions of Our Stock.”</w:t>
      </w:r>
    </w:p>
    <w:p>
      <w:pPr>
        <w:spacing w:after="0" w:line="88" w:lineRule="exact"/>
        <w:rPr>
          <w:sz w:val="20"/>
          <w:szCs w:val="20"/>
          <w:color w:val="auto"/>
        </w:rPr>
      </w:pPr>
    </w:p>
    <w:p>
      <w:pPr>
        <w:ind w:right="280" w:firstLine="351"/>
        <w:spacing w:after="0" w:line="248" w:lineRule="auto"/>
        <w:rPr>
          <w:sz w:val="20"/>
          <w:szCs w:val="20"/>
          <w:color w:val="auto"/>
        </w:rPr>
      </w:pPr>
      <w:r>
        <w:rPr>
          <w:rFonts w:ascii="Arial" w:cs="Arial" w:eastAsia="Arial" w:hAnsi="Arial"/>
          <w:sz w:val="16"/>
          <w:szCs w:val="16"/>
          <w:color w:val="auto"/>
        </w:rPr>
        <w:t>Any net operating losses, foreign tax credits and other tax attributes of a REIT generally do not pass through to holders of our securities, subject to special rules for certain items such as the capital gains that we recognize. See “—Taxation of Taxable U.S. Stockholders of DigitalBridge.”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the Company qualifies for taxation as a REIT, the Company will be subject to U.S. federal tax in the following circumstances:</w:t>
      </w:r>
    </w:p>
    <w:p>
      <w:pPr>
        <w:spacing w:after="0" w:line="97" w:lineRule="exact"/>
        <w:rPr>
          <w:sz w:val="20"/>
          <w:szCs w:val="20"/>
          <w:color w:val="auto"/>
        </w:rPr>
      </w:pPr>
    </w:p>
    <w:p>
      <w:pPr>
        <w:ind w:left="560" w:right="40" w:hanging="145"/>
        <w:spacing w:after="0" w:line="248" w:lineRule="auto"/>
        <w:tabs>
          <w:tab w:leader="none" w:pos="6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will pay U.S. federal income tax on any taxable income, including net capital gain, that it does not distribute to stockholders during, or within a specified time period after, the calendar year in which the income is earned.</w:t>
      </w:r>
    </w:p>
    <w:p>
      <w:pPr>
        <w:spacing w:after="0" w:line="87" w:lineRule="exact"/>
        <w:rPr>
          <w:rFonts w:ascii="Arial" w:cs="Arial" w:eastAsia="Arial" w:hAnsi="Arial"/>
          <w:sz w:val="16"/>
          <w:szCs w:val="16"/>
          <w:color w:val="auto"/>
        </w:rPr>
      </w:pPr>
    </w:p>
    <w:p>
      <w:pPr>
        <w:ind w:left="560" w:right="80" w:hanging="145"/>
        <w:spacing w:after="0" w:line="248" w:lineRule="auto"/>
        <w:tabs>
          <w:tab w:leader="none" w:pos="6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our taxable year ended December 31, 2017, the Company may be subject to the “alternative minimum tax” on any items of tax preference that it does not distribute or allocate to stockholders.</w:t>
      </w:r>
    </w:p>
    <w:p>
      <w:pPr>
        <w:spacing w:after="0" w:line="87" w:lineRule="exact"/>
        <w:rPr>
          <w:rFonts w:ascii="Arial" w:cs="Arial" w:eastAsia="Arial" w:hAnsi="Arial"/>
          <w:sz w:val="16"/>
          <w:szCs w:val="16"/>
          <w:color w:val="auto"/>
        </w:rPr>
      </w:pPr>
    </w:p>
    <w:p>
      <w:pPr>
        <w:ind w:left="640" w:hanging="225"/>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will pay income tax at the highest corporate rate on:</w:t>
      </w:r>
    </w:p>
    <w:p>
      <w:pPr>
        <w:spacing w:after="0" w:line="61" w:lineRule="exact"/>
        <w:rPr>
          <w:rFonts w:ascii="Arial" w:cs="Arial" w:eastAsia="Arial" w:hAnsi="Arial"/>
          <w:sz w:val="16"/>
          <w:szCs w:val="16"/>
          <w:color w:val="auto"/>
        </w:rPr>
      </w:pPr>
    </w:p>
    <w:p>
      <w:pPr>
        <w:ind w:left="760" w:right="700" w:hanging="135"/>
        <w:spacing w:after="0" w:line="236" w:lineRule="auto"/>
        <w:tabs>
          <w:tab w:leader="none" w:pos="762" w:val="left"/>
        </w:tabs>
        <w:numPr>
          <w:ilvl w:val="1"/>
          <w:numId w:val="63"/>
        </w:numPr>
        <w:rPr>
          <w:rFonts w:ascii="Arial" w:cs="Arial" w:eastAsia="Arial" w:hAnsi="Arial"/>
          <w:sz w:val="17"/>
          <w:szCs w:val="17"/>
          <w:color w:val="auto"/>
        </w:rPr>
      </w:pPr>
      <w:r>
        <w:rPr>
          <w:rFonts w:ascii="Arial" w:cs="Arial" w:eastAsia="Arial" w:hAnsi="Arial"/>
          <w:sz w:val="16"/>
          <w:szCs w:val="16"/>
          <w:color w:val="auto"/>
        </w:rPr>
        <w:t>net income from the sale or other disposition of property acquired through foreclosure, or foreclosure property, that it holds primarily for sale to customers in the ordinary course of business; and</w:t>
      </w:r>
    </w:p>
    <w:p>
      <w:pPr>
        <w:spacing w:after="0" w:line="51" w:lineRule="exact"/>
        <w:rPr>
          <w:rFonts w:ascii="Arial" w:cs="Arial" w:eastAsia="Arial" w:hAnsi="Arial"/>
          <w:sz w:val="17"/>
          <w:szCs w:val="17"/>
          <w:color w:val="auto"/>
        </w:rPr>
      </w:pPr>
    </w:p>
    <w:p>
      <w:pPr>
        <w:ind w:left="760" w:hanging="135"/>
        <w:spacing w:after="0"/>
        <w:tabs>
          <w:tab w:leader="none" w:pos="760" w:val="left"/>
        </w:tabs>
        <w:numPr>
          <w:ilvl w:val="1"/>
          <w:numId w:val="63"/>
        </w:numPr>
        <w:rPr>
          <w:rFonts w:ascii="Arial" w:cs="Arial" w:eastAsia="Arial" w:hAnsi="Arial"/>
          <w:sz w:val="17"/>
          <w:szCs w:val="17"/>
          <w:color w:val="auto"/>
        </w:rPr>
      </w:pPr>
      <w:r>
        <w:rPr>
          <w:rFonts w:ascii="Arial" w:cs="Arial" w:eastAsia="Arial" w:hAnsi="Arial"/>
          <w:sz w:val="16"/>
          <w:szCs w:val="16"/>
          <w:color w:val="auto"/>
        </w:rPr>
        <w:t>other non-qualifying income from foreclosure property.</w:t>
      </w:r>
    </w:p>
    <w:p>
      <w:pPr>
        <w:spacing w:after="0" w:line="93" w:lineRule="exact"/>
        <w:rPr>
          <w:rFonts w:ascii="Arial" w:cs="Arial" w:eastAsia="Arial" w:hAnsi="Arial"/>
          <w:sz w:val="17"/>
          <w:szCs w:val="17"/>
          <w:color w:val="auto"/>
        </w:rPr>
      </w:pPr>
    </w:p>
    <w:p>
      <w:pPr>
        <w:ind w:left="560" w:right="280" w:hanging="145"/>
        <w:spacing w:after="0" w:line="317" w:lineRule="auto"/>
        <w:tabs>
          <w:tab w:leader="none" w:pos="647"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Company will pay a 100% tax on net income earned from sales or other dispositions of property, other than foreclosure property, by an entity other than a taxable REIT subsidiary, which we refer to as a TRS, if such property is held primarily for sale to customers in the ordinary course of business.</w:t>
      </w:r>
    </w:p>
    <w:p>
      <w:pPr>
        <w:spacing w:after="0" w:line="42" w:lineRule="exact"/>
        <w:rPr>
          <w:rFonts w:ascii="Arial" w:cs="Arial" w:eastAsia="Arial" w:hAnsi="Arial"/>
          <w:sz w:val="14"/>
          <w:szCs w:val="14"/>
          <w:color w:val="auto"/>
        </w:rPr>
      </w:pPr>
    </w:p>
    <w:p>
      <w:pPr>
        <w:ind w:left="560" w:right="240" w:hanging="145"/>
        <w:spacing w:after="0" w:line="245" w:lineRule="auto"/>
        <w:tabs>
          <w:tab w:leader="none" w:pos="6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Company fails to satisfy one or both of the 75% gross income test or the 95% gross income test, as described below in the section entitled “— Requirements for Qualification—Gross Income Tests,” and nonetheless continues to qualify as a REIT because it meets other requirements, it will pay a 100% tax on: the greater of the amount by which it fails the 75% gross income test or the 95% gross income test, multiplied, in either case, by a fraction intended to reflect its profitability.</w:t>
      </w:r>
    </w:p>
    <w:p>
      <w:pPr>
        <w:spacing w:after="0" w:line="90" w:lineRule="exact"/>
        <w:rPr>
          <w:rFonts w:ascii="Arial" w:cs="Arial" w:eastAsia="Arial" w:hAnsi="Arial"/>
          <w:sz w:val="16"/>
          <w:szCs w:val="16"/>
          <w:color w:val="auto"/>
        </w:rPr>
      </w:pPr>
    </w:p>
    <w:p>
      <w:pPr>
        <w:ind w:left="560" w:right="60" w:hanging="145"/>
        <w:spacing w:after="0" w:line="244" w:lineRule="auto"/>
        <w:tabs>
          <w:tab w:leader="none" w:pos="6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Company fails any of the asset tests (other than a de minimis failure of the 5% asset test or the 10% vote or value test, as described below in the section entitled “—Requirements for Qualification—Asset Tests”), as long as the failure was due to reasonable cause and not to willful neglect, the Company files a description of each asset that caused such failure with the IRS, and the Company disposes of the assets or otherwise complies with the asset tests within six months after the last day of the quarter in which it identifies such failure, it will pay a tax equal to the greater of $50,000 or the highest U.S. federal income tax rate then applicable to U.S. corporations (currently 21%) on the net income from the non-qualifying assets during the period in which it failed to satisfy the asset tests in order to remain qualified as a REIT.</w:t>
      </w:r>
    </w:p>
    <w:p>
      <w:pPr>
        <w:spacing w:after="0" w:line="93" w:lineRule="exact"/>
        <w:rPr>
          <w:rFonts w:ascii="Arial" w:cs="Arial" w:eastAsia="Arial" w:hAnsi="Arial"/>
          <w:sz w:val="16"/>
          <w:szCs w:val="16"/>
          <w:color w:val="auto"/>
        </w:rPr>
      </w:pPr>
    </w:p>
    <w:p>
      <w:pPr>
        <w:ind w:left="560" w:hanging="145"/>
        <w:spacing w:after="0" w:line="317" w:lineRule="auto"/>
        <w:tabs>
          <w:tab w:leader="none" w:pos="647"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the Company fails to satisfy one or more requirements for REIT qualification, other than the gross income tests and the asset tests, and such failure is due to reasonable cause and not to willful neglect, it will be required to pay a penalty of $50,000 for each such failure in order to remain qualified as a REIT.</w:t>
      </w:r>
    </w:p>
    <w:p>
      <w:pPr>
        <w:spacing w:after="0" w:line="42" w:lineRule="exact"/>
        <w:rPr>
          <w:rFonts w:ascii="Arial" w:cs="Arial" w:eastAsia="Arial" w:hAnsi="Arial"/>
          <w:sz w:val="14"/>
          <w:szCs w:val="14"/>
          <w:color w:val="auto"/>
        </w:rPr>
      </w:pPr>
    </w:p>
    <w:p>
      <w:pPr>
        <w:ind w:left="560" w:right="140" w:hanging="145"/>
        <w:spacing w:after="0" w:line="245" w:lineRule="auto"/>
        <w:tabs>
          <w:tab w:leader="none" w:pos="6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Company fails to distribute during a calendar year at least the sum of: (i) 85% of its REIT ordinary income for the year; (ii) 95% of its REIT capital gain net income for the year; and (iii) any undistributed taxable income required to be distributed from earlier periods, the Company will pay a 4% nondeductible excise tax on the excess of the required distribution over the amount it actually distributed, plus any retained amounts on which income tax has been paid at the corporate level.</w:t>
      </w:r>
    </w:p>
    <w:p>
      <w:pPr>
        <w:spacing w:after="0" w:line="90" w:lineRule="exact"/>
        <w:rPr>
          <w:rFonts w:ascii="Arial" w:cs="Arial" w:eastAsia="Arial" w:hAnsi="Arial"/>
          <w:sz w:val="16"/>
          <w:szCs w:val="16"/>
          <w:color w:val="auto"/>
        </w:rPr>
      </w:pPr>
    </w:p>
    <w:p>
      <w:pPr>
        <w:ind w:left="560" w:right="260" w:hanging="145"/>
        <w:spacing w:after="0" w:line="246" w:lineRule="auto"/>
        <w:tabs>
          <w:tab w:leader="none" w:pos="6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may elect to retain and pay income tax on its net long-term capital gain. In that case, to the extent that the Company made a timely designation of such gain, a U.S. stockholder would be taxed on its proportionate share of the Company’s undistributed long-term capital gain and would receive a credit or refund for its proportionate share of the tax the Company paid.</w:t>
      </w:r>
    </w:p>
    <w:p>
      <w:pPr>
        <w:spacing w:after="0" w:line="89" w:lineRule="exact"/>
        <w:rPr>
          <w:rFonts w:ascii="Arial" w:cs="Arial" w:eastAsia="Arial" w:hAnsi="Arial"/>
          <w:sz w:val="16"/>
          <w:szCs w:val="16"/>
          <w:color w:val="auto"/>
        </w:rPr>
      </w:pPr>
    </w:p>
    <w:p>
      <w:pPr>
        <w:ind w:left="640" w:hanging="225"/>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will be subject to a 100% excise tax on transactions with a TRS that are not conducted on an arm’s-length basis.</w:t>
      </w:r>
    </w:p>
    <w:p>
      <w:pPr>
        <w:spacing w:after="0" w:line="96" w:lineRule="exact"/>
        <w:rPr>
          <w:rFonts w:ascii="Arial" w:cs="Arial" w:eastAsia="Arial" w:hAnsi="Arial"/>
          <w:sz w:val="16"/>
          <w:szCs w:val="16"/>
          <w:color w:val="auto"/>
        </w:rPr>
      </w:pPr>
    </w:p>
    <w:p>
      <w:pPr>
        <w:ind w:left="560" w:right="220" w:hanging="145"/>
        <w:spacing w:after="0" w:line="298" w:lineRule="auto"/>
        <w:tabs>
          <w:tab w:leader="none" w:pos="647"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the Company acquires any asset from a non-REIT C corporation in a merger or other transaction in which the Company acquires a basis in the asset that is determined by reference either to the non-REIT C corporation’s basis in the asset or to another asset, the Company will pay tax at the highest regular corporate rate applicable if it recognizes gain on the sale or disposition of the asset during the five-year period after it acquires the asset,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40"/>
        <w:spacing w:after="0" w:line="245" w:lineRule="auto"/>
        <w:rPr>
          <w:sz w:val="20"/>
          <w:szCs w:val="20"/>
          <w:color w:val="auto"/>
        </w:rPr>
      </w:pPr>
      <w:r>
        <w:rPr>
          <w:rFonts w:ascii="Arial" w:cs="Arial" w:eastAsia="Arial" w:hAnsi="Arial"/>
          <w:sz w:val="16"/>
          <w:szCs w:val="16"/>
          <w:color w:val="auto"/>
        </w:rPr>
        <w:t>provided no election is made for the transaction to be taxable on a current basis. This tax will generally apply to gain recognized with respect to assets that the Company holds as of the effective date of its REIT election (January 1, 2017) if such gain is recognized during the five-year period following such effective date or it may apply if the Company were to engage in (or, potentially, become a successor to an entity that had engaged in) a tax-free spin-off transaction under Section 355 of the Code within 5 years of such effective date. The amount of gain on which the Company would pay tax in the foregoing circumstances is the lesser of:</w:t>
      </w:r>
    </w:p>
    <w:p>
      <w:pPr>
        <w:spacing w:after="0" w:line="90" w:lineRule="exact"/>
        <w:rPr>
          <w:sz w:val="20"/>
          <w:szCs w:val="20"/>
          <w:color w:val="auto"/>
        </w:rPr>
      </w:pPr>
    </w:p>
    <w:p>
      <w:pPr>
        <w:ind w:left="560" w:right="280" w:hanging="145"/>
        <w:spacing w:after="0" w:line="248" w:lineRule="auto"/>
        <w:tabs>
          <w:tab w:leader="none" w:pos="6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 of gain that the Company recognizes at the time of the sale or disposition (or would have recognized if, at the time of a spin-off transaction described above, the Company had disposed of the applicable asset); and</w:t>
      </w:r>
    </w:p>
    <w:p>
      <w:pPr>
        <w:spacing w:after="0" w:line="87" w:lineRule="exact"/>
        <w:rPr>
          <w:rFonts w:ascii="Arial" w:cs="Arial" w:eastAsia="Arial" w:hAnsi="Arial"/>
          <w:sz w:val="16"/>
          <w:szCs w:val="16"/>
          <w:color w:val="auto"/>
        </w:rPr>
      </w:pPr>
    </w:p>
    <w:p>
      <w:pPr>
        <w:ind w:left="560" w:right="160" w:hanging="145"/>
        <w:spacing w:after="0" w:line="248" w:lineRule="auto"/>
        <w:tabs>
          <w:tab w:leader="none" w:pos="6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 of gain that the Company would have recognized if it had sold the asset at the time the Company acquired it, assuming that the non-REIT C corporation will not elect in lieu of this treatment an immediate tax when the asset is acquired.</w:t>
      </w:r>
    </w:p>
    <w:p>
      <w:pPr>
        <w:spacing w:after="0" w:line="87" w:lineRule="exact"/>
        <w:rPr>
          <w:rFonts w:ascii="Arial" w:cs="Arial" w:eastAsia="Arial" w:hAnsi="Arial"/>
          <w:sz w:val="16"/>
          <w:szCs w:val="16"/>
          <w:color w:val="auto"/>
        </w:rPr>
      </w:pPr>
    </w:p>
    <w:p>
      <w:pPr>
        <w:ind w:left="560" w:right="420" w:hanging="145"/>
        <w:spacing w:after="0" w:line="246" w:lineRule="auto"/>
        <w:tabs>
          <w:tab w:leader="none" w:pos="6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may be required to pay monetary penalties to the IRS in certain circumstances, including if it fails to meet recordkeeping requirements intended to monitor its compliance with rules relating to the composition of a REIT’s stockholders, as described below in the section entitled “— Requirements for Qualification—Recordkeeping Requirements.”</w:t>
      </w:r>
    </w:p>
    <w:p>
      <w:pPr>
        <w:spacing w:after="0" w:line="89" w:lineRule="exact"/>
        <w:rPr>
          <w:rFonts w:ascii="Arial" w:cs="Arial" w:eastAsia="Arial" w:hAnsi="Arial"/>
          <w:sz w:val="16"/>
          <w:szCs w:val="16"/>
          <w:color w:val="auto"/>
        </w:rPr>
      </w:pPr>
    </w:p>
    <w:p>
      <w:pPr>
        <w:ind w:left="560" w:right="420" w:hanging="145"/>
        <w:spacing w:after="0" w:line="248" w:lineRule="auto"/>
        <w:tabs>
          <w:tab w:leader="none" w:pos="6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earnings of the Company’s lower-tier entities that are subchapter C corporations, excluding any qualified REIT subsidiaries, which we refer to as QRSs, but including domestic TRSs, are subject to U.S. federal corporate income tax.</w:t>
      </w:r>
    </w:p>
    <w:p>
      <w:pPr>
        <w:spacing w:after="0" w:line="88"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In addition, the Company and its subsidiaries may be subject to a variety of taxes, including payroll taxes and state, local and foreign income, property and other taxes on its assets and operations. The Company could also be subject to tax in situations and on transactions not presently contemplated. Moreover, as described further below, the Company’s TRSs will be subject to U.S. federal, state and local corporate income tax on their taxable income. Due to the nature of the assets in which the Company invests, the Company’s TRSs have, and the Company expects the TRSs will continue to have, a material amount of assets and net taxable income.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Requirements for Qualification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REIT is a corporation, trust or association that meets each of the following requirements:</w:t>
      </w:r>
    </w:p>
    <w:p>
      <w:pPr>
        <w:spacing w:after="0" w:line="97" w:lineRule="exact"/>
        <w:rPr>
          <w:sz w:val="20"/>
          <w:szCs w:val="20"/>
          <w:color w:val="auto"/>
        </w:rPr>
      </w:pPr>
    </w:p>
    <w:p>
      <w:pPr>
        <w:ind w:left="620" w:hanging="205"/>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It is managed by one or more trustees or directors.</w:t>
      </w:r>
    </w:p>
    <w:p>
      <w:pPr>
        <w:spacing w:after="0" w:line="53" w:lineRule="exact"/>
        <w:rPr>
          <w:rFonts w:ascii="Arial" w:cs="Arial" w:eastAsia="Arial" w:hAnsi="Arial"/>
          <w:sz w:val="16"/>
          <w:szCs w:val="16"/>
          <w:color w:val="auto"/>
        </w:rPr>
      </w:pPr>
    </w:p>
    <w:p>
      <w:pPr>
        <w:ind w:left="620" w:hanging="205"/>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6"/>
          <w:szCs w:val="16"/>
          <w:color w:val="auto"/>
        </w:rPr>
        <w:t>Its beneficial ownership is evidenced by transferable shares or by transferable certificates of beneficial interest.</w:t>
      </w:r>
    </w:p>
    <w:p>
      <w:pPr>
        <w:spacing w:after="0" w:line="50" w:lineRule="exact"/>
        <w:rPr>
          <w:rFonts w:ascii="Arial" w:cs="Arial" w:eastAsia="Arial" w:hAnsi="Arial"/>
          <w:sz w:val="17"/>
          <w:szCs w:val="17"/>
          <w:color w:val="auto"/>
        </w:rPr>
      </w:pPr>
    </w:p>
    <w:p>
      <w:pPr>
        <w:ind w:left="620" w:hanging="205"/>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6"/>
          <w:szCs w:val="16"/>
          <w:color w:val="auto"/>
        </w:rPr>
        <w:t>It would be taxable as a domestic corporation but for the REIT provisions of the U.S. federal income tax laws.</w:t>
      </w:r>
    </w:p>
    <w:p>
      <w:pPr>
        <w:spacing w:after="0" w:line="50" w:lineRule="exact"/>
        <w:rPr>
          <w:rFonts w:ascii="Arial" w:cs="Arial" w:eastAsia="Arial" w:hAnsi="Arial"/>
          <w:sz w:val="17"/>
          <w:szCs w:val="17"/>
          <w:color w:val="auto"/>
        </w:rPr>
      </w:pPr>
    </w:p>
    <w:p>
      <w:pPr>
        <w:ind w:left="620" w:hanging="205"/>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6"/>
          <w:szCs w:val="16"/>
          <w:color w:val="auto"/>
        </w:rPr>
        <w:t>It is neither a financial institution nor an insurance company subject to special provisions of the U.S. federal income tax laws.</w:t>
      </w:r>
    </w:p>
    <w:p>
      <w:pPr>
        <w:spacing w:after="0" w:line="50" w:lineRule="exact"/>
        <w:rPr>
          <w:rFonts w:ascii="Arial" w:cs="Arial" w:eastAsia="Arial" w:hAnsi="Arial"/>
          <w:sz w:val="17"/>
          <w:szCs w:val="17"/>
          <w:color w:val="auto"/>
        </w:rPr>
      </w:pPr>
    </w:p>
    <w:p>
      <w:pPr>
        <w:ind w:left="620" w:hanging="205"/>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6"/>
          <w:szCs w:val="16"/>
          <w:color w:val="auto"/>
        </w:rPr>
        <w:t>At least 100 persons are beneficial owners of its shares or ownership certificates.</w:t>
      </w:r>
    </w:p>
    <w:p>
      <w:pPr>
        <w:spacing w:after="0" w:line="58" w:lineRule="exact"/>
        <w:rPr>
          <w:rFonts w:ascii="Arial" w:cs="Arial" w:eastAsia="Arial" w:hAnsi="Arial"/>
          <w:sz w:val="17"/>
          <w:szCs w:val="17"/>
          <w:color w:val="auto"/>
        </w:rPr>
      </w:pPr>
    </w:p>
    <w:p>
      <w:pPr>
        <w:ind w:left="620" w:right="100" w:hanging="205"/>
        <w:spacing w:after="0" w:line="236" w:lineRule="auto"/>
        <w:tabs>
          <w:tab w:leader="none" w:pos="623" w:val="left"/>
        </w:tabs>
        <w:numPr>
          <w:ilvl w:val="0"/>
          <w:numId w:val="65"/>
        </w:numPr>
        <w:rPr>
          <w:rFonts w:ascii="Arial" w:cs="Arial" w:eastAsia="Arial" w:hAnsi="Arial"/>
          <w:sz w:val="17"/>
          <w:szCs w:val="17"/>
          <w:color w:val="auto"/>
        </w:rPr>
      </w:pPr>
      <w:r>
        <w:rPr>
          <w:rFonts w:ascii="Arial" w:cs="Arial" w:eastAsia="Arial" w:hAnsi="Arial"/>
          <w:sz w:val="16"/>
          <w:szCs w:val="16"/>
          <w:color w:val="auto"/>
        </w:rPr>
        <w:t>Not more than 50% in value of its outstanding shares or ownership certificates is owned, directly or indirectly, by five or fewer individuals, which the Code defines to include certain entities, during the last half of any taxable year.</w:t>
      </w:r>
    </w:p>
    <w:p>
      <w:pPr>
        <w:spacing w:after="0" w:line="59" w:lineRule="exact"/>
        <w:rPr>
          <w:rFonts w:ascii="Arial" w:cs="Arial" w:eastAsia="Arial" w:hAnsi="Arial"/>
          <w:sz w:val="17"/>
          <w:szCs w:val="17"/>
          <w:color w:val="auto"/>
        </w:rPr>
      </w:pPr>
    </w:p>
    <w:p>
      <w:pPr>
        <w:ind w:left="620" w:right="620" w:hanging="205"/>
        <w:spacing w:after="0" w:line="236" w:lineRule="auto"/>
        <w:tabs>
          <w:tab w:leader="none" w:pos="623" w:val="left"/>
        </w:tabs>
        <w:numPr>
          <w:ilvl w:val="0"/>
          <w:numId w:val="65"/>
        </w:numPr>
        <w:rPr>
          <w:rFonts w:ascii="Arial" w:cs="Arial" w:eastAsia="Arial" w:hAnsi="Arial"/>
          <w:sz w:val="17"/>
          <w:szCs w:val="17"/>
          <w:color w:val="auto"/>
        </w:rPr>
      </w:pPr>
      <w:r>
        <w:rPr>
          <w:rFonts w:ascii="Arial" w:cs="Arial" w:eastAsia="Arial" w:hAnsi="Arial"/>
          <w:sz w:val="16"/>
          <w:szCs w:val="16"/>
          <w:color w:val="auto"/>
        </w:rPr>
        <w:t>It elects to be a REIT, or has made such election for a previous taxable year, and satisfies all relevant filing and other administrative requirements established by the IRS that must be met to elect and maintain REIT status.</w:t>
      </w:r>
    </w:p>
    <w:p>
      <w:pPr>
        <w:spacing w:after="0" w:line="59" w:lineRule="exact"/>
        <w:rPr>
          <w:rFonts w:ascii="Arial" w:cs="Arial" w:eastAsia="Arial" w:hAnsi="Arial"/>
          <w:sz w:val="17"/>
          <w:szCs w:val="17"/>
          <w:color w:val="auto"/>
        </w:rPr>
      </w:pPr>
    </w:p>
    <w:p>
      <w:pPr>
        <w:ind w:left="620" w:right="960" w:hanging="205"/>
        <w:spacing w:after="0" w:line="236" w:lineRule="auto"/>
        <w:tabs>
          <w:tab w:leader="none" w:pos="623" w:val="left"/>
        </w:tabs>
        <w:numPr>
          <w:ilvl w:val="0"/>
          <w:numId w:val="65"/>
        </w:numPr>
        <w:rPr>
          <w:rFonts w:ascii="Arial" w:cs="Arial" w:eastAsia="Arial" w:hAnsi="Arial"/>
          <w:sz w:val="17"/>
          <w:szCs w:val="17"/>
          <w:color w:val="auto"/>
        </w:rPr>
      </w:pPr>
      <w:r>
        <w:rPr>
          <w:rFonts w:ascii="Arial" w:cs="Arial" w:eastAsia="Arial" w:hAnsi="Arial"/>
          <w:sz w:val="16"/>
          <w:szCs w:val="16"/>
          <w:color w:val="auto"/>
        </w:rPr>
        <w:t>It meets certain other qualification tests, described below, regarding the nature of its income and assets and the amount of its distributions to stockholders.</w:t>
      </w:r>
    </w:p>
    <w:p>
      <w:pPr>
        <w:spacing w:after="0" w:line="51" w:lineRule="exact"/>
        <w:rPr>
          <w:rFonts w:ascii="Arial" w:cs="Arial" w:eastAsia="Arial" w:hAnsi="Arial"/>
          <w:sz w:val="17"/>
          <w:szCs w:val="17"/>
          <w:color w:val="auto"/>
        </w:rPr>
      </w:pPr>
    </w:p>
    <w:p>
      <w:pPr>
        <w:ind w:left="620" w:hanging="205"/>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6"/>
          <w:szCs w:val="16"/>
          <w:color w:val="auto"/>
        </w:rPr>
        <w:t>It uses a calendar year for U.S. federal income tax purposes.</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Company must meet requirements 1 through 4, 8 and 9 during its entire taxable year and must meet requirement 5 during at least 335 days of a taxable year of 12 months, or during a proportionate part of a taxable year of less than 12 months. Requirements 5 and 6 began applying to the Company with its 2018 taxable year. If the Company complies with all the requirements for ascertaining the ownership of its outstanding shares in a taxable year and has no reason to know that it violated requirement 6, it will be deemed to have satisfied requirement 6 for that taxable year. For purposes of determining share ownership under requirement 6,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the U.S. federal income tax laws, and beneficiaries of such a trust will be treated as holding our stock in proportion to their actuarial interests in the trust for purposes of requirement 6. The Company expects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to issue sufficient stock with sufficient diversity of ownership to satisfy requirements 5 and 6. In addition, the Company’s charter restricts the ownership and transfer of our stock so that it should continue to satisfy these requirements. To monitor compliance with the stock ownership requirements, we are generally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in gross income the dividends paid by us). We must maintain a list of those persons failing or refusing to comply with this demand as part of our records. We could be subject to monetary penalties if we fail to comply with these recordkeeping requirements. A stockholder that fails or refuses to comply with the demand is required by Treasury Regulations to submit a statement with its tax return disclosing the actual ownership of our stock and other information. For purposes of requirement 9, we have adopted December 31 as our year end, and thereby satisfy this requirement.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Relief from Violations; Reasonable Cause</w:t>
      </w:r>
    </w:p>
    <w:p>
      <w:pPr>
        <w:spacing w:after="0" w:line="113"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The Internal Revenue Code provides relief from violations of the REIT gross income requirements, as described below under “—Requirements for Qualification—Gross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“—Requirements for Qualification—Asset Tests” below) and other REIT requirements, again provided that the violation is due to reasonable cause and not willful neglect, and other conditions are met, including the payment of a penalty tax. If we did not have reasonable cause for a failure, we would fail to qualify as a REIT. Whether we would have reasonable cause for any such failure cannot be known with certainty because the determination of whether reasonable cause exists depends on the facts and circumstances at the time and we cannot provide any assurance that we in fact would have reasonable cause for a particular failure or that the IRS would not successfully challenge our view that a failure was due to reasonable cause. Moreover, we may be unable to actually rectify a failure and restore asset test compliance within the required timeframe due to the inability to transfer or otherwise dispose of assets, including as a result of restrictions on transfer imposed by our lenders or undertakings with our co-investors and/or the inability to acquire additional qualifying assets due to transaction risks, access to additional capital or other considerations.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Effect of Subsidiary Entities</w:t>
      </w:r>
    </w:p>
    <w:p>
      <w:pPr>
        <w:spacing w:after="0" w:line="97" w:lineRule="exact"/>
        <w:rPr>
          <w:sz w:val="20"/>
          <w:szCs w:val="20"/>
          <w:color w:val="auto"/>
        </w:rPr>
      </w:pPr>
    </w:p>
    <w:p>
      <w:pPr>
        <w:ind w:right="60" w:firstLine="351"/>
        <w:spacing w:after="0" w:line="250" w:lineRule="auto"/>
        <w:rPr>
          <w:sz w:val="20"/>
          <w:szCs w:val="20"/>
          <w:color w:val="auto"/>
        </w:rPr>
      </w:pPr>
      <w:r>
        <w:rPr>
          <w:rFonts w:ascii="Arial" w:cs="Arial" w:eastAsia="Arial" w:hAnsi="Arial"/>
          <w:sz w:val="16"/>
          <w:szCs w:val="16"/>
          <w:i w:val="1"/>
          <w:iCs w:val="1"/>
          <w:color w:val="auto"/>
        </w:rPr>
        <w:t xml:space="preserve">Qualified REIT Subsidiaries. </w:t>
      </w:r>
      <w:r>
        <w:rPr>
          <w:rFonts w:ascii="Arial" w:cs="Arial" w:eastAsia="Arial" w:hAnsi="Arial"/>
          <w:sz w:val="16"/>
          <w:szCs w:val="16"/>
          <w:color w:val="auto"/>
        </w:rPr>
        <w:t>A corporation that is a QRS is not treated as a corporation separate from its parent REIT. All assets, liabilities and items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deduction and credit of a QRS are treated as assets, liabilities and items of income, deduction and credit of the REIT. A QRS is a corporation, other than a TRS, all the stock of which is owned by the REIT. Thus, in applying the requirements described herein, any QRS that the Company owns will be ignored, and all assets, liabilities and items of income, deduction and credit of such subsidiary will be treated as the Company’s assets, liabilities and items of income, deduction and credit.</w:t>
      </w:r>
    </w:p>
    <w:p>
      <w:pPr>
        <w:spacing w:after="0" w:line="71"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i w:val="1"/>
          <w:iCs w:val="1"/>
          <w:color w:val="auto"/>
        </w:rPr>
        <w:t xml:space="preserve">Other Disregarded Entities and Partnerships. </w:t>
      </w:r>
      <w:r>
        <w:rPr>
          <w:rFonts w:ascii="Arial" w:cs="Arial" w:eastAsia="Arial" w:hAnsi="Arial"/>
          <w:sz w:val="16"/>
          <w:szCs w:val="16"/>
          <w:color w:val="auto"/>
        </w:rPr>
        <w:t>An unincorporated domestic entity, such as a partnership or limited liability company, that has a single owner for</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tax purposes generally is not treated as an entity separate from its owner for U.S. federal income tax purposes. An unincorporated domestic entity with two or more owners is generally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Thus, the Company’s proportionate share of the assets, liabilities and items of income of DigitalBridge Operating Company, LLC, which we refer to as the Operating Partnership, and any other partnership, joint venture or limited liability company that is treated as a partnership for U.S. federal income tax purposes in which it has acquired or will acquire an interest, directly or indirectly, or a subsidiary partnership, will be treated as its assets and gross income for purposes of applying the various REIT qualification requirements. For purposes of the 10% value test (described in the section entitled “—Asset Tests”), the Company’s proportionate share is based on its proportionate interest in the equity interests and certain debt securities issued by the partnership. For all of the other asset and income tests, the Company’s proportionate share is based on its proportionate interest in the capital of the partnership.</w:t>
      </w:r>
    </w:p>
    <w:p>
      <w:pPr>
        <w:spacing w:after="0" w:line="93"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The Company holds and expects to acquire limited partner or non-managing member interests in partnerships and limited liability companies that are joint ventures or investment funds. If a partnership or limited liability company in which the Company owns a direct or indirect interest takes or expects to take actions that could jeopardize its qualification as a REIT or require it to pay tax, the Company may be forced to dispose of its interest in such entity. In addition, it is possible that a partnership or limited liability company could take an action which could cause the Company to fail a REIT gross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income or asset test, and that the Company would not become aware of such action in time to dispose of its interest in the partnership or limited liability company or take other corrective action on a timely basis. In that case, the Company could fail to qualify as a REIT unless it was able to qualify for a statutory REIT “savings” provision, which may require it to pay a significant penalty tax to maintain its REIT qualification.</w:t>
      </w:r>
    </w:p>
    <w:p>
      <w:pPr>
        <w:spacing w:after="0" w:line="73" w:lineRule="exact"/>
        <w:rPr>
          <w:sz w:val="20"/>
          <w:szCs w:val="20"/>
          <w:color w:val="auto"/>
        </w:rPr>
      </w:pPr>
    </w:p>
    <w:p>
      <w:pPr>
        <w:jc w:val="both"/>
        <w:ind w:right="260" w:firstLine="351"/>
        <w:spacing w:after="0" w:line="252" w:lineRule="auto"/>
        <w:rPr>
          <w:sz w:val="20"/>
          <w:szCs w:val="20"/>
          <w:color w:val="auto"/>
        </w:rPr>
      </w:pPr>
      <w:r>
        <w:rPr>
          <w:rFonts w:ascii="Arial" w:cs="Arial" w:eastAsia="Arial" w:hAnsi="Arial"/>
          <w:sz w:val="16"/>
          <w:szCs w:val="16"/>
          <w:i w:val="1"/>
          <w:iCs w:val="1"/>
          <w:color w:val="auto"/>
        </w:rPr>
        <w:t xml:space="preserve">Taxable REIT Subsidiaries. </w:t>
      </w:r>
      <w:r>
        <w:rPr>
          <w:rFonts w:ascii="Arial" w:cs="Arial" w:eastAsia="Arial" w:hAnsi="Arial"/>
          <w:sz w:val="16"/>
          <w:szCs w:val="16"/>
          <w:color w:val="auto"/>
        </w:rPr>
        <w:t>A REIT may own up to 100% of the stock of one or more TRSs. A TRS is a fully taxable corporation that may earn income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not be qualifying income if earned directly by its parent REIT or through a disregarded or partnership subsidiary. The subsidiary corporation and the REIT must jointly elect to treat the subsidiary as a TRS. Any corporation of which a TRS directly or indirectly owns more than 35% of the voting power or value of the stock will automatically be treated as a TRS.</w:t>
      </w:r>
    </w:p>
    <w:p>
      <w:pPr>
        <w:spacing w:after="0" w:line="85"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A REIT is not treated as holding the assets of a TRS or as receiving any income that the TRS earns. Rather, the stock issued by the TRS is an asset in the hands of the parent REIT and the REIT recognizes as income the dividends, if any, that it receives from the TRS. This treatment can affect the income and asset test calculations that apply to the REIT. Because a parent REIT does not include the assets and income of such TRSs in determining the parent REIT’s compliance with the REIT requirements, TRSs may be used by the parent REIT to undertake indirectly activities that the REIT rules might otherwise preclude it from doing directly or through pass-through subsidiaries (for example, activities that give rise to certain categories of income such as management fees).</w:t>
      </w:r>
    </w:p>
    <w:p>
      <w:pPr>
        <w:spacing w:after="0" w:line="90" w:lineRule="exact"/>
        <w:rPr>
          <w:sz w:val="20"/>
          <w:szCs w:val="20"/>
          <w:color w:val="auto"/>
        </w:rPr>
      </w:pPr>
    </w:p>
    <w:p>
      <w:pPr>
        <w:ind w:firstLine="351"/>
        <w:spacing w:after="0" w:line="281" w:lineRule="auto"/>
        <w:rPr>
          <w:sz w:val="20"/>
          <w:szCs w:val="20"/>
          <w:color w:val="auto"/>
        </w:rPr>
      </w:pPr>
      <w:r>
        <w:rPr>
          <w:rFonts w:ascii="Arial" w:cs="Arial" w:eastAsia="Arial" w:hAnsi="Arial"/>
          <w:sz w:val="14"/>
          <w:szCs w:val="14"/>
          <w:color w:val="auto"/>
        </w:rPr>
        <w:t>However, an entity will not qualify as a TRS if it directly or indirectly operates or manages a lodging or health care facility or, generally, provides rights to any brand name under which any lodging or health care facility is operated, unless such rights are provided to an “eligible independent contractor” to operate or manage a lodging facility or a health care facility if such rights are held by the TRS as a franchisee, licensee or in a similar capacity and such lodging facility or health care facility is either owned by the TRS or leased to the TRS by its parent REIT. A TRS will not be considered to operate or manage a qualified lodging facility or a qualified health care property solely because the TRS directly or indirectly possesses a license, permit or similar instrument enabling it to do so. Additionally, a TRS will not be considered to operate or manage a qualified lodging facility or qualified health care property located outside of the United States, as long as an “eligible independent contractor” is responsible for the daily supervision and direction of such individuals on behalf of the TRS pursuant to a management agreement or similar service contract. An “eligible independent contractor” is, generally, with respect to any qualified lodging facility or qualified health care property, any independent contractor (as defined in Section 856(d)(3) of the Code) if, at the time such contractor enters into a management agreement or other similar service contract with the TRS to operate such qualified lodging facility or qualified health care property, such contractor (or any related person) is actively engaged in the trade or business of operating qualified lodging facilities or qualified health care properties, respectively, for any person who is not a related person with respect to the parent REIT or the TRS. The Company may lease qualified health care properties or qualified lodging facilities to a TRS of the Company, which TRS will, in turn, engage “eligible independent contractors” to operate such properties. We may also own health care properties or lodging facilities through a TRS, which would engage “eligible independent contractors” to operate such facilities. We have taken, and will continue to take, all steps reasonably practicable to ensure that no TRS will engage in “operating” or “managing” its health care properties or lodging facilities and that the management companies engaged to operate such health care properties or lodging facilities will qualify as “eligible independent contractors.”</w:t>
      </w:r>
    </w:p>
    <w:p>
      <w:pPr>
        <w:spacing w:after="0" w:line="260"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Domestic TRSs are subject to U.S. federal income tax, and state and local income tax, where applicable, on their taxable income. To the extent that a domestic TRS is required to pay taxes, it will have less cash available for distribution to the Company. If dividends are paid to the Company by its domestic TRSs, then the dividends it pays to our stockholders who are taxed at individual rates, up to the amount of dividends it receives from its domestic TRSs, will generally be eligible to be taxed at the reduced 20% rate applicable to qualified dividend income.</w:t>
      </w:r>
    </w:p>
    <w:p>
      <w:pPr>
        <w:spacing w:after="0" w:line="91" w:lineRule="exact"/>
        <w:rPr>
          <w:sz w:val="20"/>
          <w:szCs w:val="20"/>
          <w:color w:val="auto"/>
        </w:rPr>
      </w:pPr>
    </w:p>
    <w:p>
      <w:pPr>
        <w:ind w:right="180" w:firstLine="351"/>
        <w:spacing w:after="0" w:line="246" w:lineRule="auto"/>
        <w:rPr>
          <w:sz w:val="20"/>
          <w:szCs w:val="20"/>
          <w:color w:val="auto"/>
        </w:rPr>
      </w:pPr>
      <w:r>
        <w:rPr>
          <w:rFonts w:ascii="Arial" w:cs="Arial" w:eastAsia="Arial" w:hAnsi="Arial"/>
          <w:sz w:val="16"/>
          <w:szCs w:val="16"/>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 See “—Interest Deduction Limitation.”</w:t>
      </w:r>
    </w:p>
    <w:p>
      <w:pPr>
        <w:spacing w:after="0" w:line="89"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We hold a significant amount of assets in one or more TRSs, and are subject to the limitation that securities in TRSs may not represent more than 20% (25% with respect our taxable year ended December 31, 2017) of the value of the Company’s total assets. There can be no assurance that we will be able to comply with the 20% or 25% limitations.</w:t>
      </w:r>
    </w:p>
    <w:p>
      <w:pPr>
        <w:spacing w:after="0" w:line="89"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In general, the Company intends that any loans that are originated or acquired with an intention of selling such loans in a manner that might expose us to a 100% tax on “prohibited transactions” if originated or acquired by us directly, will instead be originated or acquired by a TRS. Refer to the section entitled “—Gross Income Tests—Prohibited Transactions.” It is possible that such a TRS through which sales of securities are made may be treated as a “dealer” for U.S. federal income tax purposes. As a dealer, a TRS would generally mark all the securities it holds on the last day of each taxable year to their market value, and will recognize ordinary income or loss on such securities with respect to such</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taxable year as if they had been sold for that value on that day. In addition, a TRS may further elect to be subject to the mark-to-market regime described above in the event that the TRS is properly classified as a “trader” as opposed to a “dealer” for U.S. federal income tax purposes.</w:t>
      </w:r>
    </w:p>
    <w:p>
      <w:pPr>
        <w:spacing w:after="0" w:line="88"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We have made, and expect to continue to make, TRS elections with respect to certain foreign TRSs, including any issuers of collateralized debt obligations and other foreign TRSs. The Code and Treasury Regulations promulgated thereunder provide a specific exemption from U.S.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The Company’s foreign TRSs intend to rely on such exemption and do not intend to operate so as to be subject to U.S. federal income tax on their net income. Therefore, despite their status as TRSs, the Company’s foreign TRSs generally would not be subject to U.S. federal corporate income tax on their earnings. No assurance can be given, however, that the IRS will not challenge this treatment. If the IRS were to succeed in such a challenge, then it could greatly reduce the amounts that the Company’s foreign TRSs would have available to distribute to the Company and to pay to their creditors. Notwithstanding these rules, any gain recognized by a foreign corporation with respect to U.S. real property is subject to U.S. tax as if the foreign corporation were a U.S. taxpayer. It is not anticipated that our foreign TRSs will hold U.S. real property other than by foreclosure. Nevertheless, gain (if any) realized on foreclosed U.S. real property would be subject to U.S. tax.</w:t>
      </w:r>
    </w:p>
    <w:p>
      <w:pPr>
        <w:spacing w:after="0" w:line="94" w:lineRule="exact"/>
        <w:rPr>
          <w:sz w:val="20"/>
          <w:szCs w:val="20"/>
          <w:color w:val="auto"/>
        </w:rPr>
      </w:pPr>
    </w:p>
    <w:p>
      <w:pPr>
        <w:ind w:right="300" w:firstLine="351"/>
        <w:spacing w:after="0" w:line="245" w:lineRule="auto"/>
        <w:rPr>
          <w:sz w:val="20"/>
          <w:szCs w:val="20"/>
          <w:color w:val="auto"/>
        </w:rPr>
      </w:pPr>
      <w:r>
        <w:rPr>
          <w:rFonts w:ascii="Arial" w:cs="Arial" w:eastAsia="Arial" w:hAnsi="Arial"/>
          <w:sz w:val="16"/>
          <w:szCs w:val="16"/>
          <w:color w:val="auto"/>
        </w:rPr>
        <w:t>Certain U.S. stockholders of certain non-U.S. corporations, such as the Company’s foreign TRSs, are required to include in their income currently their proportionate share of the earnings of such a corporation, whether or not such earnings are distributed. We generally will be required to include in income, on a current basis, the earnings of its foreign TRSs. For a discussion of the treatment of the income inclusions from the Company’s foreign TRSs under the gross income tests, refer to the section entitled “—Gross Income Tests.”</w:t>
      </w:r>
    </w:p>
    <w:p>
      <w:pPr>
        <w:spacing w:after="0" w:line="75" w:lineRule="exact"/>
        <w:rPr>
          <w:sz w:val="20"/>
          <w:szCs w:val="20"/>
          <w:color w:val="auto"/>
        </w:rPr>
      </w:pPr>
    </w:p>
    <w:p>
      <w:pPr>
        <w:ind w:right="20" w:firstLine="351"/>
        <w:spacing w:after="0" w:line="287" w:lineRule="auto"/>
        <w:rPr>
          <w:sz w:val="20"/>
          <w:szCs w:val="20"/>
          <w:color w:val="auto"/>
        </w:rPr>
      </w:pPr>
      <w:r>
        <w:rPr>
          <w:rFonts w:ascii="Arial" w:cs="Arial" w:eastAsia="Arial" w:hAnsi="Arial"/>
          <w:sz w:val="14"/>
          <w:szCs w:val="14"/>
          <w:i w:val="1"/>
          <w:iCs w:val="1"/>
          <w:color w:val="auto"/>
        </w:rPr>
        <w:t xml:space="preserve">Subsidiary REITs. </w:t>
      </w:r>
      <w:r>
        <w:rPr>
          <w:rFonts w:ascii="Arial" w:cs="Arial" w:eastAsia="Arial" w:hAnsi="Arial"/>
          <w:sz w:val="14"/>
          <w:szCs w:val="14"/>
          <w:color w:val="auto"/>
        </w:rPr>
        <w:t>We own interests (directly or indirectly) in one or more entities that qualify as REITs. We believe that each such REIT has operated, and will</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to operate, in a manner to permit us to qualify for taxation as a REIT for U.S. federal income tax purposes and that stock in any such REIT will thus be a qualifying asset for purposes of the 75% asset test. However, if any such REIT fails to qualify as a REIT then (i) the entity would become subject to regular corporate income tax, as described herein (refer below to the section entitled “—Failure to Qualify”) and (ii) the Company’s equity interest in such entity would cease to be a qualifying real estate asset for purposes of the 75% asset test and, if our protective TRS elections were ineffective, would become subject to the 5% asset test and the 10% vote or value test generally applicable to the Company’s ownership in corporations other than REITs, QRSs or TRSs (refer below to the section entitled “—Asset Tests”). If such an entity failed to qualify as a REIT, it is possible that we would not meet the 75% asset test, the 5% asset test, and/or the 10% vote or value test with respect to its interest in such entity, in which event we would fail to qualify as a REIT, unless we qualify for certain relief provisions.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 xml:space="preserve">Taxable Mortgage Pools. </w:t>
      </w:r>
      <w:r>
        <w:rPr>
          <w:rFonts w:ascii="Arial" w:cs="Arial" w:eastAsia="Arial" w:hAnsi="Arial"/>
          <w:sz w:val="16"/>
          <w:szCs w:val="16"/>
          <w:color w:val="auto"/>
        </w:rPr>
        <w:t>An entity, or a portion of an entity, may be classified as a taxable mortgage pool, which we refer to as a TMP, under the Code if:</w:t>
      </w:r>
    </w:p>
    <w:p>
      <w:pPr>
        <w:spacing w:after="0" w:line="113" w:lineRule="exact"/>
        <w:rPr>
          <w:sz w:val="20"/>
          <w:szCs w:val="20"/>
          <w:color w:val="auto"/>
        </w:rPr>
      </w:pPr>
    </w:p>
    <w:p>
      <w:pPr>
        <w:ind w:left="640" w:hanging="225"/>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substantially all of its assets consist of debt obligations or interests in debt obligations;</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more than 50% of those debt obligations are real estate mortgages or interests in real estate mortgages as of specified testing dates;</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entity has issued debt obligations that have two or more maturities; and</w:t>
      </w:r>
    </w:p>
    <w:p>
      <w:pPr>
        <w:spacing w:after="0" w:line="49" w:lineRule="exact"/>
        <w:rPr>
          <w:rFonts w:ascii="Arial" w:cs="Arial" w:eastAsia="Arial" w:hAnsi="Arial"/>
          <w:sz w:val="16"/>
          <w:szCs w:val="16"/>
          <w:color w:val="auto"/>
        </w:rPr>
      </w:pPr>
    </w:p>
    <w:p>
      <w:pPr>
        <w:ind w:left="560" w:right="480" w:hanging="145"/>
        <w:spacing w:after="0" w:line="248" w:lineRule="auto"/>
        <w:tabs>
          <w:tab w:leader="none" w:pos="6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payments required to be made by the entity on its debt obligations “bear a relationship” to the payments to be received by the entity on the debt obligations that it holds as assets.</w:t>
      </w:r>
    </w:p>
    <w:p>
      <w:pPr>
        <w:spacing w:after="0" w:line="88" w:lineRule="exact"/>
        <w:rPr>
          <w:sz w:val="20"/>
          <w:szCs w:val="20"/>
          <w:color w:val="auto"/>
        </w:rPr>
      </w:pPr>
    </w:p>
    <w:p>
      <w:pPr>
        <w:ind w:right="120" w:firstLine="351"/>
        <w:spacing w:after="0" w:line="246" w:lineRule="auto"/>
        <w:rPr>
          <w:sz w:val="20"/>
          <w:szCs w:val="20"/>
          <w:color w:val="auto"/>
        </w:rPr>
      </w:pPr>
      <w:r>
        <w:rPr>
          <w:rFonts w:ascii="Arial" w:cs="Arial" w:eastAsia="Arial" w:hAnsi="Arial"/>
          <w:sz w:val="16"/>
          <w:szCs w:val="16"/>
          <w:color w:val="auto"/>
        </w:rPr>
        <w:t>Under the Treasury Regulations, if less than 80% of the assets of an entity (or a portion of an entity) consists of debt obligations, these debt obligations are considered not to comprise “substantially all” of its assets and therefore the entity would not be treated as a TMP. Financing arrangements entered into, directly or indirectly, by the Company may give rise to TMPs, with the consequences described in the next paragraph.</w:t>
      </w:r>
    </w:p>
    <w:p>
      <w:pPr>
        <w:spacing w:after="0" w:line="89"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A TMP generally is treated as a corporation for U.S. federal income tax purposes. However, special rules apply to a REIT, a portion of a REIT, or a QRS that is a TMP. If a REIT owns directly, or indirectly through one or more QRSs or other entities that are disregarded as separate entities for U.S. federal income tax purposes, 100% of the equity interests in the TMP, the TMP will be a QRS and, therefore, ignored as an entity separate from the REIT for U.S. federal income tax purposes and would not generally affect the tax qualification of the REIT. It is possible that, based on future financing structures or investments, we would have a QRS that is a TMP or a subsidiary that is a REIT and a TMP or a separate corporation that is taxable as a corporation.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If the Company has an investment in an arrangement that is classified as a TMP, that TMP arrangement will be subject to tax as a separate corporation unless the Company owns 100% of the equity in such TMP arrangement so that it is treated as a QRS, as discussed above. Whether an arrangement is or is not a TMP may not be susceptible to precise determination. If an investment in which the Company owns an interest is characterized as a TMP and thus as a separate corporation, the Company will satisfy the 100% ownership requirement only so long as it owns all classes of securities that for tax purposes are characterized as equity, which is often an uncertain factual issue and in any event is unlikely in the Company’s case given that it expects to generally hold its assets through the Company’s Operating Partnership. Accordingly, if an investment in which the Company owns an interest is characterized as a TMP that does not qualify as a QRS, the Company may be unable to comply with the REIT asset tests that restrict its ability to own most corporations.</w:t>
      </w:r>
    </w:p>
    <w:p>
      <w:pPr>
        <w:spacing w:after="0" w:line="94" w:lineRule="exact"/>
        <w:rPr>
          <w:sz w:val="20"/>
          <w:szCs w:val="20"/>
          <w:color w:val="auto"/>
        </w:rPr>
      </w:pPr>
    </w:p>
    <w:p>
      <w:pPr>
        <w:ind w:right="60" w:firstLine="351"/>
        <w:spacing w:after="0" w:line="248" w:lineRule="auto"/>
        <w:rPr>
          <w:sz w:val="20"/>
          <w:szCs w:val="20"/>
          <w:color w:val="auto"/>
        </w:rPr>
      </w:pPr>
      <w:r>
        <w:rPr>
          <w:rFonts w:ascii="Arial" w:cs="Arial" w:eastAsia="Arial" w:hAnsi="Arial"/>
          <w:sz w:val="16"/>
          <w:szCs w:val="16"/>
          <w:color w:val="auto"/>
        </w:rPr>
        <w:t>Tax-exempt investors, regulated investment company or REIT investors, non-U.S. investors and taxpayers with net operating losses should carefully consider the tax consequences described above, and are urged to consult their tax advisors.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Gross Income Tests</w:t>
      </w:r>
    </w:p>
    <w:p>
      <w:pPr>
        <w:spacing w:after="0" w:line="113" w:lineRule="exact"/>
        <w:rPr>
          <w:sz w:val="20"/>
          <w:szCs w:val="20"/>
          <w:color w:val="auto"/>
        </w:rPr>
      </w:pPr>
    </w:p>
    <w:p>
      <w:pPr>
        <w:jc w:val="both"/>
        <w:ind w:right="320" w:firstLine="351"/>
        <w:spacing w:after="0" w:line="246" w:lineRule="auto"/>
        <w:rPr>
          <w:sz w:val="20"/>
          <w:szCs w:val="20"/>
          <w:color w:val="auto"/>
        </w:rPr>
      </w:pPr>
      <w:r>
        <w:rPr>
          <w:rFonts w:ascii="Arial" w:cs="Arial" w:eastAsia="Arial" w:hAnsi="Arial"/>
          <w:sz w:val="16"/>
          <w:szCs w:val="16"/>
          <w:color w:val="auto"/>
        </w:rPr>
        <w:t>The Company must satisfy two gross income tests annually to qualify as a REIT. First, at least 75% of the Company’s gross income for each taxable year must consist of defined types of income that it derives, directly or indirectly, from investments relating to real property or mortgages on real property or qualified temporary investment income. Qualifying income for purposes of the 75% gross income test generally includes:</w:t>
      </w:r>
    </w:p>
    <w:p>
      <w:pPr>
        <w:spacing w:after="0" w:line="89" w:lineRule="exact"/>
        <w:rPr>
          <w:sz w:val="20"/>
          <w:szCs w:val="20"/>
          <w:color w:val="auto"/>
        </w:rPr>
      </w:pPr>
    </w:p>
    <w:p>
      <w:pPr>
        <w:ind w:left="640" w:hanging="22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rents from real property;</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interest on debt secured by mortgages on real property or on interests in real property;</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dividends or other distributions on, and gain from the sale of, shares in other REITs;</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gain from the sale of real estate assets;</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income and gain derived from foreclosure property;</w:t>
      </w:r>
    </w:p>
    <w:p>
      <w:pPr>
        <w:spacing w:after="0" w:line="49" w:lineRule="exact"/>
        <w:rPr>
          <w:rFonts w:ascii="Arial" w:cs="Arial" w:eastAsia="Arial" w:hAnsi="Arial"/>
          <w:sz w:val="16"/>
          <w:szCs w:val="16"/>
          <w:color w:val="auto"/>
        </w:rPr>
      </w:pPr>
    </w:p>
    <w:p>
      <w:pPr>
        <w:ind w:left="560" w:right="500" w:hanging="145"/>
        <w:spacing w:after="0" w:line="248" w:lineRule="auto"/>
        <w:tabs>
          <w:tab w:leader="none" w:pos="6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income derived from a REMIC in proportion to the real estate assets held by the REMIC, unless at least 95% of the REMIC’s assets are real estate assets, in which case all of the income derived from the REMIC; and</w:t>
      </w:r>
    </w:p>
    <w:p>
      <w:pPr>
        <w:spacing w:after="0" w:line="40" w:lineRule="exact"/>
        <w:rPr>
          <w:rFonts w:ascii="Arial" w:cs="Arial" w:eastAsia="Arial" w:hAnsi="Arial"/>
          <w:sz w:val="16"/>
          <w:szCs w:val="16"/>
          <w:color w:val="auto"/>
        </w:rPr>
      </w:pPr>
    </w:p>
    <w:p>
      <w:pPr>
        <w:ind w:left="560" w:right="20" w:hanging="145"/>
        <w:spacing w:after="0" w:line="248" w:lineRule="auto"/>
        <w:tabs>
          <w:tab w:leader="none" w:pos="6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income derived from the temporary investment of new capital that is attributable to the issuance of our stock or a public offering of our debt with a maturity date of at least five years that is received during the one-year period beginning on the date on which we received such new capital.</w:t>
      </w:r>
    </w:p>
    <w:p>
      <w:pPr>
        <w:spacing w:after="0" w:line="74" w:lineRule="exact"/>
        <w:rPr>
          <w:sz w:val="20"/>
          <w:szCs w:val="20"/>
          <w:color w:val="auto"/>
        </w:rPr>
      </w:pPr>
    </w:p>
    <w:p>
      <w:pPr>
        <w:ind w:right="120" w:firstLine="351"/>
        <w:spacing w:after="0" w:line="261" w:lineRule="auto"/>
        <w:rPr>
          <w:sz w:val="20"/>
          <w:szCs w:val="20"/>
          <w:color w:val="auto"/>
        </w:rPr>
      </w:pPr>
      <w:r>
        <w:rPr>
          <w:rFonts w:ascii="Arial" w:cs="Arial" w:eastAsia="Arial" w:hAnsi="Arial"/>
          <w:sz w:val="16"/>
          <w:szCs w:val="16"/>
          <w:color w:val="auto"/>
        </w:rPr>
        <w:t>Although a debt instrument issued by a “publicly offered REIT” (</w:t>
      </w:r>
      <w:r>
        <w:rPr>
          <w:rFonts w:ascii="Arial" w:cs="Arial" w:eastAsia="Arial" w:hAnsi="Arial"/>
          <w:sz w:val="18"/>
          <w:szCs w:val="18"/>
          <w:i w:val="1"/>
          <w:iCs w:val="1"/>
          <w:color w:val="auto"/>
        </w:rPr>
        <w:t>i.e</w:t>
      </w:r>
      <w:r>
        <w:rPr>
          <w:rFonts w:ascii="Arial" w:cs="Arial" w:eastAsia="Arial" w:hAnsi="Arial"/>
          <w:sz w:val="16"/>
          <w:szCs w:val="16"/>
          <w:color w:val="auto"/>
        </w:rPr>
        <w:t>., a REIT that is required to file annual and periodic reports with the SEC under the Exchange Act) is treated as a “real estate asset” for purposes of the asset tests, the interest income and gain from the sale of such debt instruments is not treated as qualifying income for the 75% gross income test unless the debt instrument is secured by real property or an interest in real property.</w:t>
      </w:r>
    </w:p>
    <w:p>
      <w:pPr>
        <w:spacing w:after="0" w:line="78"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Second, in general, at least 95% of the Company’s gross income for each taxable year must consist of income that is qualifying income for purposes of the 75% gross income test, other types of interest and dividends, gain from the sale or disposition of stock or securities or any combination of these. For purposes of the 95% gross income test, gain from the sale of securities includes gain from the sale of a debt instrument issued by a “publicly offered REIT” even if not secured by real property or an interest in real property. Gross income from the sale of property that the Company holds primarily for sale to customers in the ordinary course of business and cancellation of indebtedness, which we refer to as COD, income is excluded from both the numerator and the denominator in both income tests. Income and gain from “qualified hedging transactions,” as defined below in “—Hedging Transactions,” that are clearly and timely identified as such are excluded from both the numerator and the denominator for purposes of the 75% and 95% gross income tests. In addition, certain foreign currency gains are excluded from gross income for purposes of one or both of the gross income tests. Refer below to the section entitled “—Foreign Currency Gain.” The following paragraphs discuss the specific application of the gross income tests to the Company.</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Rents from Real Property</w:t>
      </w:r>
    </w:p>
    <w:p>
      <w:pPr>
        <w:spacing w:after="0" w:line="113" w:lineRule="exact"/>
        <w:rPr>
          <w:sz w:val="20"/>
          <w:szCs w:val="20"/>
          <w:color w:val="auto"/>
        </w:rPr>
      </w:pPr>
    </w:p>
    <w:p>
      <w:pPr>
        <w:ind w:right="260" w:firstLine="351"/>
        <w:spacing w:after="0" w:line="248" w:lineRule="auto"/>
        <w:rPr>
          <w:sz w:val="20"/>
          <w:szCs w:val="20"/>
          <w:color w:val="auto"/>
        </w:rPr>
      </w:pPr>
      <w:r>
        <w:rPr>
          <w:rFonts w:ascii="Arial" w:cs="Arial" w:eastAsia="Arial" w:hAnsi="Arial"/>
          <w:sz w:val="16"/>
          <w:szCs w:val="16"/>
          <w:color w:val="auto"/>
        </w:rPr>
        <w:t>Rent that the Company receives from its real property will qualify as “rents from real property” which is qualifying income for purposes of the 75% and 95% gross income tests, only if the following conditions are met:</w:t>
      </w:r>
    </w:p>
    <w:p>
      <w:pPr>
        <w:spacing w:after="0" w:line="88" w:lineRule="exact"/>
        <w:rPr>
          <w:sz w:val="20"/>
          <w:szCs w:val="20"/>
          <w:color w:val="auto"/>
        </w:rPr>
      </w:pPr>
    </w:p>
    <w:p>
      <w:pPr>
        <w:ind w:left="560" w:hanging="145"/>
        <w:spacing w:after="0" w:line="248" w:lineRule="auto"/>
        <w:tabs>
          <w:tab w:leader="none" w:pos="6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First, the rent must not be based, in whole or in part, on the income or profits of any person. However, an amount received or accrued generally will not be excluded from rents from real property solely by reason of being based on fixed percentages of receipts or sales.</w:t>
      </w:r>
    </w:p>
    <w:p>
      <w:pPr>
        <w:spacing w:after="0" w:line="87" w:lineRule="exact"/>
        <w:rPr>
          <w:rFonts w:ascii="Arial" w:cs="Arial" w:eastAsia="Arial" w:hAnsi="Arial"/>
          <w:sz w:val="16"/>
          <w:szCs w:val="16"/>
          <w:color w:val="auto"/>
        </w:rPr>
      </w:pPr>
    </w:p>
    <w:p>
      <w:pPr>
        <w:jc w:val="both"/>
        <w:ind w:left="560" w:right="200" w:hanging="145"/>
        <w:spacing w:after="0" w:line="246" w:lineRule="auto"/>
        <w:tabs>
          <w:tab w:leader="none" w:pos="6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Second, rents the Company receives from a “related party tenant” will not qualify as rents from real property in satisfying the gross income tests unless the tenant is a TRS, and either: (i) at least 90% of the property is leased to unrelated tenants and the rent paid by the TRS is substantially comparable to the rent paid by the unrelated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420"/>
        <w:spacing w:after="0" w:line="298" w:lineRule="auto"/>
        <w:rPr>
          <w:sz w:val="20"/>
          <w:szCs w:val="20"/>
          <w:color w:val="auto"/>
        </w:rPr>
      </w:pPr>
      <w:r>
        <w:rPr>
          <w:rFonts w:ascii="Arial" w:cs="Arial" w:eastAsia="Arial" w:hAnsi="Arial"/>
          <w:sz w:val="14"/>
          <w:szCs w:val="14"/>
          <w:color w:val="auto"/>
        </w:rPr>
        <w:t>tenants for comparable space; or (ii) the TRS leases a qualified lodging facility or qualified health care property and engages an eligible independent contractor, as defined above in “—Taxable REIT Subsidiaries,” to operate such facility or property on its behalf. A tenant is a related party tenant if the REIT, or an actual or constructive owner of 10% or more of the REIT, actually or constructively owns 10% or more of the tenant.</w:t>
      </w:r>
    </w:p>
    <w:p>
      <w:pPr>
        <w:spacing w:after="0" w:line="55" w:lineRule="exact"/>
        <w:rPr>
          <w:sz w:val="20"/>
          <w:szCs w:val="20"/>
          <w:color w:val="auto"/>
        </w:rPr>
      </w:pPr>
    </w:p>
    <w:p>
      <w:pPr>
        <w:ind w:left="560" w:right="240" w:hanging="145"/>
        <w:spacing w:after="0" w:line="246" w:lineRule="auto"/>
        <w:tabs>
          <w:tab w:leader="none" w:pos="6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Third, if rent attributable to personal property leased in connection with a lease of real property is 15% or less of the total rent received under the lease, then the rent attributable to personal property will qualify as rents from real property. However, if the 15% threshold is exceeded, the rent attributable to personal property will not qualify as rents from real property.</w:t>
      </w:r>
    </w:p>
    <w:p>
      <w:pPr>
        <w:spacing w:after="0" w:line="89" w:lineRule="exact"/>
        <w:rPr>
          <w:rFonts w:ascii="Arial" w:cs="Arial" w:eastAsia="Arial" w:hAnsi="Arial"/>
          <w:sz w:val="16"/>
          <w:szCs w:val="16"/>
          <w:color w:val="auto"/>
        </w:rPr>
      </w:pPr>
    </w:p>
    <w:p>
      <w:pPr>
        <w:ind w:left="560" w:hanging="145"/>
        <w:spacing w:after="0" w:line="244" w:lineRule="auto"/>
        <w:tabs>
          <w:tab w:leader="none" w:pos="6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Fourth, the Company generally must not operate or manage its real property or furnish or render services to its tenants, other than through an “independent contractor” who is adequately compensated and from whom the Company does not derive revenue. However, the Company may provide services directly to tenants if the services are “usually or customarily rendered” in connection with the rental of space for occupancy only and are not considered to be provided for the tenants’ convenience. In addition, the Company may provide a minimal amount of “noncustomary” services to the tenants of a property, other than through an independent contractor, as long as its income from the services (valued at not less than 150% of the Company’s direct cost of performing such services) does not exceed 1% of its income from the related property. Furthermore, the Company may own up to 100% of the stock of a TRS which may provide customary and noncustomary services to its tenants without tainting the rental income for the related properties. Refer to the section entitled “—Taxable REIT Subsidiaries.”</w:t>
      </w:r>
    </w:p>
    <w:p>
      <w:pPr>
        <w:spacing w:after="0" w:line="94" w:lineRule="exact"/>
        <w:rPr>
          <w:sz w:val="20"/>
          <w:szCs w:val="20"/>
          <w:color w:val="auto"/>
        </w:rPr>
      </w:pPr>
    </w:p>
    <w:p>
      <w:pPr>
        <w:ind w:right="20" w:firstLine="351"/>
        <w:spacing w:after="0" w:line="248" w:lineRule="auto"/>
        <w:rPr>
          <w:sz w:val="20"/>
          <w:szCs w:val="20"/>
          <w:color w:val="auto"/>
        </w:rPr>
      </w:pPr>
      <w:r>
        <w:rPr>
          <w:rFonts w:ascii="Arial" w:cs="Arial" w:eastAsia="Arial" w:hAnsi="Arial"/>
          <w:sz w:val="16"/>
          <w:szCs w:val="16"/>
          <w:color w:val="auto"/>
        </w:rPr>
        <w:t>Unless the Company determines that the resulting non-qualifying income under any of the following circumstances, taken together with all other non-qualifying income earned by it in the taxable year, will not jeopardize its qualification as a REIT, the Company does not intend to:</w:t>
      </w:r>
    </w:p>
    <w:p>
      <w:pPr>
        <w:spacing w:after="0" w:line="88" w:lineRule="exact"/>
        <w:rPr>
          <w:sz w:val="20"/>
          <w:szCs w:val="20"/>
          <w:color w:val="auto"/>
        </w:rPr>
      </w:pPr>
    </w:p>
    <w:p>
      <w:pPr>
        <w:ind w:left="560" w:right="380" w:hanging="145"/>
        <w:spacing w:after="0" w:line="248" w:lineRule="auto"/>
        <w:tabs>
          <w:tab w:leader="none" w:pos="6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derive rental income attributable to personal property other than personal property leased in connection with the lease of real property, the amount of which is less than 15% of the total rent received under the lease;</w:t>
      </w:r>
    </w:p>
    <w:p>
      <w:pPr>
        <w:spacing w:after="0" w:line="40" w:lineRule="exact"/>
        <w:rPr>
          <w:rFonts w:ascii="Arial" w:cs="Arial" w:eastAsia="Arial" w:hAnsi="Arial"/>
          <w:sz w:val="16"/>
          <w:szCs w:val="16"/>
          <w:color w:val="auto"/>
        </w:rPr>
      </w:pPr>
    </w:p>
    <w:p>
      <w:pPr>
        <w:ind w:left="640" w:hanging="225"/>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rent any property to a related party tenant, including, except with respect to qualified health care properties and qualified lodging facilities, a TRS;</w:t>
      </w:r>
    </w:p>
    <w:p>
      <w:pPr>
        <w:spacing w:after="0" w:line="49" w:lineRule="exact"/>
        <w:rPr>
          <w:rFonts w:ascii="Arial" w:cs="Arial" w:eastAsia="Arial" w:hAnsi="Arial"/>
          <w:sz w:val="16"/>
          <w:szCs w:val="16"/>
          <w:color w:val="auto"/>
        </w:rPr>
      </w:pPr>
    </w:p>
    <w:p>
      <w:pPr>
        <w:ind w:left="560" w:right="780" w:hanging="145"/>
        <w:spacing w:after="0" w:line="248" w:lineRule="auto"/>
        <w:tabs>
          <w:tab w:leader="none" w:pos="6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charge rent for any property that is based in whole or in part on the income or profits of any person, except by reason of being based on a fixed percentage or percentages of receipts or sales, as described above; or</w:t>
      </w:r>
    </w:p>
    <w:p>
      <w:pPr>
        <w:spacing w:after="0" w:line="40" w:lineRule="exact"/>
        <w:rPr>
          <w:rFonts w:ascii="Arial" w:cs="Arial" w:eastAsia="Arial" w:hAnsi="Arial"/>
          <w:sz w:val="16"/>
          <w:szCs w:val="16"/>
          <w:color w:val="auto"/>
        </w:rPr>
      </w:pPr>
    </w:p>
    <w:p>
      <w:pPr>
        <w:ind w:left="640" w:hanging="225"/>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directly perform services considered to be noncustomary or provided for the tenant’s convenience.</w:t>
      </w:r>
    </w:p>
    <w:p>
      <w:pPr>
        <w:spacing w:after="0" w:line="50" w:lineRule="exact"/>
        <w:rPr>
          <w:sz w:val="20"/>
          <w:szCs w:val="20"/>
          <w:color w:val="auto"/>
        </w:rPr>
      </w:pPr>
    </w:p>
    <w:p>
      <w:pPr>
        <w:ind w:right="200" w:firstLine="351"/>
        <w:spacing w:after="0" w:line="245" w:lineRule="auto"/>
        <w:rPr>
          <w:sz w:val="20"/>
          <w:szCs w:val="20"/>
          <w:color w:val="auto"/>
        </w:rPr>
      </w:pPr>
      <w:r>
        <w:rPr>
          <w:rFonts w:ascii="Arial" w:cs="Arial" w:eastAsia="Arial" w:hAnsi="Arial"/>
          <w:sz w:val="16"/>
          <w:szCs w:val="16"/>
          <w:color w:val="auto"/>
        </w:rPr>
        <w:t>With respect to any health care properties and lodging facilities leased by the Company to one of its TRSs, for the rent paid pursuant to the leases to constitute “rents from real property,” the leases must be respected as true leases for U.S. federal income tax purposes. Accordingly, the leases cannot be treated as service contracts, joint ventures or some other type of arrangement. The determination of whether the leases are true leases for U.S. federal income tax purposes depends upon an analysis of all the surrounding facts and circumstances. In making such a determination, courts have considered a variety of factors, including the following:</w:t>
      </w:r>
    </w:p>
    <w:p>
      <w:pPr>
        <w:spacing w:after="0" w:line="43" w:lineRule="exact"/>
        <w:rPr>
          <w:sz w:val="20"/>
          <w:szCs w:val="20"/>
          <w:color w:val="auto"/>
        </w:rPr>
      </w:pPr>
    </w:p>
    <w:p>
      <w:pPr>
        <w:ind w:left="640" w:hanging="225"/>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intent of the parties;</w:t>
      </w:r>
    </w:p>
    <w:p>
      <w:pPr>
        <w:spacing w:after="0" w:line="96" w:lineRule="exact"/>
        <w:rPr>
          <w:rFonts w:ascii="Arial" w:cs="Arial" w:eastAsia="Arial" w:hAnsi="Arial"/>
          <w:sz w:val="16"/>
          <w:szCs w:val="16"/>
          <w:color w:val="auto"/>
        </w:rPr>
      </w:pPr>
    </w:p>
    <w:p>
      <w:pPr>
        <w:ind w:left="640" w:hanging="225"/>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form of the agreement;</w:t>
      </w:r>
    </w:p>
    <w:p>
      <w:pPr>
        <w:spacing w:after="0" w:line="96" w:lineRule="exact"/>
        <w:rPr>
          <w:rFonts w:ascii="Arial" w:cs="Arial" w:eastAsia="Arial" w:hAnsi="Arial"/>
          <w:sz w:val="16"/>
          <w:szCs w:val="16"/>
          <w:color w:val="auto"/>
        </w:rPr>
      </w:pPr>
    </w:p>
    <w:p>
      <w:pPr>
        <w:ind w:left="560" w:right="160" w:hanging="145"/>
        <w:spacing w:after="0" w:line="248" w:lineRule="auto"/>
        <w:tabs>
          <w:tab w:leader="none" w:pos="6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degree of control over the property that is retained by the property owner (for example, whether the lessee has substantial control over the operation of the property or whether the lessee was required simply to use its best efforts to perform its obligations under the agreement); and</w:t>
      </w:r>
    </w:p>
    <w:p>
      <w:pPr>
        <w:spacing w:after="0" w:line="87" w:lineRule="exact"/>
        <w:rPr>
          <w:rFonts w:ascii="Arial" w:cs="Arial" w:eastAsia="Arial" w:hAnsi="Arial"/>
          <w:sz w:val="16"/>
          <w:szCs w:val="16"/>
          <w:color w:val="auto"/>
        </w:rPr>
      </w:pPr>
    </w:p>
    <w:p>
      <w:pPr>
        <w:ind w:left="560" w:right="180" w:hanging="145"/>
        <w:spacing w:after="0" w:line="248" w:lineRule="auto"/>
        <w:tabs>
          <w:tab w:leader="none" w:pos="6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extent to which the property owner retains the risk of loss with respect to the property (for example, whether the lessee bears the risk of increases in operating expenses or the risk of damage to the property) or the potential for economic gain with respect to the property.</w:t>
      </w:r>
    </w:p>
    <w:p>
      <w:pPr>
        <w:spacing w:after="0" w:line="76" w:lineRule="exact"/>
        <w:rPr>
          <w:sz w:val="20"/>
          <w:szCs w:val="20"/>
          <w:color w:val="auto"/>
        </w:rPr>
      </w:pPr>
    </w:p>
    <w:p>
      <w:pPr>
        <w:ind w:right="20" w:firstLine="351"/>
        <w:spacing w:after="0" w:line="223" w:lineRule="auto"/>
        <w:rPr>
          <w:sz w:val="20"/>
          <w:szCs w:val="20"/>
          <w:color w:val="auto"/>
        </w:rPr>
      </w:pPr>
      <w:r>
        <w:rPr>
          <w:rFonts w:ascii="Arial" w:cs="Arial" w:eastAsia="Arial" w:hAnsi="Arial"/>
          <w:sz w:val="16"/>
          <w:szCs w:val="16"/>
          <w:color w:val="auto"/>
        </w:rPr>
        <w:t>In addition, Section 7701(e) of the Code provides that a contract that purports to be a service contract or a partnership agreement is treated instead as a lease of property if the contract is properly treated as such, taking into account all relevant factors. Since the determination of whether a service contract should be treated as a lease is inherently factual, the presence or absence of any single factor may not be dispositive in every case.</w:t>
      </w:r>
    </w:p>
    <w:p>
      <w:pPr>
        <w:spacing w:after="0" w:line="72" w:lineRule="exact"/>
        <w:rPr>
          <w:sz w:val="20"/>
          <w:szCs w:val="20"/>
          <w:color w:val="auto"/>
        </w:rPr>
      </w:pPr>
    </w:p>
    <w:p>
      <w:pPr>
        <w:ind w:right="40" w:firstLine="351"/>
        <w:spacing w:after="0" w:line="228" w:lineRule="auto"/>
        <w:rPr>
          <w:sz w:val="20"/>
          <w:szCs w:val="20"/>
          <w:color w:val="auto"/>
        </w:rPr>
      </w:pPr>
      <w:r>
        <w:rPr>
          <w:rFonts w:ascii="Arial" w:cs="Arial" w:eastAsia="Arial" w:hAnsi="Arial"/>
          <w:sz w:val="16"/>
          <w:szCs w:val="16"/>
          <w:color w:val="auto"/>
        </w:rPr>
        <w:t>The Company has structured, and will continue to structure, its health care property and lodging facility leases to qualify as true leases for U.S. federal income tax purposes. For example, with respect to the leases, generally:</w:t>
      </w:r>
    </w:p>
    <w:p>
      <w:pPr>
        <w:spacing w:after="0" w:line="71" w:lineRule="exact"/>
        <w:rPr>
          <w:sz w:val="20"/>
          <w:szCs w:val="20"/>
          <w:color w:val="auto"/>
        </w:rPr>
      </w:pPr>
    </w:p>
    <w:p>
      <w:pPr>
        <w:ind w:left="560" w:right="360" w:hanging="145"/>
        <w:spacing w:after="0" w:line="228" w:lineRule="auto"/>
        <w:tabs>
          <w:tab w:leader="none" w:pos="6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property owning entity and the lessee intend for their relationship to be that of a lessor and lessee, and such relationship will be documented by a lease agreement;</w:t>
      </w:r>
    </w:p>
    <w:p>
      <w:pPr>
        <w:spacing w:after="0" w:line="71" w:lineRule="exact"/>
        <w:rPr>
          <w:rFonts w:ascii="Arial" w:cs="Arial" w:eastAsia="Arial" w:hAnsi="Arial"/>
          <w:sz w:val="16"/>
          <w:szCs w:val="16"/>
          <w:color w:val="auto"/>
        </w:rPr>
      </w:pPr>
    </w:p>
    <w:p>
      <w:pPr>
        <w:ind w:left="640" w:hanging="225"/>
        <w:spacing w:after="0"/>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lessee has the right to exclusive possession and use and quiet enjoyment of the property covered by the lease during the term of the lease;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60" w:right="100" w:hanging="145"/>
        <w:spacing w:after="0" w:line="282" w:lineRule="auto"/>
        <w:tabs>
          <w:tab w:leader="none" w:pos="64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lessee bears the cost of, and is responsible for, day-to-day maintenance and repair of the property other than the cost of certain capital expenditures, and dictates through the property manager, who works for the lessee during the terms of the lease, how the property is operated and maintained;</w:t>
      </w:r>
    </w:p>
    <w:p>
      <w:pPr>
        <w:spacing w:after="0" w:line="42" w:lineRule="exact"/>
        <w:rPr>
          <w:rFonts w:ascii="Arial" w:cs="Arial" w:eastAsia="Arial" w:hAnsi="Arial"/>
          <w:sz w:val="14"/>
          <w:szCs w:val="14"/>
          <w:color w:val="auto"/>
        </w:rPr>
      </w:pPr>
    </w:p>
    <w:p>
      <w:pPr>
        <w:ind w:left="560" w:right="100" w:hanging="145"/>
        <w:spacing w:after="0" w:line="228"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lessee bears all of the costs and expenses of operating the property, including the cost of any inventory used in their operation, during the term of the lease, other than the cost of certain furniture, fixtures and equipment, and certain capital expenditures;</w:t>
      </w:r>
    </w:p>
    <w:p>
      <w:pPr>
        <w:spacing w:after="0" w:line="71" w:lineRule="exact"/>
        <w:rPr>
          <w:rFonts w:ascii="Arial" w:cs="Arial" w:eastAsia="Arial" w:hAnsi="Arial"/>
          <w:sz w:val="16"/>
          <w:szCs w:val="16"/>
          <w:color w:val="auto"/>
        </w:rPr>
      </w:pPr>
    </w:p>
    <w:p>
      <w:pPr>
        <w:ind w:left="640" w:hanging="225"/>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lessee benefits from any savings and bears the burdens of any increases in the costs of operating the property during the term of the lease;</w:t>
      </w:r>
    </w:p>
    <w:p>
      <w:pPr>
        <w:spacing w:after="0" w:line="73" w:lineRule="exact"/>
        <w:rPr>
          <w:rFonts w:ascii="Arial" w:cs="Arial" w:eastAsia="Arial" w:hAnsi="Arial"/>
          <w:sz w:val="16"/>
          <w:szCs w:val="16"/>
          <w:color w:val="auto"/>
        </w:rPr>
      </w:pPr>
    </w:p>
    <w:p>
      <w:pPr>
        <w:jc w:val="both"/>
        <w:ind w:left="560" w:hanging="145"/>
        <w:spacing w:after="0" w:line="282" w:lineRule="auto"/>
        <w:tabs>
          <w:tab w:leader="none" w:pos="64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the event of damage or destruction to a property, the lessee will be at economic risk because it will bear the economic burden of the loss in income from operation of the property subject to the right, in certain circumstances, to terminate the lease if the lessor does not restore the property to its prior condition;</w:t>
      </w:r>
    </w:p>
    <w:p>
      <w:pPr>
        <w:spacing w:after="0" w:line="42" w:lineRule="exact"/>
        <w:rPr>
          <w:rFonts w:ascii="Arial" w:cs="Arial" w:eastAsia="Arial" w:hAnsi="Arial"/>
          <w:sz w:val="14"/>
          <w:szCs w:val="14"/>
          <w:color w:val="auto"/>
        </w:rPr>
      </w:pPr>
    </w:p>
    <w:p>
      <w:pPr>
        <w:ind w:left="560" w:right="280" w:hanging="145"/>
        <w:spacing w:after="0" w:line="228"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lessee generally indemnifies the lessor against all liabilities imposed on the lessor during the term of the lease by reason of (A) injury to persons or damage to property occurring at the property or (B) the lessee’s use, management, maintenance or repair of the property;</w:t>
      </w:r>
    </w:p>
    <w:p>
      <w:pPr>
        <w:spacing w:after="0" w:line="71" w:lineRule="exact"/>
        <w:rPr>
          <w:rFonts w:ascii="Arial" w:cs="Arial" w:eastAsia="Arial" w:hAnsi="Arial"/>
          <w:sz w:val="16"/>
          <w:szCs w:val="16"/>
          <w:color w:val="auto"/>
        </w:rPr>
      </w:pPr>
    </w:p>
    <w:p>
      <w:pPr>
        <w:ind w:left="640" w:hanging="225"/>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lessee is obligated to pay, at a minimum, substantial base rent for the period of use of the property under the lease;</w:t>
      </w:r>
    </w:p>
    <w:p>
      <w:pPr>
        <w:spacing w:after="0" w:line="73" w:lineRule="exact"/>
        <w:rPr>
          <w:rFonts w:ascii="Arial" w:cs="Arial" w:eastAsia="Arial" w:hAnsi="Arial"/>
          <w:sz w:val="16"/>
          <w:szCs w:val="16"/>
          <w:color w:val="auto"/>
        </w:rPr>
      </w:pPr>
    </w:p>
    <w:p>
      <w:pPr>
        <w:ind w:left="560" w:right="60" w:hanging="145"/>
        <w:spacing w:after="0" w:line="228"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lessee stands to incur substantial losses or reap substantial gains depending on how successfully it, through the property manager, who works for the lessee during the terms of the leases, operates the property;</w:t>
      </w:r>
    </w:p>
    <w:p>
      <w:pPr>
        <w:spacing w:after="0" w:line="71" w:lineRule="exact"/>
        <w:rPr>
          <w:rFonts w:ascii="Arial" w:cs="Arial" w:eastAsia="Arial" w:hAnsi="Arial"/>
          <w:sz w:val="16"/>
          <w:szCs w:val="16"/>
          <w:color w:val="auto"/>
        </w:rPr>
      </w:pPr>
    </w:p>
    <w:p>
      <w:pPr>
        <w:ind w:left="560" w:right="180" w:hanging="145"/>
        <w:spacing w:after="0" w:line="228"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lease enables the tenant to derive a meaningful profit, after expenses and taking into account the risks associated with the lease, from the operation of the property during the term of the lease; and</w:t>
      </w:r>
    </w:p>
    <w:p>
      <w:pPr>
        <w:spacing w:after="0" w:line="71" w:lineRule="exact"/>
        <w:rPr>
          <w:rFonts w:ascii="Arial" w:cs="Arial" w:eastAsia="Arial" w:hAnsi="Arial"/>
          <w:sz w:val="16"/>
          <w:szCs w:val="16"/>
          <w:color w:val="auto"/>
        </w:rPr>
      </w:pPr>
    </w:p>
    <w:p>
      <w:pPr>
        <w:ind w:left="560" w:right="100" w:hanging="145"/>
        <w:spacing w:after="0" w:line="228"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termination of the lease, the property will be expected to have a remaining useful life equal to at least 20% of its expected useful life on the date the lease is entered into, and a fair market value equal to at least 20% of its fair market value on the date the lease was entered into.</w:t>
      </w:r>
    </w:p>
    <w:p>
      <w:pPr>
        <w:spacing w:after="0" w:line="71" w:lineRule="exact"/>
        <w:rPr>
          <w:sz w:val="20"/>
          <w:szCs w:val="20"/>
          <w:color w:val="auto"/>
        </w:rPr>
      </w:pPr>
    </w:p>
    <w:p>
      <w:pPr>
        <w:ind w:right="80" w:firstLine="351"/>
        <w:spacing w:after="0" w:line="223" w:lineRule="auto"/>
        <w:rPr>
          <w:sz w:val="20"/>
          <w:szCs w:val="20"/>
          <w:color w:val="auto"/>
        </w:rPr>
      </w:pPr>
      <w:r>
        <w:rPr>
          <w:rFonts w:ascii="Arial" w:cs="Arial" w:eastAsia="Arial" w:hAnsi="Arial"/>
          <w:sz w:val="16"/>
          <w:szCs w:val="16"/>
          <w:color w:val="auto"/>
        </w:rPr>
        <w:t>If, however, a lease were recharacterized as a service contract or partnership agreement, rather than a true lease, or disregarded altogether for tax purposes, all or part of the payments that the lessor receives from the lessee would not be considered rent and would not otherwise satisfy the various requirements for qualification as “rents from real property.”</w:t>
      </w:r>
    </w:p>
    <w:p>
      <w:pPr>
        <w:spacing w:after="0" w:line="72" w:lineRule="exact"/>
        <w:rPr>
          <w:sz w:val="20"/>
          <w:szCs w:val="20"/>
          <w:color w:val="auto"/>
        </w:rPr>
      </w:pPr>
    </w:p>
    <w:p>
      <w:pPr>
        <w:ind w:right="20" w:firstLine="351"/>
        <w:spacing w:after="0" w:line="218" w:lineRule="auto"/>
        <w:rPr>
          <w:sz w:val="20"/>
          <w:szCs w:val="20"/>
          <w:color w:val="auto"/>
        </w:rPr>
      </w:pPr>
      <w:r>
        <w:rPr>
          <w:rFonts w:ascii="Arial" w:cs="Arial" w:eastAsia="Arial" w:hAnsi="Arial"/>
          <w:sz w:val="16"/>
          <w:szCs w:val="16"/>
          <w:color w:val="auto"/>
        </w:rPr>
        <w:t>As indicated above, “rents from real property” must not be based in whole or in part on the income or profits of any person. The Company intends to structure its health care property and lodging facility leases such that the leases provide for periodic payments of a specified base rent plus, to the extent that it exceeds the base rent, additional rent which is calculated based upon the gross revenues of the facilities subject to the lease, plus certain other amounts. Payments made pursuant to these leases should qualify as “rents from real property” since they are generally based on either fixed dollar amounts or on specified percentages of gross sales fixed at the time the leases were entered into. The foregoing assumes that the leases will not be renegotiated during their term in a manner that has the effect of basing either the percentage rent or base rent on income or profits.</w:t>
      </w:r>
    </w:p>
    <w:p>
      <w:pPr>
        <w:spacing w:after="0" w:line="73" w:lineRule="exact"/>
        <w:rPr>
          <w:sz w:val="20"/>
          <w:szCs w:val="20"/>
          <w:color w:val="auto"/>
        </w:rPr>
      </w:pPr>
    </w:p>
    <w:p>
      <w:pPr>
        <w:ind w:right="40" w:firstLine="351"/>
        <w:spacing w:after="0" w:line="253" w:lineRule="auto"/>
        <w:rPr>
          <w:sz w:val="20"/>
          <w:szCs w:val="20"/>
          <w:color w:val="auto"/>
        </w:rPr>
      </w:pPr>
      <w:r>
        <w:rPr>
          <w:rFonts w:ascii="Arial" w:cs="Arial" w:eastAsia="Arial" w:hAnsi="Arial"/>
          <w:sz w:val="14"/>
          <w:szCs w:val="14"/>
          <w:color w:val="auto"/>
        </w:rPr>
        <w:t>The foregoing also assumes that the leases are not in reality used as a means of basing rent on income or profits. More generally, the rent payable under the leases will not qualify as “rents from real property” if, considering the leases and all the surrounding circumstances, the arrangement does not conform with normal business practice. It is the Company’s intention not to renegotiate the percentages used to determine the percentage rent during the terms of the leases in a manner that has the effect of basing rent on income or profits. In addition, the Company intends to structure its leases to ensure that the rental provisions and other terms of the leases conform with normal business practice and are not intended to be used as a means of basing rent on income or profits.</w:t>
      </w:r>
    </w:p>
    <w:p>
      <w:pPr>
        <w:spacing w:after="0" w:line="64" w:lineRule="exact"/>
        <w:rPr>
          <w:sz w:val="20"/>
          <w:szCs w:val="20"/>
          <w:color w:val="auto"/>
        </w:rPr>
      </w:pPr>
    </w:p>
    <w:p>
      <w:pPr>
        <w:ind w:right="80" w:firstLine="351"/>
        <w:spacing w:after="0" w:line="216" w:lineRule="auto"/>
        <w:rPr>
          <w:sz w:val="20"/>
          <w:szCs w:val="20"/>
          <w:color w:val="auto"/>
        </w:rPr>
      </w:pPr>
      <w:r>
        <w:rPr>
          <w:rFonts w:ascii="Arial" w:cs="Arial" w:eastAsia="Arial" w:hAnsi="Arial"/>
          <w:sz w:val="16"/>
          <w:szCs w:val="16"/>
          <w:color w:val="auto"/>
        </w:rPr>
        <w:t>The Company expects to lease certain items of personal property to its TRS lessees in connection with its lodging facility leases. Under the Code, if a lease provides for the rental of both real and personal property and the portion of the rent attributable to personal property is 15% or less of the total rent due under the lease, then all rent paid pursuant to such lease qualifies as “rents from real property.” If, however, a lease provides for the rental of both real and personal property, and the portion of the rent attributable to personal property exceeds 15% of the total rent due under the lease, then no portion of the rent that is attributable to personal property will qualify as “rents from real property.” The amount of rent attributable to personal property is the amount that bears the same ratio to total rent for the taxable year as the average of the fair market value of the personal property at the beginning and end of the year bears to the average of the aggregate fair market value of both the real and personal property at the beginning and end of such year. The Company expects that, with respect to its lodging facility leases, either the amount of rent attributable to personal property will not exceed 15% of the total rent due under the lease (determined under the law in effect for the applicable period), or, if the rent attributable to personal property constitutes non-qualifying income, such amounts, when taken together with all other non-qualifying income earned by the Company, will not jeopardize its qualification as a REIT.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Interest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300" w:firstLine="351"/>
        <w:spacing w:after="0" w:line="228" w:lineRule="auto"/>
        <w:rPr>
          <w:sz w:val="20"/>
          <w:szCs w:val="20"/>
          <w:color w:val="auto"/>
        </w:rPr>
      </w:pPr>
      <w:r>
        <w:rPr>
          <w:rFonts w:ascii="Arial" w:cs="Arial" w:eastAsia="Arial" w:hAnsi="Arial"/>
          <w:sz w:val="16"/>
          <w:szCs w:val="16"/>
          <w:color w:val="auto"/>
        </w:rPr>
        <w:t>The term “interest,” as defined for purposes of both gross income tests, generally excludes any amount that is based, in whole or in part, on the income or profits of any person. However, interest generally includes the following:</w:t>
      </w:r>
    </w:p>
    <w:p>
      <w:pPr>
        <w:spacing w:after="0" w:line="71" w:lineRule="exact"/>
        <w:rPr>
          <w:sz w:val="20"/>
          <w:szCs w:val="20"/>
          <w:color w:val="auto"/>
        </w:rPr>
      </w:pPr>
    </w:p>
    <w:p>
      <w:pPr>
        <w:ind w:left="640" w:hanging="225"/>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amount that is based on a fixed percentage or percentages of receipts or sales; and</w:t>
      </w:r>
    </w:p>
    <w:p>
      <w:pPr>
        <w:spacing w:after="0" w:line="73" w:lineRule="exact"/>
        <w:rPr>
          <w:rFonts w:ascii="Arial" w:cs="Arial" w:eastAsia="Arial" w:hAnsi="Arial"/>
          <w:sz w:val="16"/>
          <w:szCs w:val="16"/>
          <w:color w:val="auto"/>
        </w:rPr>
      </w:pPr>
    </w:p>
    <w:p>
      <w:pPr>
        <w:ind w:left="560" w:right="20" w:hanging="145"/>
        <w:spacing w:after="0" w:line="223" w:lineRule="auto"/>
        <w:tabs>
          <w:tab w:leader="none" w:pos="6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spacing w:after="0" w:line="84" w:lineRule="exact"/>
        <w:rPr>
          <w:sz w:val="20"/>
          <w:szCs w:val="20"/>
          <w:color w:val="auto"/>
        </w:rPr>
      </w:pPr>
    </w:p>
    <w:p>
      <w:pPr>
        <w:jc w:val="both"/>
        <w:ind w:right="20" w:firstLine="351"/>
        <w:spacing w:after="0" w:line="245" w:lineRule="auto"/>
        <w:rPr>
          <w:sz w:val="20"/>
          <w:szCs w:val="20"/>
          <w:color w:val="auto"/>
        </w:rPr>
      </w:pPr>
      <w:r>
        <w:rPr>
          <w:rFonts w:ascii="Arial" w:cs="Arial" w:eastAsia="Arial" w:hAnsi="Arial"/>
          <w:sz w:val="16"/>
          <w:szCs w:val="16"/>
          <w:color w:val="auto"/>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spacing w:after="0" w:line="91" w:lineRule="exact"/>
        <w:rPr>
          <w:sz w:val="20"/>
          <w:szCs w:val="20"/>
          <w:color w:val="auto"/>
        </w:rPr>
      </w:pPr>
    </w:p>
    <w:p>
      <w:pPr>
        <w:ind w:firstLine="351"/>
        <w:spacing w:after="0" w:line="282" w:lineRule="auto"/>
        <w:rPr>
          <w:sz w:val="20"/>
          <w:szCs w:val="20"/>
          <w:color w:val="auto"/>
        </w:rPr>
      </w:pPr>
      <w:r>
        <w:rPr>
          <w:rFonts w:ascii="Arial" w:cs="Arial" w:eastAsia="Arial" w:hAnsi="Arial"/>
          <w:sz w:val="14"/>
          <w:szCs w:val="14"/>
          <w:color w:val="auto"/>
        </w:rPr>
        <w:t>Interest on debt secured by mortgages on real property or on interests in real property (including, in the case of a loan secured by real property and personal property, such personal property to the extent that it does not exceed 15% of the total fair market value of all such property securing the loan), including, for this purpose, prepayment penalties, loan assumption fees and late payment charges that are not compensation for services, generally is qualifying income for purposes of the 75% gross income test. In general, under applicable Treasury Regulations, if a loan is secured by real property and other property and the highest principal amount of the loan outstanding during a taxable year exceeds the fair market value of the real property securing the loan determined as of: (i) the date the Company agreed to acquire or originate the loan; or (ii) as discussed further below, in the event of a “significant modification,” the date the Company modified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property that is security for the loan. As discussed further below, IRS guidance provides that the Company does not need to redetermine fair market value of the real property securing the loan in connection with a loan modification that is occasioned by a borrower default or made at a time when the Company reasonably believes that the modification to the loan will substantially reduce a significant risk of default on the loan.</w:t>
      </w:r>
    </w:p>
    <w:p>
      <w:pPr>
        <w:spacing w:after="0" w:line="258"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Company may invest in loans secured by real property that is under construction or being significantly improved, in which case the value of the real estate that is security for the loan will be the fair market value of the land plus the reasonably estimated cost of the improvements or developments (including, in the case of a loan secured by real property and personal property, such personal property to the extent that it does not exceed 15% of the total fair market value of all such property securing the loan) which will secure the loans and which are to be constructed from proceeds of the loan.</w:t>
      </w:r>
    </w:p>
    <w:p>
      <w:pPr>
        <w:spacing w:after="0" w:line="91"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The Company holds certain mezzanine loans and may originate or acquire other mezzanine loans. Mezzanine loans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described below, and interest derived from those loans will be treated as qualifying income for both the 75% and 95% gross income tests, provided several requirements are satisfied.</w:t>
      </w:r>
    </w:p>
    <w:p>
      <w:pPr>
        <w:spacing w:after="0" w:line="90"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Although Revenue Procedure 2003-65 provides a safe harbor on which taxpayers may rely, it does not prescribe rules of substantive tax law. Moreover, the Company expects that some of its mezzanine loans may not meet all of the requirements for reliance on the safe harbor. To the extent any mezzanine loans that the Company originates or acquires do not qualify for the safe harbor described above, the interest income from the loans will be qualifying income for purposes of the 95% gross income test, but there is a risk that such interest income will not be qualifying income for purposes of the 75% gross income test. We believe that we currently invest in mezzanine loans, and intend to continue to invest in mezzanine loans, in a manner that will enable us to satisfy the REIT gross income and asset tests.</w:t>
      </w:r>
    </w:p>
    <w:p>
      <w:pPr>
        <w:spacing w:after="0" w:line="94" w:lineRule="exact"/>
        <w:rPr>
          <w:sz w:val="20"/>
          <w:szCs w:val="20"/>
          <w:color w:val="auto"/>
        </w:rPr>
      </w:pPr>
    </w:p>
    <w:p>
      <w:pPr>
        <w:ind w:firstLine="351"/>
        <w:spacing w:after="0" w:line="286" w:lineRule="auto"/>
        <w:rPr>
          <w:sz w:val="20"/>
          <w:szCs w:val="20"/>
          <w:color w:val="auto"/>
        </w:rPr>
      </w:pPr>
      <w:r>
        <w:rPr>
          <w:rFonts w:ascii="Arial" w:cs="Arial" w:eastAsia="Arial" w:hAnsi="Arial"/>
          <w:sz w:val="14"/>
          <w:szCs w:val="14"/>
          <w:color w:val="auto"/>
        </w:rPr>
        <w:t>The Company and its subsidiaries hold certain participation interests, or subordinated mortgage interests, in mortgage loans and mezzanine loans originated by other lenders.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The Company expects that its (and its subsidiaries’) participation interests generally will qualify as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real estate assets for purposes of the REIT asset tests described below and that interest derived from such investments generally will be treated as qualifying interest for purposes of the 75% gross income test. The appropriate treatment of participation interests for U.S. federal income tax purposes is not entirely certain, however, and no assurance can be given that the IRS will not challenge the Company’s treatment of its participation interests.</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Many of the terms of the mortgage loans, mezzanine loans and subordinated mortgage interests and the loans supporting the mortgage-backed securities that the Company holds or expects to acquire have been modified and may in the future be modified. Under the Code, if the terms of a loan are modified in a manner constituting a “significant modification,” such modification triggers a deemed exchange of the original loan for the modified loan. Revenue Procedure 2014-51 provides a safe harbor pursuant to which the Company will not be required to redetermine the fair market value of the real property securing a loan for purposes of the gross income and asset tests in connection with a loan modification that is: (i) occasioned by a borrower default; or (ii) made at a time when the Company reasonably believes that the modification to the loan will substantially reduce a significant risk of default on the original loan. No assurance can be provided that all of the Company’s loan modifications will qualify for the safe harbor in Revenue Procedure 2014-51. To the extent the Company significantly modifies loans in a manner that does not qualify for that safe harbor, it will be required to redetermine the value of the real property securing the loan at the time it was significantly modified. In determining the value of the real property securing such a loan, the Company generally will not obtain third-party appraisals but rather will rely on internal valuations. No assurance can be provided that the IRS will not successfully challenge the Company’s internal valuations. If the terms of the Company’s mortgage loans, mezzanine loans and subordinated mortgage interests and loans supporting its mortgage-backed securities are significantly modified in a manner that does not qualify for the safe harbor in Revenue Procedure 2014-51 and the fair market value of the real property securing such loans has decreased significantly, the Company could fail the 75% gross income test, the 75% asset test and/or the 10% value test.</w:t>
      </w:r>
    </w:p>
    <w:p>
      <w:pPr>
        <w:spacing w:after="0" w:line="94"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The Company and its subsidiaries also hold, and may in the future, acquire distressed mortgage loans. Revenue Procedure 2014-51 provides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debt). The face amount of a distressed mortgage loan will typically exceed the fair market value of the real property securing the mortgage loan on the date the REIT commits to acquire the loan. It is unclear how the safe harbor in Revenue Procedure 2014-51 is affected by the recent legislative changes regarding the treatment of personal property securing a mortgage loan. The Company intends to invest in distressed mortgage loans in a manner that consistent with qualifying as a REIT.</w:t>
      </w:r>
    </w:p>
    <w:p>
      <w:pPr>
        <w:spacing w:after="0" w:line="94"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The Company and its subsidiaries have entered into certain sale and repurchase agreements under which it nominally sells certain mortgage assets to a counterparty and simultaneously enters into an agreement to repurchase the sold assets. Based on positions the IRS has taken in analogous situations, the Company believes that it will be treated for purposes of the REIT gross income and asset tests (refer below to the section entitled “—Asset Tests”) as the owner of the mortgage assets that are the subject of any such agreement notwithstanding that record ownership of the assets is transferred to the counterparty during the term of the agreement. It is possible, however, that the IRS could assert that the Company does not own the mortgage assets during the term of the sale and repurchase agreement, in which case its ability to qualify as a REIT could be adversely affected.</w:t>
      </w:r>
    </w:p>
    <w:p>
      <w:pPr>
        <w:spacing w:after="0" w:line="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4"/>
          <w:szCs w:val="14"/>
          <w:color w:val="auto"/>
        </w:rPr>
        <w:t>The Company may invest in other agency securities that are pass-through certificates. The Company expects that any such agency securities will be treated as either interests in a grantor trust or as interests in a REMIC for U.S. federal income tax purposes and that all interest income from such agency securities will be qualifying income for the 95% gross income test. In the case of agency securities treated as interests in grantor trusts, the Company would be treated as owning an undivided beneficial ownership interest in the mortgage loans held by the grantor trust. The interest on such mortgage loans would be qualifying income for purposes of the 75% gross income test to the extent that such loan is secured by real property, as discussed above. In the case of agency securities treated as interests in a REMIC, income derived from such REMIC interests generally will be treated as qualifying income for purposes of the 75% gross income test. As discussed above, however, if less than 95% of the assets of the REMIC are real estate assets then only a proportionate part of the income derived from the Company’s interest in the REMIC will qualify for purposes of the 75% gross income tests. To the extent that a REMIC interest includes an imbedded interest swap or cap contract or other derivative instrument, such derivative instrument could produce non-qualifying income for purposes of the 75% gross income test. The Company expects that substantially all of its income from agency securities will be qualifying income for purposes of the 75% and 95% gross income tests.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Dividends; Subpart F Income</w:t>
      </w:r>
    </w:p>
    <w:p>
      <w:pPr>
        <w:spacing w:after="0" w:line="113" w:lineRule="exact"/>
        <w:rPr>
          <w:sz w:val="20"/>
          <w:szCs w:val="20"/>
          <w:color w:val="auto"/>
        </w:rPr>
      </w:pPr>
    </w:p>
    <w:p>
      <w:pPr>
        <w:jc w:val="both"/>
        <w:ind w:right="300" w:firstLine="351"/>
        <w:spacing w:after="0" w:line="246" w:lineRule="auto"/>
        <w:rPr>
          <w:sz w:val="20"/>
          <w:szCs w:val="20"/>
          <w:color w:val="auto"/>
        </w:rPr>
      </w:pPr>
      <w:r>
        <w:rPr>
          <w:rFonts w:ascii="Arial" w:cs="Arial" w:eastAsia="Arial" w:hAnsi="Arial"/>
          <w:sz w:val="16"/>
          <w:szCs w:val="16"/>
          <w:color w:val="auto"/>
        </w:rPr>
        <w:t>The Company’s share of any dividends received from any corporation (including any TRS, but excluding any REIT) in which it owns an equity interest will qualify for purposes of the 95% gross income test but not for purposes of the 75% gross income test. The Company’s share of any dividends received from any other REIT in which it owns an equity interest, including any subsidiary REIT, will be qualifying income for purposes of both gross income tests.</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addition, the Company may be required to include in gross income its share of “Subpart F income” of one or more foreign (non-U.S.) corporations in which it invests, including its foreign TRSs, regardless of whether it receives distributions from such corporations. The Company will treat certain income inclusions received with respect to equity investments in foreign TRSs as qualifying income for purposes of the 95% gross income test but not the 75% gross income test. The IRS has issued private letter rulings to other taxpayers concluding that similar income inclusions will be treated as qualifying income for purposes of the 95% gross income test. Those private letter rulings can only be relied upon by the taxpayers to whom they were issued. No assurance can be provided that the IRS will not successfully challenge the Company’s treatment of such income inclusions.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Fee Income</w:t>
      </w:r>
    </w:p>
    <w:p>
      <w:pPr>
        <w:spacing w:after="0" w:line="113"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The Company expects to receive various fees in connection with its operations. Fee income will be qualifying income for purposes of both the 75% and 95% gross income tests if it is received in consideration for entering into an agreement to make a loan secured by mortgages on or interests in real property, and the fees are not determined by the income and profits of any person. Other fees, such as origination and servicing fees, fees for acting as a broker-dealer and fees for managing investments for third parties, are not qualifying income for purposes of either gross income test. Any fees earned by a TRS are not included for purposes of the gross income tests.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Hedging Transactions</w:t>
      </w:r>
    </w:p>
    <w:p>
      <w:pPr>
        <w:spacing w:after="0" w:line="113"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From time to time, the Company and its subsidiaries expect to enter into hedging transactions with respect to one or more of its assets or liabilities. The Company’s hedging activities may include entering into interest rate swaps, caps and floors, options to purchase such items and futures and forward contracts. Income and gain from “qualified hedging transactions” are excluded from gross income for purposes of the 75% and 95% gross income tests. A “qualified hedging transaction” includes: (i) any transaction entered into in the normal course of the Company’s trade or business primarily to manage the risk of interest rate, price changes or currency fluctuations with respect to borrowings made or to be made, or ordinary obligations incurred or to be incurred, to acquire or carry real estate assets; (ii) any transaction entered into primarily to manage the risk of currency fluctuations with respect to any item of income or gain that would be qualifying income under the 75% or 95% gross income test (or any property which generates such income or gain); and (iii) any transaction entered into to “offset” a transaction described in (i) or (ii) if a portion of the hedged indebtedness is extinguished or the related property disposed of. The Company will be required to clearly identify any such hedging transaction before the close of the day on which it was acquired, originated or entered into and to satisfy other identification requirements in order to be treated as a qualified hedging transaction. The Company intends to structure any hedging transactions in a manner that does not jeopardize its qualification as a REIT.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COD Income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From time to time, the Company and its subsidiaries may recognize cancellation-of-debt (COD) income, in connection with repurchasing debt at a discount.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COD income is excluded from gross income for purposes of both the 75% and 95% gross income tests.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Foreign Currency Gain</w:t>
      </w:r>
    </w:p>
    <w:p>
      <w:pPr>
        <w:spacing w:after="0" w:line="113"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Certain foreign currency gain is excluded from gross income for purposes of one or both of the gross income tests. “Real estate foreign exchange gain” is excluded from gross income for purposes of the 75% gross income test.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and certain foreign currency gain attributable to certain “qualified business units” of a REIT. “Passive foreign exchange gain” is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secured by mortgages on real property or on interests in real property. Because passive foreign exchange gain includes real estate foreign exchange gain, real estate foreign exchange gain is excluded from gross income for purposes of both the 75% and 95% gross income tests. These exclusions for real estate foreign exchange gain and passive foreign exchange gain do not apply to certain foreign currency gain derived from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dealing, or engaging in substantial and regular trading, in securities, which is treated as non-qualifying income for purposes of both the 75% and 95% gross income tests.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Prohibited Transactions</w:t>
      </w:r>
    </w:p>
    <w:p>
      <w:pPr>
        <w:spacing w:after="0" w:line="113"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A REIT will incur a 100% tax on the net income derived from any sale or other disposition of property, other than foreclosure property, that the REIT holds primarily for sale to customers in the ordinary course of a trade or business. The Company believes that none of its assets are held or will be held primarily for sale to customers and that a sale of any of its assets has not been, and will not be, in the ordinary course of its business. Whether a REIT holds an asset “primarily for sale to customers in the ordinary course of a trade or business” depends, however, on the facts and circumstances in effect from time to time, including those related to a particular asset. A safe harbor to the characterization of the sale of property by a REIT as a prohibited transaction and the 100% prohibited transaction tax is available if the following requirements are met:</w:t>
      </w:r>
    </w:p>
    <w:p>
      <w:pPr>
        <w:spacing w:after="0" w:line="94" w:lineRule="exact"/>
        <w:rPr>
          <w:sz w:val="20"/>
          <w:szCs w:val="20"/>
          <w:color w:val="auto"/>
        </w:rPr>
      </w:pPr>
    </w:p>
    <w:p>
      <w:pPr>
        <w:ind w:left="640" w:hanging="225"/>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REIT has held the property for not less than two years;</w:t>
      </w:r>
    </w:p>
    <w:p>
      <w:pPr>
        <w:spacing w:after="0" w:line="96" w:lineRule="exact"/>
        <w:rPr>
          <w:rFonts w:ascii="Arial" w:cs="Arial" w:eastAsia="Arial" w:hAnsi="Arial"/>
          <w:sz w:val="16"/>
          <w:szCs w:val="16"/>
          <w:color w:val="auto"/>
        </w:rPr>
      </w:pPr>
    </w:p>
    <w:p>
      <w:pPr>
        <w:ind w:left="560" w:right="80" w:hanging="145"/>
        <w:spacing w:after="0" w:line="248" w:lineRule="auto"/>
        <w:tabs>
          <w:tab w:leader="none" w:pos="6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aggregate expenditures made by the REIT, or any partner of the REIT, during the two-year period preceding the date of the sale that are includable in the basis of the property do not exceed 30% of the selling price of the property;</w:t>
      </w:r>
    </w:p>
    <w:p>
      <w:pPr>
        <w:spacing w:after="0" w:line="87" w:lineRule="exact"/>
        <w:rPr>
          <w:rFonts w:ascii="Arial" w:cs="Arial" w:eastAsia="Arial" w:hAnsi="Arial"/>
          <w:sz w:val="16"/>
          <w:szCs w:val="16"/>
          <w:color w:val="auto"/>
        </w:rPr>
      </w:pPr>
    </w:p>
    <w:p>
      <w:pPr>
        <w:ind w:left="560" w:hanging="145"/>
        <w:spacing w:after="0" w:line="244" w:lineRule="auto"/>
        <w:tabs>
          <w:tab w:leader="none" w:pos="6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either: (i) during the year in question, the REIT did not make more than seven sales of property other than foreclosure property or sales to which Section 1031 or 1033 of the Code applies; (ii) the aggregate adjusted bases of all such properties sold by the REIT during the year did not exceed 10% of the aggregate bases of all of theassets of the REIT at the beginning of the year; (iii) the aggregate fair market value of all such properties sold by the REIT during the year did not exceed 10% of the aggregate fair market value of all of the assets of the REIT at the beginning of the year; (iv)(A) the aggregate adjusted tax bases of all such properties sold by the REIT during the year did not exceed 20% of the aggregate adjusted bases of all property of the REIT at the beginning of the year and (B) the three-year average percentage of properties sold by the REIT compared to all the REIT’s properties (measured by adjusted bases) taking into account the current and two prior years did not exceed 10%; or (v)(A) the aggregate fair market value of all such properties sold by the REIT during the year did not exceed 20% of the aggregate fair market value of all property of the REIT at the beginning of the year and (B) the three-year average percentage of properties sold by the REIT compared to all the REIT’s properties (measured by fair market value) taking into account the current and two prior years did not exceed 10%;</w:t>
      </w:r>
    </w:p>
    <w:p>
      <w:pPr>
        <w:spacing w:after="0" w:line="94" w:lineRule="exact"/>
        <w:rPr>
          <w:rFonts w:ascii="Arial" w:cs="Arial" w:eastAsia="Arial" w:hAnsi="Arial"/>
          <w:sz w:val="16"/>
          <w:szCs w:val="16"/>
          <w:color w:val="auto"/>
        </w:rPr>
      </w:pPr>
    </w:p>
    <w:p>
      <w:pPr>
        <w:ind w:left="560" w:right="240" w:hanging="145"/>
        <w:spacing w:after="0" w:line="248" w:lineRule="auto"/>
        <w:tabs>
          <w:tab w:leader="none" w:pos="6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case of property not acquired through foreclosure or lease termination, the REIT has held the property for at least two years for the production of rental income; and</w:t>
      </w:r>
    </w:p>
    <w:p>
      <w:pPr>
        <w:spacing w:after="0" w:line="87" w:lineRule="exact"/>
        <w:rPr>
          <w:rFonts w:ascii="Arial" w:cs="Arial" w:eastAsia="Arial" w:hAnsi="Arial"/>
          <w:sz w:val="16"/>
          <w:szCs w:val="16"/>
          <w:color w:val="auto"/>
        </w:rPr>
      </w:pPr>
    </w:p>
    <w:p>
      <w:pPr>
        <w:ind w:left="560" w:right="440" w:hanging="145"/>
        <w:spacing w:after="0" w:line="317" w:lineRule="auto"/>
        <w:tabs>
          <w:tab w:leader="none" w:pos="647" w:val="left"/>
        </w:tabs>
        <w:numPr>
          <w:ilvl w:val="0"/>
          <w:numId w:val="75"/>
        </w:numPr>
        <w:rPr>
          <w:rFonts w:ascii="Arial" w:cs="Arial" w:eastAsia="Arial" w:hAnsi="Arial"/>
          <w:sz w:val="14"/>
          <w:szCs w:val="14"/>
          <w:color w:val="auto"/>
        </w:rPr>
      </w:pPr>
      <w:r>
        <w:rPr>
          <w:rFonts w:ascii="Arial" w:cs="Arial" w:eastAsia="Arial" w:hAnsi="Arial"/>
          <w:sz w:val="14"/>
          <w:szCs w:val="14"/>
          <w:color w:val="auto"/>
        </w:rPr>
        <w:t>if the REIT has made more than seven sales of non-foreclosure property during the taxable year, substantially all of the marketing and development expenditures with respect to the property were made through an independent contractor from whom the REIT derives no income or a TRS.</w:t>
      </w:r>
    </w:p>
    <w:p>
      <w:pPr>
        <w:spacing w:after="0" w:line="42" w:lineRule="exact"/>
        <w:rPr>
          <w:sz w:val="20"/>
          <w:szCs w:val="20"/>
          <w:color w:val="auto"/>
        </w:rPr>
      </w:pPr>
    </w:p>
    <w:p>
      <w:pPr>
        <w:jc w:val="both"/>
        <w:ind w:firstLine="351"/>
        <w:spacing w:after="0" w:line="245" w:lineRule="auto"/>
        <w:rPr>
          <w:sz w:val="20"/>
          <w:szCs w:val="20"/>
          <w:color w:val="auto"/>
        </w:rPr>
      </w:pPr>
      <w:r>
        <w:rPr>
          <w:rFonts w:ascii="Arial" w:cs="Arial" w:eastAsia="Arial" w:hAnsi="Arial"/>
          <w:sz w:val="16"/>
          <w:szCs w:val="16"/>
          <w:color w:val="auto"/>
        </w:rPr>
        <w:t>No assurance can be given that any property that the Company sells will not be treated as property held “primarily for sale to customers in the ordinary course of a trade or business” or that the Company will be able to comply with the safe harbor when disposing of assets. The 100% tax will not apply to gains from the sale of property that is held through a TRS or other taxable corporation, although such income will be taxed to the corporation at regular corporate income tax rates. The Company intends to structure its activities to avoid transactions that would result in a material amount of prohibited transaction tax.</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Foreclosure Property</w:t>
      </w:r>
    </w:p>
    <w:p>
      <w:pPr>
        <w:spacing w:after="0" w:line="113"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Company will be subject to tax at the maximum corporate rate on any income from foreclosure property, which includes certain foreign currency gains and related deductions recognized, other than income that otherwise would be qualifying income for purposes of the 75% gross income test, less expenses directly connected with the production of that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91" w:lineRule="exact"/>
        <w:rPr>
          <w:sz w:val="20"/>
          <w:szCs w:val="20"/>
          <w:color w:val="auto"/>
        </w:rPr>
      </w:pPr>
    </w:p>
    <w:p>
      <w:pPr>
        <w:ind w:left="560" w:right="40" w:hanging="145"/>
        <w:spacing w:after="0" w:line="246" w:lineRule="auto"/>
        <w:tabs>
          <w:tab w:leader="none" w:pos="6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42" w:lineRule="exact"/>
        <w:rPr>
          <w:rFonts w:ascii="Arial" w:cs="Arial" w:eastAsia="Arial" w:hAnsi="Arial"/>
          <w:sz w:val="16"/>
          <w:szCs w:val="16"/>
          <w:color w:val="auto"/>
        </w:rPr>
      </w:pPr>
    </w:p>
    <w:p>
      <w:pPr>
        <w:ind w:left="640" w:hanging="22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which the related loan was acquired by the REIT at a time when the default was not imminent or anticipated; and</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which the REIT makes a proper election to treat the property as foreclosure property.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A REIT will not be considered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Treasury. However, this grace period terminates and foreclosure property ceases to be foreclosure property on the first day:</w:t>
      </w:r>
    </w:p>
    <w:p>
      <w:pPr>
        <w:spacing w:after="0" w:line="91" w:lineRule="exact"/>
        <w:rPr>
          <w:sz w:val="20"/>
          <w:szCs w:val="20"/>
          <w:color w:val="auto"/>
        </w:rPr>
      </w:pPr>
    </w:p>
    <w:p>
      <w:pPr>
        <w:ind w:left="560" w:right="40" w:hanging="145"/>
        <w:spacing w:after="0" w:line="246" w:lineRule="auto"/>
        <w:tabs>
          <w:tab w:leader="none" w:pos="6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which a lease is entered into for the property that, by its terms, will give rise to income that does not qualify for purposes of the 75% gross income test, or any amount is received or accrued, directly or indirectly, pursuant to a lease entered into on or after such day that will give rise to income that does not qualify for purposes of the 75% gross income test;</w:t>
      </w:r>
    </w:p>
    <w:p>
      <w:pPr>
        <w:spacing w:after="0" w:line="89" w:lineRule="exact"/>
        <w:rPr>
          <w:rFonts w:ascii="Arial" w:cs="Arial" w:eastAsia="Arial" w:hAnsi="Arial"/>
          <w:sz w:val="16"/>
          <w:szCs w:val="16"/>
          <w:color w:val="auto"/>
        </w:rPr>
      </w:pPr>
    </w:p>
    <w:p>
      <w:pPr>
        <w:ind w:left="560" w:right="560" w:hanging="145"/>
        <w:spacing w:after="0" w:line="248" w:lineRule="auto"/>
        <w:tabs>
          <w:tab w:leader="none" w:pos="6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which any construction takes place on the property, other than completion of a building or any other improvement, where more than 10% of the construction was completed before default became imminent; or</w:t>
      </w:r>
    </w:p>
    <w:p>
      <w:pPr>
        <w:spacing w:after="0" w:line="87" w:lineRule="exact"/>
        <w:rPr>
          <w:rFonts w:ascii="Arial" w:cs="Arial" w:eastAsia="Arial" w:hAnsi="Arial"/>
          <w:sz w:val="16"/>
          <w:szCs w:val="16"/>
          <w:color w:val="auto"/>
        </w:rPr>
      </w:pPr>
    </w:p>
    <w:p>
      <w:pPr>
        <w:ind w:left="560" w:right="140" w:hanging="145"/>
        <w:spacing w:after="0" w:line="248" w:lineRule="auto"/>
        <w:tabs>
          <w:tab w:leader="none" w:pos="6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which is more than 90 days after the day on which the REIT acquired the property and the property is used in a trade or business which is conducted by the REIT, other than through an independent contractor from whom the REIT itself does not derive or receive any income or a TRS.</w:t>
      </w:r>
    </w:p>
    <w:p>
      <w:pPr>
        <w:spacing w:after="0" w:line="88"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The Company may acquire properties as a result of foreclosure or otherwise reducing the property to ownership when default has occurred or is imminent and may make foreclosure property elections with respect to some or all of those properties if such election is available (which may not be the case with respect to acquired “distressed loans”).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Cash/Income Differences/Phantom Income</w:t>
      </w:r>
    </w:p>
    <w:p>
      <w:pPr>
        <w:spacing w:after="0" w:line="113" w:lineRule="exact"/>
        <w:rPr>
          <w:sz w:val="20"/>
          <w:szCs w:val="20"/>
          <w:color w:val="auto"/>
        </w:rPr>
      </w:pPr>
    </w:p>
    <w:p>
      <w:pPr>
        <w:ind w:right="40" w:firstLine="351"/>
        <w:spacing w:after="0" w:line="246" w:lineRule="auto"/>
        <w:rPr>
          <w:sz w:val="20"/>
          <w:szCs w:val="20"/>
          <w:color w:val="auto"/>
        </w:rPr>
      </w:pPr>
      <w:r>
        <w:rPr>
          <w:rFonts w:ascii="Arial" w:cs="Arial" w:eastAsia="Arial" w:hAnsi="Arial"/>
          <w:sz w:val="16"/>
          <w:szCs w:val="16"/>
          <w:color w:val="auto"/>
        </w:rPr>
        <w:t>Due to the nature of the assets in which the Company invests, the Company may be required to recognize taxable income from those assets in advance of its receipt of cash flow on or proceeds from disposition of such assets, and may be required to report taxable income in early periods that exceeds the economic income ultimately realized on such assets.</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Company may acquire debt instruments in the secondary market for less than their face amount. The amount of such discount generally will be treated as “market discount” for U.S. federal income tax purposes. The Company may elect to include in taxable income accrued market discount as it accrues rather than as it is realized for economic purposes, resulting in phantom income. Principal payments on certain loans are made monthly, and consequently accrued market discount may have to be included in income each month as if the debt instrument were assured of ultimately being collected in full. If the Company collects less on the debt instrument than its purchase price plus the market discount it had previously reported as income, it may not be able to benefit from any offsetting loss deductions.</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Company may acquire mortgage-backed securities that have been issued with original issue discount. In general, the Company will be required to accrue original issue discount based on the constant yield to maturity of the mortgage-backed security, and to treat it as taxable income in accordance with applicable U.S. federal income tax rules even though smaller or no cash payments are received on such debt instrument. As in the case of the market discount discussed in the preceding paragraph, the constant yield in question will be determined and the Company will be taxed based on the assumption that all future payments due on the mortgage-backed security in question will be made. If all payments on the mortgage-backed securities are not made, the Company may not be able to benefit from any offsetting loss deductions.</w:t>
      </w:r>
    </w:p>
    <w:p>
      <w:pPr>
        <w:spacing w:after="0" w:line="94" w:lineRule="exact"/>
        <w:rPr>
          <w:sz w:val="20"/>
          <w:szCs w:val="20"/>
          <w:color w:val="auto"/>
        </w:rPr>
      </w:pPr>
    </w:p>
    <w:p>
      <w:pPr>
        <w:ind w:right="140" w:firstLine="351"/>
        <w:spacing w:after="0" w:line="244" w:lineRule="auto"/>
        <w:rPr>
          <w:sz w:val="20"/>
          <w:szCs w:val="20"/>
          <w:color w:val="auto"/>
        </w:rPr>
      </w:pPr>
      <w:r>
        <w:rPr>
          <w:rFonts w:ascii="Arial" w:cs="Arial" w:eastAsia="Arial" w:hAnsi="Arial"/>
          <w:sz w:val="16"/>
          <w:szCs w:val="16"/>
          <w:color w:val="auto"/>
        </w:rPr>
        <w:t>In addition, pursuant to its investment strategy, the Company may acquire distressed debt instruments and subsequently modify such instruments by agreement with the borrower. If the amendments to the outstanding debt are “significant modifications” under the applicable Treasury Regulations, the modified debt may be considered to have been reissued to the Company in a debt-for-debt exchange with the borrower. In that event, the Company may be required to recognize income to the extent the principal amount of the modified debt exceeds its adjusted tax basis in the unmodified debt, and would hold the modified loan with a cost basis equal to its principal amount for U.S. federal tax purposes. To the extent that such modifications are made with respect to a debt instrument held by a TRS treated as a dealer, as described above, such a TRS would be required at the end of each taxable year, including the taxable year in which such modification was made, to mark the modified debt instrument to its fair market value as if the debt instrument were sold. In that case, the TRS generally would recognize a loss at the end of the taxable year in which the modifications were made to the extent the fair market value of such debt instrument were less than its principal amount after the modification.</w:t>
      </w:r>
    </w:p>
    <w:p>
      <w:pPr>
        <w:spacing w:after="0" w:line="94" w:lineRule="exact"/>
        <w:rPr>
          <w:sz w:val="20"/>
          <w:szCs w:val="20"/>
          <w:color w:val="auto"/>
        </w:rPr>
      </w:pPr>
    </w:p>
    <w:p>
      <w:pPr>
        <w:ind w:right="320" w:firstLine="351"/>
        <w:spacing w:after="0" w:line="245" w:lineRule="auto"/>
        <w:rPr>
          <w:sz w:val="20"/>
          <w:szCs w:val="20"/>
          <w:color w:val="auto"/>
        </w:rPr>
      </w:pPr>
      <w:r>
        <w:rPr>
          <w:rFonts w:ascii="Arial" w:cs="Arial" w:eastAsia="Arial" w:hAnsi="Arial"/>
          <w:sz w:val="16"/>
          <w:szCs w:val="16"/>
          <w:color w:val="auto"/>
        </w:rPr>
        <w:t>In addition, in the event that any debt instruments or mortgage-backed securities acquired by the Company are delinquent as to mandatory principal and interest payments, or in the event payments with respect to a particular debt instrument are not made when due, the Company may nonetheless be required to continue to recognize the unpaid interest as taxable income. Similarly, the Company may be required to accrue interest income with respect to subordinate mortgage-backed securities at the stated rate regardless of whether corresponding cash payments are received.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351"/>
        <w:spacing w:after="0" w:line="246" w:lineRule="auto"/>
        <w:rPr>
          <w:sz w:val="20"/>
          <w:szCs w:val="20"/>
          <w:color w:val="auto"/>
        </w:rPr>
      </w:pPr>
      <w:r>
        <w:rPr>
          <w:rFonts w:ascii="Arial" w:cs="Arial" w:eastAsia="Arial" w:hAnsi="Arial"/>
          <w:sz w:val="16"/>
          <w:szCs w:val="16"/>
          <w:color w:val="auto"/>
        </w:rPr>
        <w:t>The Company may also be required under the terms of indebtedness that it incurs to private lenders or otherwise to use cash received from interest payments to make principal payments on that indebtedness, with the effect of recognizing income but not having a corresponding amount of cash available for distribution to holders of its securities.</w:t>
      </w:r>
    </w:p>
    <w:p>
      <w:pPr>
        <w:spacing w:after="0" w:line="89"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Due to each of these potential timing differences between income recognition or expense deduction and cash receipts or disbursements, there is a significant risk that the Company may have substantial taxable income in excess of cash available for distribution. In that event, the Company may need to borrow funds or take other action to satisfy the REIT distribution requirements for the taxable year in which this “phantom income” is recognized. Refer below to the section entitled “—Distribution Requirements.”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Failure to Satisfy the Gross Income Tests</w:t>
      </w:r>
    </w:p>
    <w:p>
      <w:pPr>
        <w:spacing w:after="0" w:line="113" w:lineRule="exact"/>
        <w:rPr>
          <w:sz w:val="20"/>
          <w:szCs w:val="20"/>
          <w:color w:val="auto"/>
        </w:rPr>
      </w:pPr>
    </w:p>
    <w:p>
      <w:pPr>
        <w:ind w:right="260" w:firstLine="351"/>
        <w:spacing w:after="0" w:line="248" w:lineRule="auto"/>
        <w:rPr>
          <w:sz w:val="20"/>
          <w:szCs w:val="20"/>
          <w:color w:val="auto"/>
        </w:rPr>
      </w:pPr>
      <w:r>
        <w:rPr>
          <w:rFonts w:ascii="Arial" w:cs="Arial" w:eastAsia="Arial" w:hAnsi="Arial"/>
          <w:sz w:val="16"/>
          <w:szCs w:val="16"/>
          <w:color w:val="auto"/>
        </w:rPr>
        <w:t>If the Company fails to satisfy one or both of the gross income tests for any taxable year, it nevertheless may qualify as a REIT for that year if it qualifies for relief under certain provisions of the U.S. federal income tax laws. Those relief provisions are available if:</w:t>
      </w:r>
    </w:p>
    <w:p>
      <w:pPr>
        <w:spacing w:after="0" w:line="88" w:lineRule="exact"/>
        <w:rPr>
          <w:sz w:val="20"/>
          <w:szCs w:val="20"/>
          <w:color w:val="auto"/>
        </w:rPr>
      </w:pPr>
    </w:p>
    <w:p>
      <w:pPr>
        <w:ind w:left="640" w:hanging="225"/>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Company’s failure to meet those tests is due to reasonable cause and not to willful neglect; and</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following such failure for any taxable year, the Company files a schedule of the sources of its income with the IRS.</w:t>
      </w:r>
    </w:p>
    <w:p>
      <w:pPr>
        <w:spacing w:after="0" w:line="97" w:lineRule="exact"/>
        <w:rPr>
          <w:sz w:val="20"/>
          <w:szCs w:val="20"/>
          <w:color w:val="auto"/>
        </w:rPr>
      </w:pPr>
    </w:p>
    <w:p>
      <w:pPr>
        <w:ind w:right="120" w:firstLine="351"/>
        <w:spacing w:after="0" w:line="246" w:lineRule="auto"/>
        <w:rPr>
          <w:sz w:val="20"/>
          <w:szCs w:val="20"/>
          <w:color w:val="auto"/>
        </w:rPr>
      </w:pPr>
      <w:r>
        <w:rPr>
          <w:rFonts w:ascii="Arial" w:cs="Arial" w:eastAsia="Arial" w:hAnsi="Arial"/>
          <w:sz w:val="16"/>
          <w:szCs w:val="16"/>
          <w:color w:val="auto"/>
        </w:rPr>
        <w:t>The Company cannot predict, however, whether in all circumstances it would qualify for the relief provisions. In addition, as discussed above in the section entitled “—Taxation of DigitalBridge,” even if the relief provisions apply, the Company would incur a 100% tax on the gross income attributable to the greater of the amount by which it fails the 75% or 95% gross income test, in each case, multiplied by a fraction intended to reflect its profitability.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Asset Tests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qualify as a REIT, the Company also must satisfy the following asset tests at the end of each quarter of each taxable year.</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First, at least 75% of the value of its total assets must consist of:</w:t>
      </w:r>
    </w:p>
    <w:p>
      <w:pPr>
        <w:spacing w:after="0" w:line="50" w:lineRule="exact"/>
        <w:rPr>
          <w:sz w:val="20"/>
          <w:szCs w:val="20"/>
          <w:color w:val="auto"/>
        </w:rPr>
      </w:pPr>
    </w:p>
    <w:p>
      <w:pPr>
        <w:ind w:left="640" w:hanging="225"/>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or cash items, including certain receivables and money market funds;</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government securities;</w:t>
      </w:r>
    </w:p>
    <w:p>
      <w:pPr>
        <w:spacing w:after="0" w:line="49" w:lineRule="exact"/>
        <w:rPr>
          <w:rFonts w:ascii="Arial" w:cs="Arial" w:eastAsia="Arial" w:hAnsi="Arial"/>
          <w:sz w:val="16"/>
          <w:szCs w:val="16"/>
          <w:color w:val="auto"/>
        </w:rPr>
      </w:pPr>
    </w:p>
    <w:p>
      <w:pPr>
        <w:ind w:left="560" w:hanging="145"/>
        <w:spacing w:after="0" w:line="248" w:lineRule="auto"/>
        <w:tabs>
          <w:tab w:leader="none" w:pos="6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interests in real property, including leaseholds, options to acquire real property and leaseholds, and personal property to the extent such personal property is leased in connection with real property and rents attributable to such personal property are treated as “rents from real property”;</w:t>
      </w:r>
    </w:p>
    <w:p>
      <w:pPr>
        <w:spacing w:after="0" w:line="40" w:lineRule="exact"/>
        <w:rPr>
          <w:rFonts w:ascii="Arial" w:cs="Arial" w:eastAsia="Arial" w:hAnsi="Arial"/>
          <w:sz w:val="16"/>
          <w:szCs w:val="16"/>
          <w:color w:val="auto"/>
        </w:rPr>
      </w:pPr>
    </w:p>
    <w:p>
      <w:pPr>
        <w:ind w:left="640" w:hanging="225"/>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interests in mortgage loans secured by real property;</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stock in other REITs and debt instruments issued by “publicly offered REITs”;</w:t>
      </w:r>
    </w:p>
    <w:p>
      <w:pPr>
        <w:spacing w:after="0" w:line="49" w:lineRule="exact"/>
        <w:rPr>
          <w:rFonts w:ascii="Arial" w:cs="Arial" w:eastAsia="Arial" w:hAnsi="Arial"/>
          <w:sz w:val="16"/>
          <w:szCs w:val="16"/>
          <w:color w:val="auto"/>
        </w:rPr>
      </w:pPr>
    </w:p>
    <w:p>
      <w:pPr>
        <w:ind w:left="560" w:right="180" w:hanging="145"/>
        <w:spacing w:after="0" w:line="248" w:lineRule="auto"/>
        <w:tabs>
          <w:tab w:leader="none" w:pos="6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investments in stock or debt instruments during the one-year period following the Company’s receipt of new capital that it raises through equity offerings or public offerings of debt with at least a five-year term; and</w:t>
      </w:r>
    </w:p>
    <w:p>
      <w:pPr>
        <w:spacing w:after="0" w:line="40" w:lineRule="exact"/>
        <w:rPr>
          <w:rFonts w:ascii="Arial" w:cs="Arial" w:eastAsia="Arial" w:hAnsi="Arial"/>
          <w:sz w:val="16"/>
          <w:szCs w:val="16"/>
          <w:color w:val="auto"/>
        </w:rPr>
      </w:pPr>
    </w:p>
    <w:p>
      <w:pPr>
        <w:ind w:left="560" w:right="460" w:hanging="145"/>
        <w:spacing w:after="0" w:line="246" w:lineRule="auto"/>
        <w:tabs>
          <w:tab w:leader="none" w:pos="6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regular or residual interests in a REMIC. However, if less than 95% of the assets of a REMIC consist of assets that are qualifying real estate-related assets under the U.S. federal income tax laws, determined as if the Company held such assets, the Company will be treated as holding directly its proportionate share of the assets of such REMIC.</w:t>
      </w:r>
    </w:p>
    <w:p>
      <w:pPr>
        <w:spacing w:after="0" w:line="89" w:lineRule="exact"/>
        <w:rPr>
          <w:sz w:val="20"/>
          <w:szCs w:val="20"/>
          <w:color w:val="auto"/>
        </w:rPr>
      </w:pPr>
    </w:p>
    <w:p>
      <w:pPr>
        <w:ind w:right="200" w:firstLine="351"/>
        <w:spacing w:after="0" w:line="248" w:lineRule="auto"/>
        <w:rPr>
          <w:sz w:val="20"/>
          <w:szCs w:val="20"/>
          <w:color w:val="auto"/>
        </w:rPr>
      </w:pPr>
      <w:r>
        <w:rPr>
          <w:rFonts w:ascii="Arial" w:cs="Arial" w:eastAsia="Arial" w:hAnsi="Arial"/>
          <w:sz w:val="16"/>
          <w:szCs w:val="16"/>
          <w:color w:val="auto"/>
        </w:rPr>
        <w:t>Second, of the Company’s investments not included in the 75% asset class, the value of its interest in any one issuer’s securities may not exceed 5% of the value of its total assets, which we refer to as the 5% asset test.</w:t>
      </w:r>
    </w:p>
    <w:p>
      <w:pPr>
        <w:spacing w:after="0" w:line="88" w:lineRule="exact"/>
        <w:rPr>
          <w:sz w:val="20"/>
          <w:szCs w:val="20"/>
          <w:color w:val="auto"/>
        </w:rPr>
      </w:pPr>
    </w:p>
    <w:p>
      <w:pPr>
        <w:ind w:right="420" w:firstLine="351"/>
        <w:spacing w:after="0" w:line="248" w:lineRule="auto"/>
        <w:rPr>
          <w:sz w:val="20"/>
          <w:szCs w:val="20"/>
          <w:color w:val="auto"/>
        </w:rPr>
      </w:pPr>
      <w:r>
        <w:rPr>
          <w:rFonts w:ascii="Arial" w:cs="Arial" w:eastAsia="Arial" w:hAnsi="Arial"/>
          <w:sz w:val="16"/>
          <w:szCs w:val="16"/>
          <w:color w:val="auto"/>
        </w:rPr>
        <w:t>Third, of the Company’s investments not included in the 75% asset class, it may not own more than 10% of the voting power or value of any one issuer’s outstanding securities, which we refer to as the 10% vote or value test.</w:t>
      </w:r>
    </w:p>
    <w:p>
      <w:pPr>
        <w:spacing w:after="0" w:line="88" w:lineRule="exact"/>
        <w:rPr>
          <w:sz w:val="20"/>
          <w:szCs w:val="20"/>
          <w:color w:val="auto"/>
        </w:rPr>
      </w:pPr>
    </w:p>
    <w:p>
      <w:pPr>
        <w:ind w:right="260" w:firstLine="351"/>
        <w:spacing w:after="0" w:line="248" w:lineRule="auto"/>
        <w:rPr>
          <w:sz w:val="20"/>
          <w:szCs w:val="20"/>
          <w:color w:val="auto"/>
        </w:rPr>
      </w:pPr>
      <w:r>
        <w:rPr>
          <w:rFonts w:ascii="Arial" w:cs="Arial" w:eastAsia="Arial" w:hAnsi="Arial"/>
          <w:sz w:val="16"/>
          <w:szCs w:val="16"/>
          <w:color w:val="auto"/>
        </w:rPr>
        <w:t>Fourth, no more than 20% (25% for our taxable year ended December 31, 2017) of the value of the Company’s total assets may consist of the securities of one or more TRSs.</w:t>
      </w:r>
    </w:p>
    <w:p>
      <w:pPr>
        <w:spacing w:after="0" w:line="88"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color w:val="auto"/>
        </w:rPr>
        <w:t>Fifth, no more than 25% of the value of the Company’s total assets may consist of securities that are not qualifying assets for purposes of the 75% asset test described above, which we refer to as the 25% securities test.</w:t>
      </w:r>
    </w:p>
    <w:p>
      <w:pPr>
        <w:spacing w:after="0" w:line="88" w:lineRule="exact"/>
        <w:rPr>
          <w:sz w:val="20"/>
          <w:szCs w:val="20"/>
          <w:color w:val="auto"/>
        </w:rPr>
      </w:pPr>
    </w:p>
    <w:p>
      <w:pPr>
        <w:ind w:right="60" w:firstLine="351"/>
        <w:spacing w:after="0" w:line="248" w:lineRule="auto"/>
        <w:rPr>
          <w:sz w:val="20"/>
          <w:szCs w:val="20"/>
          <w:color w:val="auto"/>
        </w:rPr>
      </w:pPr>
      <w:r>
        <w:rPr>
          <w:rFonts w:ascii="Arial" w:cs="Arial" w:eastAsia="Arial" w:hAnsi="Arial"/>
          <w:sz w:val="16"/>
          <w:szCs w:val="16"/>
          <w:color w:val="auto"/>
        </w:rPr>
        <w:t>Sixth, no more than 25% of the value of the Company’s total assets may consist of debt instruments issued by “publicly offered REITs” to the extent such debt instruments are not secured by real property or interests in real property.</w:t>
      </w:r>
    </w:p>
    <w:p>
      <w:pPr>
        <w:spacing w:after="0" w:line="88" w:lineRule="exact"/>
        <w:rPr>
          <w:sz w:val="20"/>
          <w:szCs w:val="20"/>
          <w:color w:val="auto"/>
        </w:rPr>
      </w:pPr>
    </w:p>
    <w:p>
      <w:pPr>
        <w:ind w:right="60" w:firstLine="351"/>
        <w:spacing w:after="0" w:line="298" w:lineRule="auto"/>
        <w:rPr>
          <w:sz w:val="20"/>
          <w:szCs w:val="20"/>
          <w:color w:val="auto"/>
        </w:rPr>
      </w:pPr>
      <w:r>
        <w:rPr>
          <w:rFonts w:ascii="Arial" w:cs="Arial" w:eastAsia="Arial" w:hAnsi="Arial"/>
          <w:sz w:val="14"/>
          <w:szCs w:val="14"/>
          <w:color w:val="auto"/>
        </w:rPr>
        <w:t>For purposes of the 5% asset test, the 10% vote or value test and the 25% securities test, the term “securities” does not include stock in another REIT, debt of a “publicly offered REIT,” equity or debt securities of a QRS or, in the case of the 5% asset test and 10% vote or value test, TRS debt or equity, mortgage loans or mortgage-backed securities that constitute real estate assets, or equity interests in a partnership. The term “securities,” however, generally includes debt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securities issued by a partnership or another REIT (other than a “publicly offered REIT”), except, for purposes of the 10% value test, the term “securities” does not include:</w:t>
      </w:r>
    </w:p>
    <w:p>
      <w:pPr>
        <w:spacing w:after="0" w:line="88" w:lineRule="exact"/>
        <w:rPr>
          <w:sz w:val="20"/>
          <w:szCs w:val="20"/>
          <w:color w:val="auto"/>
        </w:rPr>
      </w:pPr>
    </w:p>
    <w:p>
      <w:pPr>
        <w:ind w:left="560" w:right="180" w:hanging="145"/>
        <w:spacing w:after="0" w:line="288" w:lineRule="auto"/>
        <w:tabs>
          <w:tab w:leader="none" w:pos="647" w:val="left"/>
        </w:tabs>
        <w:numPr>
          <w:ilvl w:val="0"/>
          <w:numId w:val="80"/>
        </w:numPr>
        <w:rPr>
          <w:rFonts w:ascii="Arial" w:cs="Arial" w:eastAsia="Arial" w:hAnsi="Arial"/>
          <w:sz w:val="14"/>
          <w:szCs w:val="14"/>
          <w:color w:val="auto"/>
        </w:rPr>
      </w:pPr>
      <w:r>
        <w:rPr>
          <w:rFonts w:ascii="Arial" w:cs="Arial" w:eastAsia="Arial" w:hAnsi="Arial"/>
          <w:sz w:val="14"/>
          <w:szCs w:val="14"/>
          <w:color w:val="auto"/>
        </w:rPr>
        <w:t>“Straight debt” securities, which is defined as a written unconditional promise to pay on demand or on a specified date a sum certain in money if: (i) the debt is not convertible, directly or indirectly, into equity; and (ii) the interest rate and interest payment dates are not contingent on profits, the borrower’s discretion, or similar factors. “Straight debt” securities do not include any securities issued by a partnership or a corporation in which the Company or any TRS in which the Company owns more than 50% of the voting power or value of the shares hold non-”straight debt” securities that have an aggregate value of more than 1% of the issuer’s outstanding securities. However, “straight debt” securities include debt subject to the following contingencies:</w:t>
      </w:r>
    </w:p>
    <w:p>
      <w:pPr>
        <w:spacing w:after="0" w:line="63" w:lineRule="exact"/>
        <w:rPr>
          <w:rFonts w:ascii="Arial" w:cs="Arial" w:eastAsia="Arial" w:hAnsi="Arial"/>
          <w:sz w:val="14"/>
          <w:szCs w:val="14"/>
          <w:color w:val="auto"/>
        </w:rPr>
      </w:pPr>
    </w:p>
    <w:p>
      <w:pPr>
        <w:ind w:left="560" w:right="20" w:hanging="145"/>
        <w:spacing w:after="0" w:line="245" w:lineRule="auto"/>
        <w:tabs>
          <w:tab w:leader="none" w:pos="6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the Company exceeds $1 million and no more than 12 months of unaccrued interest on the debt obligations can be required to be prepaid; and</w:t>
      </w:r>
    </w:p>
    <w:p>
      <w:pPr>
        <w:spacing w:after="0" w:line="90" w:lineRule="exact"/>
        <w:rPr>
          <w:rFonts w:ascii="Arial" w:cs="Arial" w:eastAsia="Arial" w:hAnsi="Arial"/>
          <w:sz w:val="16"/>
          <w:szCs w:val="16"/>
          <w:color w:val="auto"/>
        </w:rPr>
      </w:pPr>
    </w:p>
    <w:p>
      <w:pPr>
        <w:ind w:left="560" w:right="180" w:hanging="145"/>
        <w:spacing w:after="0" w:line="248" w:lineRule="auto"/>
        <w:tabs>
          <w:tab w:leader="none" w:pos="6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contingency relating to the time or amount of payment upon a default or prepayment of a debt obligation, as long as the contingency is consistent with customary commercial practice;</w:t>
      </w:r>
    </w:p>
    <w:p>
      <w:pPr>
        <w:spacing w:after="0" w:line="87" w:lineRule="exact"/>
        <w:rPr>
          <w:rFonts w:ascii="Arial" w:cs="Arial" w:eastAsia="Arial" w:hAnsi="Arial"/>
          <w:sz w:val="16"/>
          <w:szCs w:val="16"/>
          <w:color w:val="auto"/>
        </w:rPr>
      </w:pPr>
    </w:p>
    <w:p>
      <w:pPr>
        <w:ind w:left="680" w:hanging="265"/>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loan to an individual or an estate;</w:t>
      </w:r>
    </w:p>
    <w:p>
      <w:pPr>
        <w:spacing w:after="0" w:line="96" w:lineRule="exact"/>
        <w:rPr>
          <w:rFonts w:ascii="Arial" w:cs="Arial" w:eastAsia="Arial" w:hAnsi="Arial"/>
          <w:sz w:val="16"/>
          <w:szCs w:val="16"/>
          <w:color w:val="auto"/>
        </w:rPr>
      </w:pPr>
    </w:p>
    <w:p>
      <w:pPr>
        <w:ind w:left="680" w:hanging="265"/>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“section 467 rental agreement” other than an agreement with a related party tenant;</w:t>
      </w:r>
    </w:p>
    <w:p>
      <w:pPr>
        <w:spacing w:after="0" w:line="96" w:lineRule="exact"/>
        <w:rPr>
          <w:rFonts w:ascii="Arial" w:cs="Arial" w:eastAsia="Arial" w:hAnsi="Arial"/>
          <w:sz w:val="16"/>
          <w:szCs w:val="16"/>
          <w:color w:val="auto"/>
        </w:rPr>
      </w:pPr>
    </w:p>
    <w:p>
      <w:pPr>
        <w:ind w:left="680" w:hanging="265"/>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obligation to pay “rents from real property”;</w:t>
      </w:r>
    </w:p>
    <w:p>
      <w:pPr>
        <w:spacing w:after="0" w:line="96" w:lineRule="exact"/>
        <w:rPr>
          <w:rFonts w:ascii="Arial" w:cs="Arial" w:eastAsia="Arial" w:hAnsi="Arial"/>
          <w:sz w:val="16"/>
          <w:szCs w:val="16"/>
          <w:color w:val="auto"/>
        </w:rPr>
      </w:pPr>
    </w:p>
    <w:p>
      <w:pPr>
        <w:ind w:left="640" w:hanging="225"/>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Certain securities issued by governmental entities;</w:t>
      </w:r>
    </w:p>
    <w:p>
      <w:pPr>
        <w:spacing w:after="0" w:line="96" w:lineRule="exact"/>
        <w:rPr>
          <w:rFonts w:ascii="Arial" w:cs="Arial" w:eastAsia="Arial" w:hAnsi="Arial"/>
          <w:sz w:val="16"/>
          <w:szCs w:val="16"/>
          <w:color w:val="auto"/>
        </w:rPr>
      </w:pPr>
    </w:p>
    <w:p>
      <w:pPr>
        <w:ind w:left="640" w:hanging="225"/>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security issued by a REIT;</w:t>
      </w:r>
    </w:p>
    <w:p>
      <w:pPr>
        <w:spacing w:after="0" w:line="96" w:lineRule="exact"/>
        <w:rPr>
          <w:rFonts w:ascii="Arial" w:cs="Arial" w:eastAsia="Arial" w:hAnsi="Arial"/>
          <w:sz w:val="16"/>
          <w:szCs w:val="16"/>
          <w:color w:val="auto"/>
        </w:rPr>
      </w:pPr>
    </w:p>
    <w:p>
      <w:pPr>
        <w:ind w:left="560" w:right="160" w:hanging="145"/>
        <w:spacing w:after="0" w:line="248" w:lineRule="auto"/>
        <w:tabs>
          <w:tab w:leader="none" w:pos="6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debt instrument issued by an entity treated as a partnership for U.S. federal income tax purposes in which the Company is a partner to the extent of its proportionate interest in the equity and debt securities of the partnership; and</w:t>
      </w:r>
    </w:p>
    <w:p>
      <w:pPr>
        <w:spacing w:after="0" w:line="87" w:lineRule="exact"/>
        <w:rPr>
          <w:rFonts w:ascii="Arial" w:cs="Arial" w:eastAsia="Arial" w:hAnsi="Arial"/>
          <w:sz w:val="16"/>
          <w:szCs w:val="16"/>
          <w:color w:val="auto"/>
        </w:rPr>
      </w:pPr>
    </w:p>
    <w:p>
      <w:pPr>
        <w:ind w:left="560" w:right="20" w:hanging="145"/>
        <w:spacing w:after="0" w:line="246" w:lineRule="auto"/>
        <w:tabs>
          <w:tab w:leader="none" w:pos="6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debt instrument issued by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the section entitled “—Gross Income Tests.”</w:t>
      </w:r>
    </w:p>
    <w:p>
      <w:pPr>
        <w:spacing w:after="0" w:line="89" w:lineRule="exact"/>
        <w:rPr>
          <w:sz w:val="20"/>
          <w:szCs w:val="20"/>
          <w:color w:val="auto"/>
        </w:rPr>
      </w:pPr>
    </w:p>
    <w:p>
      <w:pPr>
        <w:ind w:right="200" w:firstLine="351"/>
        <w:spacing w:after="0" w:line="248" w:lineRule="auto"/>
        <w:rPr>
          <w:sz w:val="20"/>
          <w:szCs w:val="20"/>
          <w:color w:val="auto"/>
        </w:rPr>
      </w:pPr>
      <w:r>
        <w:rPr>
          <w:rFonts w:ascii="Arial" w:cs="Arial" w:eastAsia="Arial" w:hAnsi="Arial"/>
          <w:sz w:val="16"/>
          <w:szCs w:val="16"/>
          <w:color w:val="auto"/>
        </w:rPr>
        <w:t>For purposes of the 10% value test, the Company’s proportionate share of the assets of a partnership is its proportionate interest in any securities issued by the partnership, without regard to the securities described in the last two bullet points above.</w:t>
      </w:r>
    </w:p>
    <w:p>
      <w:pPr>
        <w:spacing w:after="0" w:line="88"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Company’s holdings of securities and other assets have complied, and will continue to comply, with the foregoing asset tests, and the Company intends to monitor its compliance on an ongoing basis. However, independent appraisals have not been obtained to support the Company’s conclusions as to the value of its assets or the value of any particular security or securities. Moreover, values of some assets, including instruments issued in collateralized debt obligation transactions, may not be susceptible to a precise determination, and values are subject to change in the future.</w:t>
      </w:r>
    </w:p>
    <w:p>
      <w:pPr>
        <w:spacing w:after="0" w:line="91" w:lineRule="exact"/>
        <w:rPr>
          <w:sz w:val="20"/>
          <w:szCs w:val="20"/>
          <w:color w:val="auto"/>
        </w:rPr>
      </w:pPr>
    </w:p>
    <w:p>
      <w:pPr>
        <w:ind w:right="60" w:firstLine="351"/>
        <w:spacing w:after="0" w:line="246" w:lineRule="auto"/>
        <w:rPr>
          <w:sz w:val="20"/>
          <w:szCs w:val="20"/>
          <w:color w:val="auto"/>
        </w:rPr>
      </w:pPr>
      <w:r>
        <w:rPr>
          <w:rFonts w:ascii="Arial" w:cs="Arial" w:eastAsia="Arial" w:hAnsi="Arial"/>
          <w:sz w:val="16"/>
          <w:szCs w:val="16"/>
          <w:color w:val="auto"/>
        </w:rPr>
        <w:t>Furthermore, the proper classification of an instrument as debt or equity for U.S. federal income tax purposes may be uncertain in some circumstances, which could affect the application of the asset tests. Accordingly, there can be no assurance that the IRS will not contend that the Company’s interests in its subsidiaries or in the securities of other issuers will not cause a violation of the asset tests.</w:t>
      </w:r>
    </w:p>
    <w:p>
      <w:pPr>
        <w:spacing w:after="0" w:line="89"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As described above,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or value test). Refer to the section entitled “—Gross Income Tests.” The Company expects that some of its mezzanine loans may not qualify for that safe harbor. To the extent that the Company determines that a mezzanine loan likely would not qualify for the safe harbor and also would not be excluded from the definition of securities for purposes of the 10% vote or value test or could cause the Company not to satisfy the 75% or 5% assets tests, it would hold that mezzanine loan through a taxable REIT subsidiary.</w:t>
      </w:r>
    </w:p>
    <w:p>
      <w:pPr>
        <w:spacing w:after="0" w:line="94" w:lineRule="exact"/>
        <w:rPr>
          <w:sz w:val="20"/>
          <w:szCs w:val="20"/>
          <w:color w:val="auto"/>
        </w:rPr>
      </w:pPr>
    </w:p>
    <w:p>
      <w:pPr>
        <w:jc w:val="both"/>
        <w:ind w:right="420" w:firstLine="351"/>
        <w:spacing w:after="0" w:line="246" w:lineRule="auto"/>
        <w:rPr>
          <w:sz w:val="20"/>
          <w:szCs w:val="20"/>
          <w:color w:val="auto"/>
        </w:rPr>
      </w:pPr>
      <w:r>
        <w:rPr>
          <w:rFonts w:ascii="Arial" w:cs="Arial" w:eastAsia="Arial" w:hAnsi="Arial"/>
          <w:sz w:val="16"/>
          <w:szCs w:val="16"/>
          <w:color w:val="auto"/>
        </w:rPr>
        <w:t>The Company owns stock in several REITS and expects to invest in the stock of other entities that intend to qualify as REITs in the future. The Company believes that any stock that it has acquired or will acquire in other REITs has been, or will be, qualifying assets for purposes of the 75% asset test. If a REIT in which the Company owns stock fails to qualify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as a REIT in any year, however, the stock in such REIT will not be a qualifying asset for purposes of the 75% asset test. Instead, the Company would be subject to the 5% asset test, the 10% vote or value test and the 25% securities test described above with respect to its investment in such a disqualified REIT. Consequently, if a REIT in which the Company owns stock fails to qualify as a REIT, the Company could fail one or more of the asset tests described above. To the extent the Company invests in other REITs, it intends to do so in a manner that will enable it to continue to satisfy the REIT asset tests.</w:t>
      </w:r>
    </w:p>
    <w:p>
      <w:pPr>
        <w:spacing w:after="0" w:line="91"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As discussed above in the section entitled “—Gross Income Tests,” the Company and its subsidiaries may invest in distressed mortgage loans. In general, under the applicable Treasury Regulations, if a loan is secured by real property and other property and the highest principal amount of the loan outstanding during a taxable year exceeds the fair market value of the real property securing the loan as of: (i) the date the Company agreed to acquire or originate the loan; or (ii) in the event of a significant modification, the date the Company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The non-qualifying portion of such a loan would be subject to, among other requirements, the 10% vote or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determined as of the date the REIT committed to originate or acquire the loan. It is unclear how the safe harbor in Revenue Procedure 2014-51 is affected by the recent legislative changes regarding the treatment of loans secured by both real property and personal property where the fair market value of the personal property does not exceed 15% of the sum of the fair market values of the real property and the personal property securing the loan. There can be no assurance that later interpretations of or any clarifications to this Revenue Procedure will be consistent with how the Company currently is applying it to its REIT compliance analysis. The Company intends to invest in distressed mortgage loans in a manner consistent with qualifying as a REIT.</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Also as discussed above, the Company intends to invest in agency securities that are pass-through certificates. The Company expects that the agency securities will be treated either as interests in grantor trusts or as interests in REMICs for U.S. federal income tax purposes. In the case of agency securities treated as interests in grantor trusts, the Company would be treated as owning an undivided beneficial ownership interest in the mortgage loans held by the grantor trust. Such mortgage loans generally will qualify as real estate assets to the extent that they are secured by real property. The Company expects that substantially all of its agency securities treated as interests in a grantor trust will qualify as real estate assets. In the case of agency securities treated as interests in a REMIC, such interests generally will qualify as real estate assets. If less than 95% of the assets of a REMIC are real estate assets, however, then only a proportionate part of the Company’s interest in the REMIC will qualify as a real estate asset. To the extent that the Company holds mortgage participations or mortgage-backed securities that do not represent interests in a grantor trust or REMIC interests, such assets may not qualify as real estate assets depending upon the circumstances and the specific structure of the investment.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Failure to Satisfy the Asset Tests</w:t>
      </w:r>
    </w:p>
    <w:p>
      <w:pPr>
        <w:spacing w:after="0" w:line="113" w:lineRule="exact"/>
        <w:rPr>
          <w:sz w:val="20"/>
          <w:szCs w:val="20"/>
          <w:color w:val="auto"/>
        </w:rPr>
      </w:pPr>
    </w:p>
    <w:p>
      <w:pPr>
        <w:ind w:right="240" w:firstLine="351"/>
        <w:spacing w:after="0" w:line="248" w:lineRule="auto"/>
        <w:rPr>
          <w:sz w:val="20"/>
          <w:szCs w:val="20"/>
          <w:color w:val="auto"/>
        </w:rPr>
      </w:pPr>
      <w:r>
        <w:rPr>
          <w:rFonts w:ascii="Arial" w:cs="Arial" w:eastAsia="Arial" w:hAnsi="Arial"/>
          <w:sz w:val="16"/>
          <w:szCs w:val="16"/>
          <w:color w:val="auto"/>
        </w:rPr>
        <w:t>The Company has monitored, and will continue to monitor, the status of its assets for purposes of the various asset tests. If the Company fails to satisfy the asset tests at the end of a calendar quarter, it will not lose its REIT qualification if:</w:t>
      </w:r>
    </w:p>
    <w:p>
      <w:pPr>
        <w:spacing w:after="0" w:line="88" w:lineRule="exact"/>
        <w:rPr>
          <w:sz w:val="20"/>
          <w:szCs w:val="20"/>
          <w:color w:val="auto"/>
        </w:rPr>
      </w:pPr>
    </w:p>
    <w:p>
      <w:pPr>
        <w:ind w:left="680" w:hanging="265"/>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satisfied the asset tests at the end of the preceding calendar quarter; and</w:t>
      </w:r>
    </w:p>
    <w:p>
      <w:pPr>
        <w:spacing w:after="0" w:line="49" w:lineRule="exact"/>
        <w:rPr>
          <w:rFonts w:ascii="Arial" w:cs="Arial" w:eastAsia="Arial" w:hAnsi="Arial"/>
          <w:sz w:val="16"/>
          <w:szCs w:val="16"/>
          <w:color w:val="auto"/>
        </w:rPr>
      </w:pPr>
    </w:p>
    <w:p>
      <w:pPr>
        <w:ind w:left="560" w:right="160" w:hanging="145"/>
        <w:spacing w:after="0" w:line="248" w:lineRule="auto"/>
        <w:tabs>
          <w:tab w:leader="none" w:pos="69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discrepancy between the value of the Company’s assets and the asset test requirements arose from changes in the market values of its assets and was not wholly or partly caused by the acquisition of one or more non-qualifying assets.</w:t>
      </w:r>
    </w:p>
    <w:p>
      <w:pPr>
        <w:spacing w:after="0" w:line="88" w:lineRule="exact"/>
        <w:rPr>
          <w:sz w:val="20"/>
          <w:szCs w:val="20"/>
          <w:color w:val="auto"/>
        </w:rPr>
      </w:pPr>
    </w:p>
    <w:p>
      <w:pPr>
        <w:ind w:right="100" w:firstLine="351"/>
        <w:spacing w:after="0" w:line="248" w:lineRule="auto"/>
        <w:rPr>
          <w:sz w:val="20"/>
          <w:szCs w:val="20"/>
          <w:color w:val="auto"/>
        </w:rPr>
      </w:pPr>
      <w:r>
        <w:rPr>
          <w:rFonts w:ascii="Arial" w:cs="Arial" w:eastAsia="Arial" w:hAnsi="Arial"/>
          <w:sz w:val="16"/>
          <w:szCs w:val="16"/>
          <w:color w:val="auto"/>
        </w:rPr>
        <w:t>If the Company does not satisfy the condition described in the second item, above, it still could avoid disqualification by eliminating any discrepancy within 30 days after the close of the calendar quarter in which it arose.</w:t>
      </w:r>
    </w:p>
    <w:p>
      <w:pPr>
        <w:spacing w:after="0" w:line="88"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If at the end of any calendar quarter the Company violates the 5% asset test or the 10% vote or value test described above, it will not lose its REIT qualification if: (i) the failure is de minimis (up to the lesser of 1% of its assets or $10 million); and (ii) it disposes of assets causing the failure or otherwise complies with the asset tests within six months after the last day of the quarter in which it identifies such failure. In the event of a failure of any of the asset tests (other than de minimis failures described in the preceding sentence), as long as the failure was due to reasonable cause and not to willful neglect, the Company will not lose its REIT status if it: (i) disposes of assets or otherwise complies with the asset tests within six months after the last day of the quarter in which it identifies the failure; (ii) it files a description of each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asset causing the failure with the IRS; and (iii) pays a tax equal to the greater of $50,000 or 21% of the net income from the non-qualifying assets during the period in which the Company failed to satisfy the asset tests.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Distribution Requirements</w:t>
      </w:r>
    </w:p>
    <w:p>
      <w:pPr>
        <w:spacing w:after="0" w:line="113" w:lineRule="exact"/>
        <w:rPr>
          <w:sz w:val="20"/>
          <w:szCs w:val="20"/>
          <w:color w:val="auto"/>
        </w:rPr>
      </w:pPr>
    </w:p>
    <w:p>
      <w:pPr>
        <w:ind w:right="680" w:firstLine="351"/>
        <w:spacing w:after="0" w:line="248" w:lineRule="auto"/>
        <w:rPr>
          <w:sz w:val="20"/>
          <w:szCs w:val="20"/>
          <w:color w:val="auto"/>
        </w:rPr>
      </w:pPr>
      <w:r>
        <w:rPr>
          <w:rFonts w:ascii="Arial" w:cs="Arial" w:eastAsia="Arial" w:hAnsi="Arial"/>
          <w:sz w:val="16"/>
          <w:szCs w:val="16"/>
          <w:color w:val="auto"/>
        </w:rPr>
        <w:t>Each taxable year, the Company must distribute dividends, other than capital gain dividends and deemed distributions of retained capital gain, to our stockholders in an aggregate amount at least equal to the sum of:</w:t>
      </w:r>
    </w:p>
    <w:p>
      <w:pPr>
        <w:spacing w:after="0" w:line="88" w:lineRule="exact"/>
        <w:rPr>
          <w:sz w:val="20"/>
          <w:szCs w:val="20"/>
          <w:color w:val="auto"/>
        </w:rPr>
      </w:pPr>
    </w:p>
    <w:p>
      <w:pPr>
        <w:ind w:left="640" w:hanging="225"/>
        <w:spacing w:after="0"/>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90% of its “REIT taxable income,” computed without regard to the dividends paid deduction and its net capital gain or loss; and</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90% of its after-tax net income, if any, from foreclosure property; minus</w:t>
      </w:r>
    </w:p>
    <w:p>
      <w:pPr>
        <w:spacing w:after="0" w:line="49" w:lineRule="exact"/>
        <w:rPr>
          <w:rFonts w:ascii="Arial" w:cs="Arial" w:eastAsia="Arial" w:hAnsi="Arial"/>
          <w:sz w:val="16"/>
          <w:szCs w:val="16"/>
          <w:color w:val="auto"/>
        </w:rPr>
      </w:pPr>
    </w:p>
    <w:p>
      <w:pPr>
        <w:ind w:left="640" w:hanging="225"/>
        <w:spacing w:after="0"/>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sum of certain items of non-cash income.</w:t>
      </w:r>
    </w:p>
    <w:p>
      <w:pPr>
        <w:spacing w:after="0" w:line="97" w:lineRule="exact"/>
        <w:rPr>
          <w:sz w:val="20"/>
          <w:szCs w:val="20"/>
          <w:color w:val="auto"/>
        </w:rPr>
      </w:pPr>
    </w:p>
    <w:p>
      <w:pPr>
        <w:ind w:right="140" w:firstLine="351"/>
        <w:spacing w:after="0" w:line="244" w:lineRule="auto"/>
        <w:rPr>
          <w:sz w:val="20"/>
          <w:szCs w:val="20"/>
          <w:color w:val="auto"/>
        </w:rPr>
      </w:pPr>
      <w:r>
        <w:rPr>
          <w:rFonts w:ascii="Arial" w:cs="Arial" w:eastAsia="Arial" w:hAnsi="Arial"/>
          <w:sz w:val="16"/>
          <w:szCs w:val="16"/>
          <w:color w:val="auto"/>
        </w:rPr>
        <w:t>Generally, the Company must pay such distributions in the taxable year to which they relate, or in the following taxable year if: (i) the Company declares the distribution before it timely files its U.S. federal income tax return for the year and pays the distribution on or before the first regular dividend payment date after such declaration; or (ii) the Company declares the distribution in October, November or December of the taxable year, payable to stockholders of record on a specified day in any such month, and it actually pays the dividend before the end of January of the following year. The distributions under clause (i) are taxable to the stockholders in the year in which paid and the distributions in clause (ii) are treated as paid on December 31 of the prior taxable year. In both instances, these distributions relate to the Company’s prior taxable year for purposes of the 90% distribution requirement.</w:t>
      </w:r>
    </w:p>
    <w:p>
      <w:pPr>
        <w:spacing w:after="0" w:line="94"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Unless the Company qualifies as a “publicly offered REIT,” in order for its distributions to be counted as satisfying the annual distribution requirement for REITs and to provide it with the REIT-level tax deduction, such distributions must not have been “preferential dividends.” A dividend is not a preferential dividend if that distribution is: (i) pro rata among all outstanding shares within a particular class; and (ii) in accordance with the preferences among different classes of stock as set forth in the Company’s organizational documents. The Company expects to qualify as “publicly offered REIT,” and so long as it qualifies as a “publicly offered REIT,” the preferential dividend rule will not apply to it.</w:t>
      </w:r>
    </w:p>
    <w:p>
      <w:pPr>
        <w:spacing w:after="0" w:line="90" w:lineRule="exact"/>
        <w:rPr>
          <w:sz w:val="20"/>
          <w:szCs w:val="20"/>
          <w:color w:val="auto"/>
        </w:rPr>
      </w:pPr>
    </w:p>
    <w:p>
      <w:pPr>
        <w:jc w:val="both"/>
        <w:ind w:right="360" w:firstLine="351"/>
        <w:spacing w:after="0" w:line="246" w:lineRule="auto"/>
        <w:rPr>
          <w:sz w:val="20"/>
          <w:szCs w:val="20"/>
          <w:color w:val="auto"/>
        </w:rPr>
      </w:pPr>
      <w:r>
        <w:rPr>
          <w:rFonts w:ascii="Arial" w:cs="Arial" w:eastAsia="Arial" w:hAnsi="Arial"/>
          <w:sz w:val="16"/>
          <w:szCs w:val="16"/>
          <w:color w:val="auto"/>
        </w:rPr>
        <w:t>The Company will pay U.S. federal income tax on taxable income, including net capital gain, that it does not distribute to stockholders. Furthermore, if the Company fails to distribute during a calendar year, or by the end of January following the calendar year in the case of distributions with declaration and record dates falling in the last three months of the calendar year, at least the sum of:</w:t>
      </w:r>
    </w:p>
    <w:p>
      <w:pPr>
        <w:spacing w:after="0" w:line="89" w:lineRule="exact"/>
        <w:rPr>
          <w:sz w:val="20"/>
          <w:szCs w:val="20"/>
          <w:color w:val="auto"/>
        </w:rPr>
      </w:pPr>
    </w:p>
    <w:p>
      <w:pPr>
        <w:ind w:left="520" w:hanging="105"/>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85% of its REIT ordinary income for such year;</w:t>
      </w:r>
    </w:p>
    <w:p>
      <w:pPr>
        <w:spacing w:after="0" w:line="49" w:lineRule="exact"/>
        <w:rPr>
          <w:rFonts w:ascii="Arial" w:cs="Arial" w:eastAsia="Arial" w:hAnsi="Arial"/>
          <w:sz w:val="16"/>
          <w:szCs w:val="16"/>
          <w:color w:val="auto"/>
        </w:rPr>
      </w:pPr>
    </w:p>
    <w:p>
      <w:pPr>
        <w:ind w:left="520" w:hanging="105"/>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95% of its REIT capital gain income for such year; and</w:t>
      </w:r>
    </w:p>
    <w:p>
      <w:pPr>
        <w:spacing w:after="0" w:line="49" w:lineRule="exact"/>
        <w:rPr>
          <w:rFonts w:ascii="Arial" w:cs="Arial" w:eastAsia="Arial" w:hAnsi="Arial"/>
          <w:sz w:val="16"/>
          <w:szCs w:val="16"/>
          <w:color w:val="auto"/>
        </w:rPr>
      </w:pPr>
    </w:p>
    <w:p>
      <w:pPr>
        <w:ind w:left="520" w:hanging="105"/>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undistributed taxable income from prior periods.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will incur a 4% nondeductible excise tax on the excess of such required distribution over the amounts it actually distributes.</w:t>
      </w:r>
    </w:p>
    <w:p>
      <w:pPr>
        <w:spacing w:after="0" w:line="97" w:lineRule="exact"/>
        <w:rPr>
          <w:sz w:val="20"/>
          <w:szCs w:val="20"/>
          <w:color w:val="auto"/>
        </w:rPr>
      </w:pPr>
    </w:p>
    <w:p>
      <w:pPr>
        <w:ind w:right="40" w:firstLine="351"/>
        <w:spacing w:after="0" w:line="246" w:lineRule="auto"/>
        <w:rPr>
          <w:sz w:val="20"/>
          <w:szCs w:val="20"/>
          <w:color w:val="auto"/>
        </w:rPr>
      </w:pPr>
      <w:r>
        <w:rPr>
          <w:rFonts w:ascii="Arial" w:cs="Arial" w:eastAsia="Arial" w:hAnsi="Arial"/>
          <w:sz w:val="16"/>
          <w:szCs w:val="16"/>
          <w:color w:val="auto"/>
        </w:rPr>
        <w:t>The Company may elect to retain and pay income tax on the net long-term capital gain it receives in a taxable year. If the Company so elects, it will be treated as having distributed any such retained amount for purposes of the 4% nondeductible excise tax described above. The Company intends to make timely distributions sufficient to satisfy the annual distribution requirements and to avoid corporate income tax and the 4% nondeductible excise tax.</w:t>
      </w:r>
    </w:p>
    <w:p>
      <w:pPr>
        <w:spacing w:after="0" w:line="89"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It is possible that, from time to time, the Company may experience timing differences between the actual receipt of income and or payment of deductible expenses and the inclusion of that income or deduction in arriving at its REIT taxable income. Other potential sources of non-cash taxable income include gain recognized on the deemed exchange of distressed debt that has been modified, real estate and securities that have been financed through securitization structures, such as the collateralized debt obligation structure, which require some or all of available cash flow to be used to service borrowings, loans or mortgage-backed securities that the Company holds that have been issued at a discount and require the accrual of taxable economic interest in advance of its receipt in cash and distressed loans on which the Company may be required to accrue taxable interest income even though the borrower is unable to make current servicing payments in cash. Furthermore, under Section 451 of the Code, subject to certain exceptions, the Company must accrue income for U.S. federal income tax purposes no later than when such income is taken into account as revenue in our financial statements, which could create additional differences between REIT taxable income and the receipt of cash attributable to such income. In addition, Section 162(m) of the Code places a per-employee limit of $1 million on the amount of compensation that a publicly held corporation may deduct in any one year with respect to its chief executive officer and certain other highly compensated executive officers. In the event that such timing differences occur, it might be necessary to arrange borrowings or other means of raising capital to meet the distribution requirements.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 may, if possible, pay taxable dividends of our stock or debt to meet the distribution requirements.</w:t>
      </w:r>
    </w:p>
    <w:p>
      <w:pPr>
        <w:spacing w:after="0" w:line="97"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On August 11, 2017, the IRS issued Revenue Procedure 2017-45, authorizing elective stock dividends to be made by public REITs. Pursuant to this revenue procedure, effective for distributions declared on or after August 11, 2017, the IRS will treat the distribution of stock pursuant to an elective stock dividend as a distribution of property under Section 301 of the Code (i.e., as a dividend to the extent of our earnings and profits), as long as at least 20% of the total dividend is available in cash and certain other requirements outlined in the revenue procedure are met.</w:t>
      </w:r>
    </w:p>
    <w:p>
      <w:pPr>
        <w:spacing w:after="0" w:line="91"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Under certain circumstances, the Company may be able to correct a failure to meet the distribution requirement for a year by paying “deficiency dividends” to our stockholders in a later year. The Company may include such deficiency dividends in its deduction for dividends paid for the earlier year. Although the Company may be able to avoid income tax on amounts distributed as deficiency dividends, it will be required to pay interest to the IRS based upon the amount of any deduction it takes for deficiency dividends.</w:t>
      </w:r>
    </w:p>
    <w:p>
      <w:pPr>
        <w:spacing w:after="0" w:line="91" w:lineRule="exact"/>
        <w:rPr>
          <w:sz w:val="20"/>
          <w:szCs w:val="20"/>
          <w:color w:val="auto"/>
        </w:rPr>
      </w:pPr>
    </w:p>
    <w:p>
      <w:pPr>
        <w:ind w:right="180" w:firstLine="351"/>
        <w:spacing w:after="0" w:line="248" w:lineRule="auto"/>
        <w:rPr>
          <w:sz w:val="20"/>
          <w:szCs w:val="20"/>
          <w:color w:val="auto"/>
        </w:rPr>
      </w:pPr>
      <w:r>
        <w:rPr>
          <w:rFonts w:ascii="Arial" w:cs="Arial" w:eastAsia="Arial" w:hAnsi="Arial"/>
          <w:sz w:val="16"/>
          <w:szCs w:val="16"/>
          <w:color w:val="auto"/>
        </w:rPr>
        <w:t>In addition, a REIT is required to distribute all accumulated earnings and profits attributable to non-REIT years by the close of its first taxable year in which it has non-REIT earnings and profits to distribute.</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Interest Deduction Limitation</w:t>
      </w:r>
    </w:p>
    <w:p>
      <w:pPr>
        <w:spacing w:after="0" w:line="113" w:lineRule="exact"/>
        <w:rPr>
          <w:sz w:val="20"/>
          <w:szCs w:val="20"/>
          <w:color w:val="auto"/>
        </w:rPr>
      </w:pPr>
    </w:p>
    <w:p>
      <w:pPr>
        <w:jc w:val="both"/>
        <w:ind w:firstLine="351"/>
        <w:spacing w:after="0" w:line="278" w:lineRule="auto"/>
        <w:rPr>
          <w:sz w:val="20"/>
          <w:szCs w:val="20"/>
          <w:color w:val="auto"/>
        </w:rPr>
      </w:pPr>
      <w:r>
        <w:rPr>
          <w:rFonts w:ascii="Arial" w:cs="Arial" w:eastAsia="Arial" w:hAnsi="Arial"/>
          <w:sz w:val="14"/>
          <w:szCs w:val="14"/>
          <w:color w:val="auto"/>
        </w:rPr>
        <w:t>Commencing in taxable years beginning after December 31, 2017, Section 163(j) of the Code limits the deductibility of net interest expense paid or accrued on debt properly allocable to a trade or business to 30% of “adjusted taxable income,” subject to certain exceptions. Any deduction in excess of the limitation is carried forward and may be used in a subsequent year, subject to the 30% limitation. Adjusted taxable income is determined without regard to certain deductions, including those for net interest expense, net operating loss carryforwards and, for taxable years beginning before January 1, 2022, depreciation, amortization and depletion.</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Provided the taxpayer makes a timely election (which is irrevocable), the 30% limitation does not apply to a trade or business involving real property development, redevelopment, construction, reconstruction, rental, operation, acquisition, conversion, disposition, management, leasing or brokerage, within the meaning of Section 469(c)(7)(C) of the Code. If this election is made, depreciable real property (including certain improvements) held by the relevant trade or business must be depreciated under the alternative depreciation system under the Code, which is generally less favorable than the generally applicable system of depreciation under the Code. If we do not make the election or if the election is determined not to be available with respect to all or certain of our business activities, this interest deduction limitation could result in us having more REIT taxable income and thus increase the amount of distributions we must make to comply with the REIT requirements and avoid incurring corporate level tax. Similarly, the limitation could cause our TRSs to have greater taxable income and thus potentially greater corporate tax liability.</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Recordkeeping Requirements</w:t>
      </w:r>
    </w:p>
    <w:p>
      <w:pPr>
        <w:spacing w:after="0" w:line="113" w:lineRule="exact"/>
        <w:rPr>
          <w:sz w:val="20"/>
          <w:szCs w:val="20"/>
          <w:color w:val="auto"/>
        </w:rPr>
      </w:pPr>
    </w:p>
    <w:p>
      <w:pPr>
        <w:jc w:val="both"/>
        <w:ind w:right="40" w:firstLine="351"/>
        <w:spacing w:after="0" w:line="246" w:lineRule="auto"/>
        <w:rPr>
          <w:sz w:val="20"/>
          <w:szCs w:val="20"/>
          <w:color w:val="auto"/>
        </w:rPr>
      </w:pPr>
      <w:r>
        <w:rPr>
          <w:rFonts w:ascii="Arial" w:cs="Arial" w:eastAsia="Arial" w:hAnsi="Arial"/>
          <w:sz w:val="16"/>
          <w:szCs w:val="16"/>
          <w:color w:val="auto"/>
        </w:rPr>
        <w:t>The Company is required to maintain certain records under the REIT rules. In addition, to avoid a monetary penalty, the Company must request on an annual basis information from our stockholders designed to disclose the actual ownership of its outstanding shares of beneficial interest. The Company intends to continue to comply with these requirements.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Foreign Investments</w:t>
      </w:r>
    </w:p>
    <w:p>
      <w:pPr>
        <w:spacing w:after="0" w:line="113"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The Company and its subsidiaries have acquired, and expect to acquire in the future, investments in foreign countries that will require it to pay taxes to foreign countries. Taxes that the Company pays in foreign jurisdictions may not be passed through to, or used by, our stockholders as a foreign tax credit or otherwise. The Company could be subject to U.S. federal income tax rules intended to prevent or minimize the value of the deferral of the recognition by it of passive-type income of foreign entities in which it owns a direct or indirect interest. As a result, the Company could be required to recognize taxable income for U.S. federal income tax purposes prior to receiving cash distributions with respect to that income or, in certain circumstances, pay an interest charge on U.S. federal income tax that it is deemed to have deferred. The Company’s foreign investments might also generate foreign currency gains and losses. Certain foreign currency gains may be excluded from gross income for purposes of one or both of the gross income tests, as discussed above. Refer above to the section entitled “—Requirements for Qualification—Gross Income Tests.”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Failure to Qualify</w:t>
      </w:r>
    </w:p>
    <w:p>
      <w:pPr>
        <w:spacing w:after="0" w:line="113"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If the Company fails to satisfy one or more requirements for REIT qualification, other than the gross income tests and the asset tests, it could avoid disqualification if its failure is due to reasonable cause and not to willful neglect and the Company pays a penalty of $50,000 for each such failure. In addition, there are relief provisions for a failure of the gross income tests and asset tests, as described in the sections entitled “—Gross Income Tests—Failure to Satisfy the Gross Income Tests” and “—Asset Tests—Failure to Satisfy the Asset Tests.”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If the Company fails to qualify as a REIT in any taxable year, and no relief provision applies, it would be subject to U.S. federal income tax and any applicable alternative minimum tax (only for its taxable year ended December 31, 2017) on its taxable income at regular corporate rates. In calculating its taxable income in a year in which it fails to qualify as a REIT, the Company would not be able to deduct amounts paid out to stockholders. In fact, the Company would not be required to distribute any amounts to stockholders in that year. In such event, to the extent of the Company’s current and accumulated earnings and profits, distributions to most stockholders taxed at individual rates would generally be taxable at capital gains tax rates. For taxable years beginning after December 31, 2017, and before January 1, 2026, generally U.S. stockholders that are individuals, trusts or estates may deduct 20% of the aggregate amount of ordinary dividends distributed by us, subject to certain limitations. Alternatively, such dividends paid to U.S. stockholders that are individuals, trusts and estates may be taxable at the preferential income tax rates (i.e., the 20% maximum U.S. federal rate) for qualified dividends. In addition, subject to the limitations of the Code, corporate distributees may be eligible for the dividends-received deduction.</w:t>
      </w:r>
    </w:p>
    <w:p>
      <w:pPr>
        <w:spacing w:after="0" w:line="82" w:lineRule="exact"/>
        <w:rPr>
          <w:sz w:val="20"/>
          <w:szCs w:val="20"/>
          <w:color w:val="auto"/>
        </w:rPr>
      </w:pPr>
    </w:p>
    <w:p>
      <w:pPr>
        <w:ind w:right="100" w:firstLine="351"/>
        <w:spacing w:after="0" w:line="221" w:lineRule="auto"/>
        <w:rPr>
          <w:sz w:val="20"/>
          <w:szCs w:val="20"/>
          <w:color w:val="auto"/>
        </w:rPr>
      </w:pPr>
      <w:r>
        <w:rPr>
          <w:rFonts w:ascii="Arial" w:cs="Arial" w:eastAsia="Arial" w:hAnsi="Arial"/>
          <w:sz w:val="16"/>
          <w:szCs w:val="16"/>
          <w:color w:val="auto"/>
        </w:rPr>
        <w:t>Unless the Company qualified for relief under specific statutory provisions, it also would be disqualified from taxation as a REIT for the four taxable years following the year during which it ceased to qualify as a REIT. The Company cannot predict whether in all circumstances it would qualify for such statutory relief. In addition, the rule against re-electing REIT status following a loss of such status could also apply to the Company if it were determined that CLNY or NRF failed to qualify as REITs and the Company were treated as a successor to CLNY or NRF, as applicable.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Taxation of Taxable U.S. Stockholders of DigitalBridge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term “U.S. stockholder” means a beneficial owner of our stock that for U.S. federal income tax purposes is:</w:t>
      </w:r>
    </w:p>
    <w:p>
      <w:pPr>
        <w:spacing w:after="0" w:line="97" w:lineRule="exact"/>
        <w:rPr>
          <w:sz w:val="20"/>
          <w:szCs w:val="20"/>
          <w:color w:val="auto"/>
        </w:rPr>
      </w:pPr>
    </w:p>
    <w:p>
      <w:pPr>
        <w:ind w:left="560" w:hanging="145"/>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citizen or resident of the United States;</w:t>
      </w:r>
    </w:p>
    <w:p>
      <w:pPr>
        <w:spacing w:after="0" w:line="49" w:lineRule="exact"/>
        <w:rPr>
          <w:rFonts w:ascii="Arial" w:cs="Arial" w:eastAsia="Arial" w:hAnsi="Arial"/>
          <w:sz w:val="16"/>
          <w:szCs w:val="16"/>
          <w:color w:val="auto"/>
        </w:rPr>
      </w:pPr>
    </w:p>
    <w:p>
      <w:pPr>
        <w:ind w:left="560" w:right="340" w:hanging="145"/>
        <w:spacing w:after="0" w:line="248" w:lineRule="auto"/>
        <w:tabs>
          <w:tab w:leader="none" w:pos="55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corporation (including an entity treated as a corporation for U.S. federal income tax purposes) created or organized in or under the laws of the United States, any of its states or the District of Columbia;</w:t>
      </w:r>
    </w:p>
    <w:p>
      <w:pPr>
        <w:spacing w:after="0" w:line="40" w:lineRule="exact"/>
        <w:rPr>
          <w:rFonts w:ascii="Arial" w:cs="Arial" w:eastAsia="Arial" w:hAnsi="Arial"/>
          <w:sz w:val="16"/>
          <w:szCs w:val="16"/>
          <w:color w:val="auto"/>
        </w:rPr>
      </w:pPr>
    </w:p>
    <w:p>
      <w:pPr>
        <w:ind w:left="560" w:hanging="145"/>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taxation regardless of its source; or</w:t>
      </w:r>
    </w:p>
    <w:p>
      <w:pPr>
        <w:spacing w:after="0" w:line="49" w:lineRule="exact"/>
        <w:rPr>
          <w:rFonts w:ascii="Arial" w:cs="Arial" w:eastAsia="Arial" w:hAnsi="Arial"/>
          <w:sz w:val="16"/>
          <w:szCs w:val="16"/>
          <w:color w:val="auto"/>
        </w:rPr>
      </w:pPr>
    </w:p>
    <w:p>
      <w:pPr>
        <w:ind w:left="560" w:right="280" w:hanging="145"/>
        <w:spacing w:after="0" w:line="248" w:lineRule="auto"/>
        <w:tabs>
          <w:tab w:leader="none" w:pos="55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8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4"/>
          <w:szCs w:val="14"/>
          <w:color w:val="auto"/>
        </w:rPr>
        <w:t>If a partnership (or other entity or arrangement treated as a partnership for U.S. federal income tax purposes) holds our stock, the U.S. federal income tax treatment of a partner in the partnership will generally depend on the status of the partner and the activities of the partnership. If you are a partner in a partnership holding our stock, you should consult your tax advisor regarding the consequences of the purchase, ownership and disposition of our stock by the partnership.</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Taxation of U.S. Stockholders on Distributions on Our Stock</w:t>
      </w:r>
    </w:p>
    <w:p>
      <w:pPr>
        <w:spacing w:after="0" w:line="113"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As long as the Company qualifies as a REIT, a taxable U.S. stockholder must generally take into account as ordinary income distributions made out of the Company’s current or accumulated earnings and profits that the Company does not designate as capital gain dividends or retained long-term capital gain. However, for tax years prior to 2026, generally U.S. stockholders that are individuals, trusts or estates may deduct 20% of the aggregate amount of ordinary dividends distributed by us, subject to certain limitations. For purposes of determining whether a distribution is made out of its current or accumulated earnings and profits, the Company’s earnings and profits will be allocated first to its preferred stock dividends and then to its common stock dividends.</w:t>
      </w:r>
    </w:p>
    <w:p>
      <w:pPr>
        <w:spacing w:after="0" w:line="90"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Dividends paid to U.S. stockholders will not qualify for the dividends-received deduction generally available to corporations. In addition, dividends paid to a U.S. stockholder generally will not qualify for the 20% tax rate for qualified dividend income. The maximum tax rate for qualified dividend income is 20%. Qualified dividend income generally includes dividends paid to U.S. stockholders taxed at individual rates by domestic C corporations and certain qualified foreign corporations. Because the Company will not generally be subject to U.S. federal income tax on the portion of its REIT taxable income distributed to our stockholders (refer above to the section entitled “—Taxation of DigitalBridge”), its dividends generally will not be eligible for the 20% rate on qualified dividend income. As a result, the Company’s ordinary REIT dividends will be taxed at the higher tax rate applicable to ordinary income, which is currently a maximum rate of 37%. However, the 20% tax rate for qualified dividend income will apply to the Company’s ordinary REIT dividends to the extent attributable: (i) to income retained by it in a prior non-REIT taxable year in which it or a predecessor was subject to corporate income tax (less the amount of tax); (ii) to dividends received by it from non-REIT corporations, such as domestic TRSs; and (iii) to the extent attributable to income upon which it has paid corporate income tax (</w:t>
      </w:r>
      <w:r>
        <w:rPr>
          <w:rFonts w:ascii="Arial" w:cs="Arial" w:eastAsia="Arial" w:hAnsi="Arial"/>
          <w:sz w:val="16"/>
          <w:szCs w:val="16"/>
          <w:i w:val="1"/>
          <w:iCs w:val="1"/>
          <w:color w:val="auto"/>
        </w:rPr>
        <w:t>e.g.</w:t>
      </w:r>
      <w:r>
        <w:rPr>
          <w:rFonts w:ascii="Arial" w:cs="Arial" w:eastAsia="Arial" w:hAnsi="Arial"/>
          <w:sz w:val="16"/>
          <w:szCs w:val="16"/>
          <w:color w:val="auto"/>
        </w:rPr>
        <w:t>, to the extent that the Company distributes less than 100% of its net taxable income). In general, to qualify for the reduced tax rate on qualified dividend income, a stockholder must hold our stock for more than 60 days during the 121-day period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beginning on the date that is 60 days before the date on which our stock becomes ex-dividend. In addition, dividends paid to certain individuals, trusts and estates whose income exceeds certain thresholds are subject to a 3.8% Medicare tax.</w:t>
      </w:r>
    </w:p>
    <w:p>
      <w:pPr>
        <w:spacing w:after="0" w:line="88"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A U.S. stockholder generally will take into account as long-term capital gain any distributions that the Company designates as capital gain dividends without regard to the period for which the U.S. stockholder has held our stock. The Company generally will designate its capital gain dividends as either 20% or 25% rate distributions. Refer below to the section entitled “—Capital Gains and Losses.” A corporate U.S. stockholder, however, may be required to treat up to 20% of certain capital gain dividends as ordinary income.</w:t>
      </w:r>
    </w:p>
    <w:p>
      <w:pPr>
        <w:spacing w:after="0" w:line="91" w:lineRule="exact"/>
        <w:rPr>
          <w:sz w:val="20"/>
          <w:szCs w:val="20"/>
          <w:color w:val="auto"/>
        </w:rPr>
      </w:pPr>
    </w:p>
    <w:p>
      <w:pPr>
        <w:ind w:firstLine="351"/>
        <w:spacing w:after="0" w:line="291" w:lineRule="auto"/>
        <w:rPr>
          <w:sz w:val="20"/>
          <w:szCs w:val="20"/>
          <w:color w:val="auto"/>
        </w:rPr>
      </w:pPr>
      <w:r>
        <w:rPr>
          <w:rFonts w:ascii="Arial" w:cs="Arial" w:eastAsia="Arial" w:hAnsi="Arial"/>
          <w:sz w:val="14"/>
          <w:szCs w:val="14"/>
          <w:color w:val="auto"/>
        </w:rPr>
        <w:t>The Company may elect to retain and pay income tax on the net long-term capital gain that it receives in a taxable year. In that case, to the extent that the Company designates such amount in a timely notice to such stockholder, a U.S. stockholder would be treated as receiving its proportionate share of the Company’s undistributed long-term capital gain and would receive a credit for its proportionate share of the tax the Company paid. The U.S. stockholder would increase the basis in its stock by the amount of its proportionate share of the Company’s undistributed long-term capital gain, minus its share of the tax the Company paid.</w:t>
      </w:r>
    </w:p>
    <w:p>
      <w:pPr>
        <w:spacing w:after="0" w:line="61"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To the extent that the Company makes a distribution in excess of its current and accumulated earnings and profits, such distribution will not be taxable to a U.S. stockholder to the extent that it does not exceed the adjusted tax basis of the U.S. stockholder’s stock. Instead, such distribution will reduce the adjusted tax basis of such stock. To the extent that the Company makes a distribution in excess of both its current and accumulated earnings and profits and the U.S. stockholder’s adjusted tax basis in its stock, such stockholder will recognize long-term capital gain or short-term capital gain if the stock has been held for one year or less, assuming the stock is a capital asset in the hands of the U.S. stockholder. In addition, if the Company declares a distribution in October, November or December of any year that is payable to a U.S. stockholder of record on a specified date in any such month, such distribution shall be treated as both paid by the Company and received by the U.S. stockholder on December 31 of such year, provided that the Company actually pays the distribution during January of the following calendar year.</w:t>
      </w:r>
    </w:p>
    <w:p>
      <w:pPr>
        <w:spacing w:after="0" w:line="94"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Stockholders may not include in their individual income tax returns any of the Company’s net operating losses or capital losses. Instead, the Company would carry over such losses for potential offset against the Company’s future income. Under Section 172 of the Code, the Company’s deduction for any net operating loss carryforwards arising from losses it sustains in taxable years beginning after December 31, 2017, is limited to 80% of its REIT taxable income (determined without regard to the deduction for dividends paid), and any unused portion of losses arising in taxable years ending after December 31, 2017, may not be carried back, but may be carried forward indefinitely.</w:t>
      </w:r>
    </w:p>
    <w:p>
      <w:pPr>
        <w:spacing w:after="0" w:line="90"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Taxable distributions from the Company and gain from the disposition of our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the Company and gain from the disposition of our stock generally may be treated as investment income for purposes of the investment interest limitations (although any capital gains so treated will not qualify for the lower 20% tax rate applicable to capital gains of U.S. stockholders taxed at individual rates). The Company will notify stockholders after the close of the Company’s taxable year as to the portions of its distributions attributable to that year that constitute ordinary income, return of capital and capital gain.</w:t>
      </w:r>
    </w:p>
    <w:p>
      <w:pPr>
        <w:spacing w:after="0" w:line="78"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i w:val="1"/>
          <w:iCs w:val="1"/>
          <w:color w:val="auto"/>
        </w:rPr>
        <w:t xml:space="preserve">Distributions to Holders of Depositary Shares. </w:t>
      </w:r>
      <w:r>
        <w:rPr>
          <w:rFonts w:ascii="Arial" w:cs="Arial" w:eastAsia="Arial" w:hAnsi="Arial"/>
          <w:sz w:val="16"/>
          <w:szCs w:val="16"/>
          <w:color w:val="auto"/>
        </w:rPr>
        <w:t>Owners of depositary shares will be treated for U.S. federal income tax purposes as if they were owners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preferred stock represented by such depositary shares. Accordingly, such owners will be entitled to take into account, for U.S. federal income tax purposes, income and deductions to which they would be entitled if they were direct holders of the underlying preferred shares. In addition, (1) no gain or loss will be recognized for U.S. federal income tax purposes upon the withdrawal of certificates evidencing the underlying preferred stock in exchange for depositary receipts, (2) the tax basis of each share of the underlying preferred stock to an exchanging owner of depositary shares will, upon such exchange, be the same as the aggregate tax basis of the depositary shares exchanged therefore, and (3) the hold period for the underlying preferred stock in the hands of an exchanging owner of depositary shares will include the period during which such person owned such depositary shares.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Taxation of U.S. Stockholders on the Disposition of Our Stock</w:t>
      </w:r>
    </w:p>
    <w:p>
      <w:pPr>
        <w:spacing w:after="0" w:line="113"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In general, a U.S. stockholder who is not a dealer in securities must treat any gain or loss realized upon a taxable disposition of our stock as long-term capital gain or loss if the U.S. stockholder has held the stock for more than one year and otherwise as short-term capital gain or loss. However, a U.S. stockholder must treat any loss upon a sale or exchange of stock held by such stockholder for six months or less as a long-term capital loss to the extent of any actual or deemed distributions from the Company that such U.S. stockholder previously has characterized as long-term capital gain. All or a portion of any loss that a U.S. stockholder realizes upon a taxable disposition of the stock may be disallowed if the U.S.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stockholder purchases other substantially identical 264 shares of our stock within 30 days before or after the disposition (in which case, the basis of the shares acquired would be adjusted to reflect the disallowed loss).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Taxation of U.S. Stockholders on a Redemption of Preferred Stock and Depositary Shares</w:t>
      </w:r>
    </w:p>
    <w:p>
      <w:pPr>
        <w:spacing w:after="0" w:line="113"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A redemption of the Company’s preferred stock and depositary shares will be treated under Section 302 of the Code as a distribution that is taxable as dividend income (to the extent of its current or accumulated earnings and profits), unless the redemption satisfies certain tests set forth in Section 302(b) of the Code enabling the redemption to be treated as a sale of the preferred stock or depositary shares (in which case the redemption will be treated in the same manner as a sale described above in the section entitled “—Taxation of U.S. Stockholders on the Disposition of Our Stock”). The redemption will satisfy such tests if it: (i) is “substantially disproportionate” with respect to the U.S. stockholder’s interest in our stock; (ii) results in a “complete termination” of the U.S. stockholder’s interest in all classes of our stock; or (iii) is “not essentially equivalent to a dividend” with respect to the stockholder, all within the meaning of Section 302(b) of the Code. In determining whether any of these tests have been met, stock considered to be owned by the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stockholder of the preferred stock or depositary shares depends upon the facts and circumstances at the time that the determination must be made, prospective investors are urged to consult their tax advisors to determine such tax treatment. If a redemption of the Company’s preferred stock or depositary shares does not meet any of the three tests described above, the redemption proceeds will be treated as a distribution, as described above in the section entitled “—Taxation of U.S. Stockholders on Distributions on Our Stock.” In that case, a U.S. stockholder’s adjusted tax basis in the redeemed preferred stock or depositary shares will be transferred to such U.S. stockholder’s remaining stock holdings in the Company. If the U.S. stockholder does not retain any of the Company’s shares, such basis could be transferred to a related person that holds our stock or it may be lost.</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Under proposed Treasury Regulations, if any portion of the amount received by a U.S. stockholder on a redemption of any class of the Company’s preferred stock or depositary shares is treated as a distribution with respect to our stock but not as a taxable dividend, then such portion will be allocated to all stock of the redeemed class held by the redeemed stockholder just before the redemption on a pro-rata, share-by-share, basis. The amount applied to each share will first reduce the redeemed U.S. stockholder’s basis in that share and any excess after the basis is reduced to zero will result in taxable gain. If the redeemed stockholder has different bases in its shares, then the amount allocated could reduce some of the basis in certain shares while reducing all the basis and giving rise to taxable gain in others. Thus, the redeemed U.S. stockholder could have gain even if such U.S. stockholder’s basis in all its shares of the redeemed class exceeded such portion.</w:t>
      </w:r>
    </w:p>
    <w:p>
      <w:pPr>
        <w:spacing w:after="0" w:line="94" w:lineRule="exact"/>
        <w:rPr>
          <w:sz w:val="20"/>
          <w:szCs w:val="20"/>
          <w:color w:val="auto"/>
        </w:rPr>
      </w:pPr>
    </w:p>
    <w:p>
      <w:pPr>
        <w:ind w:right="240" w:firstLine="351"/>
        <w:spacing w:after="0" w:line="244" w:lineRule="auto"/>
        <w:rPr>
          <w:sz w:val="20"/>
          <w:szCs w:val="20"/>
          <w:color w:val="auto"/>
        </w:rPr>
      </w:pPr>
      <w:r>
        <w:rPr>
          <w:rFonts w:ascii="Arial" w:cs="Arial" w:eastAsia="Arial" w:hAnsi="Arial"/>
          <w:sz w:val="16"/>
          <w:szCs w:val="16"/>
          <w:color w:val="auto"/>
        </w:rPr>
        <w:t>The proposed Treasury Regulations permit the transfer of basis in the redeemed preferred or depositary shares to the redeemed U.S. stockholder’s remaining, unredeemed preferred or depositary shares of the same class, if any, but not to any other class of shares held, directly or indirectly, by the redeemed U.S. stockholder. Instead, any unrecovered basis in the redeemed preferred or depositary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Capital Gains and Losses</w:t>
      </w:r>
    </w:p>
    <w:p>
      <w:pPr>
        <w:spacing w:after="0" w:line="113" w:lineRule="exact"/>
        <w:rPr>
          <w:sz w:val="20"/>
          <w:szCs w:val="20"/>
          <w:color w:val="auto"/>
        </w:rPr>
      </w:pPr>
    </w:p>
    <w:p>
      <w:pPr>
        <w:ind w:firstLine="351"/>
        <w:spacing w:after="0" w:line="283" w:lineRule="auto"/>
        <w:rPr>
          <w:sz w:val="20"/>
          <w:szCs w:val="20"/>
          <w:color w:val="auto"/>
        </w:rPr>
      </w:pPr>
      <w:r>
        <w:rPr>
          <w:rFonts w:ascii="Arial" w:cs="Arial" w:eastAsia="Arial" w:hAnsi="Arial"/>
          <w:sz w:val="14"/>
          <w:szCs w:val="14"/>
          <w:color w:val="auto"/>
        </w:rPr>
        <w:t>A taxpayer generally must hold a capital asset for more than one year for gain or loss derived from its sale or exchange to be treated as long-term capital gain or loss. The highest marginal individual income tax rate is currently 37%. However, the maximum tax rate on long-term capital gain applicable to U.S. stockholders taxed at individual rates is 20%. The maximum tax rate on long-term capital gain from the sale or exchange of “Section 1250 property,” which we refer to as depreciable real property, is 25% computed on the lesser of the total amount of the gain or the accumulated Section 1250 depreciation. In addition, capital gains recognized by certain individuals, trusts and estates whose income exceeds certain thresholds are subject to a 3.8% Medicare tax. With respect to distributions that the Company designates as capital gain dividends and any retained capital gain that it is deemed to distribute, the Company generally may designate whether such a distribution is taxable to its U.S. stockholders taxed at individual rates at a 20% or 25% rate. Thus, the tax rate differential between capital gain and ordinary income for those taxpayers may be significant.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Expansion of Medicare Tax</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Health Care and Reconciliation Act of 2010 requires that, in certain circumstances, certain U.S. holders that are individuals, estates, and trusts pay a</w:t>
      </w:r>
    </w:p>
    <w:p>
      <w:pPr>
        <w:spacing w:after="0"/>
        <w:rPr>
          <w:sz w:val="20"/>
          <w:szCs w:val="20"/>
          <w:color w:val="auto"/>
        </w:rPr>
      </w:pPr>
      <w:r>
        <w:rPr>
          <w:rFonts w:ascii="Arial" w:cs="Arial" w:eastAsia="Arial" w:hAnsi="Arial"/>
          <w:sz w:val="14"/>
          <w:szCs w:val="14"/>
          <w:color w:val="auto"/>
        </w:rPr>
        <w:t>3.8% tax on “net investment income,” which includes, among other things, dividends on and gains from the sale or other disposition of REIT shares. The temporary</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20% deduction allowed by Section 199A of the Code with respect to ordinary REIT dividends received by non-corporate taxpayers is allowed only for purposes of</w:t>
      </w:r>
    </w:p>
    <w:p>
      <w:pPr>
        <w:spacing w:after="0" w:line="217" w:lineRule="auto"/>
        <w:rPr>
          <w:sz w:val="20"/>
          <w:szCs w:val="20"/>
          <w:color w:val="auto"/>
        </w:rPr>
      </w:pPr>
      <w:r>
        <w:rPr>
          <w:rFonts w:ascii="Arial" w:cs="Arial" w:eastAsia="Arial" w:hAnsi="Arial"/>
          <w:sz w:val="16"/>
          <w:szCs w:val="16"/>
          <w:color w:val="auto"/>
        </w:rPr>
        <w:t>Chapter 1 of the Code and thus is apparently not allowed as a deduction allocable to such dividends for purposes of determining the amount of net investment</w:t>
      </w:r>
    </w:p>
    <w:p>
      <w:pPr>
        <w:spacing w:after="0"/>
        <w:rPr>
          <w:sz w:val="20"/>
          <w:szCs w:val="20"/>
          <w:color w:val="auto"/>
        </w:rPr>
      </w:pPr>
      <w:r>
        <w:rPr>
          <w:rFonts w:ascii="Arial" w:cs="Arial" w:eastAsia="Arial" w:hAnsi="Arial"/>
          <w:sz w:val="14"/>
          <w:szCs w:val="14"/>
          <w:color w:val="auto"/>
        </w:rPr>
        <w:t>income subject to the 3.8% Medicare tax, which is imposed under Chapter 2A of the Code. Prospective investors should consult their own tax advisors regarding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this legislation.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Taxation of Tax-Exempt Stockholders</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Tax-exempt entities, including qualified employee pension and profit-sharing trusts and individual retirement accounts and annuities, generally are exempt from U.S. federal income taxation. However, they are subject to taxation on their unrelated business taxable income, which we refer to as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the Company distributes to tax-exempt stockholders generally should not constitute UBTI. However, if a tax-exempt stockholder were to finance its investment in our stock with debt, a portion of the income that it receives from the Company would constitute UBTI pursuant to the “debt-financed property” rules. Furthermore, social clubs, voluntary employee benefit associations, supplemental unemployment benefit trusts and qualified group legal services plans that are exempt from taxation under special provisions of the U.S. federal income tax laws are subject to different UBTI rules, which generally will require them to characterize distributions that they receive from the Company as UBTI. Finally, in certain circumstances, a qualified employee pension or profit-sharing trust that owns more than 10% of our stock is required to treat a percentage of the dividends that it receives from the Company as UBTI if the Company is a “pension-held REIT.” Such percentage is equal to the gross income that the Company derives from an unrelated trade or business, determined as if the Company were a pension trust, divided by the Company’s total gross income for the year in which the Company pays the dividends. That rule applies to a pension trust holding more than 10% of our stock only if:</w:t>
      </w:r>
    </w:p>
    <w:p>
      <w:pPr>
        <w:spacing w:after="0" w:line="94" w:lineRule="exact"/>
        <w:rPr>
          <w:sz w:val="20"/>
          <w:szCs w:val="20"/>
          <w:color w:val="auto"/>
        </w:rPr>
      </w:pPr>
    </w:p>
    <w:p>
      <w:pPr>
        <w:ind w:left="560" w:hanging="145"/>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percentage of the Company’s dividends that the tax-exempt trust would be required to treat as UBTI is at least 5%;</w:t>
      </w:r>
    </w:p>
    <w:p>
      <w:pPr>
        <w:spacing w:after="0" w:line="96" w:lineRule="exact"/>
        <w:rPr>
          <w:rFonts w:ascii="Arial" w:cs="Arial" w:eastAsia="Arial" w:hAnsi="Arial"/>
          <w:sz w:val="16"/>
          <w:szCs w:val="16"/>
          <w:color w:val="auto"/>
        </w:rPr>
      </w:pPr>
    </w:p>
    <w:p>
      <w:pPr>
        <w:ind w:left="560" w:right="380" w:hanging="145"/>
        <w:spacing w:after="0" w:line="246" w:lineRule="auto"/>
        <w:tabs>
          <w:tab w:leader="none" w:pos="55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qualifies as a REIT by reason of the modification of the rule requiring that no more than 50% of our stock be owned by five or fewer individuals that allows the beneficiaries of the pension trust to be treated as holding our stock in proportion to its actuarial interests in the pension trust (refer to the section entitled “—Requirements for Qualification”); and</w:t>
      </w:r>
    </w:p>
    <w:p>
      <w:pPr>
        <w:spacing w:after="0" w:line="89" w:lineRule="exact"/>
        <w:rPr>
          <w:rFonts w:ascii="Arial" w:cs="Arial" w:eastAsia="Arial" w:hAnsi="Arial"/>
          <w:sz w:val="16"/>
          <w:szCs w:val="16"/>
          <w:color w:val="auto"/>
        </w:rPr>
      </w:pPr>
    </w:p>
    <w:p>
      <w:pPr>
        <w:ind w:left="560" w:right="120" w:hanging="145"/>
        <w:spacing w:after="0" w:line="248" w:lineRule="auto"/>
        <w:tabs>
          <w:tab w:leader="none" w:pos="556" w:val="left"/>
        </w:tabs>
        <w:numPr>
          <w:ilvl w:val="0"/>
          <w:numId w:val="85"/>
        </w:numPr>
        <w:rPr>
          <w:rFonts w:ascii="Arial" w:cs="Arial" w:eastAsia="Arial" w:hAnsi="Arial"/>
          <w:sz w:val="16"/>
          <w:szCs w:val="16"/>
          <w:color w:val="auto"/>
        </w:rPr>
      </w:pPr>
      <w:r>
        <w:rPr>
          <w:rFonts w:ascii="Arial" w:cs="Arial" w:eastAsia="Arial" w:hAnsi="Arial"/>
          <w:sz w:val="16"/>
          <w:szCs w:val="16"/>
          <w:color w:val="auto"/>
        </w:rPr>
        <w:t>either: (i) one pension trust owns more than 25% of the value of our stock; or (ii) a group of pension trusts individually holding more than 10% of the value of our stock collectively owns more than 50% of the value of our stock.</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Taxation of Non-U.S. Stockholders</w:t>
      </w:r>
    </w:p>
    <w:p>
      <w:pPr>
        <w:spacing w:after="0" w:line="115"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term “non-U.S. stockholder” means a beneficial owner of our stock that is not a U.S. stockholder or a partnership (or other entity or arrangement treated as a partnership for U.S. federal income tax purposes). The rules governing U.S. federal income taxation of non-U.S. stockholders are complex. This section is only a summary of such rules. Non-U.S. stockholders are urged to consult their tax advisors to determine the impact of U.S. federal, state, local and foreign income tax laws on the ownership of our stock, including any reporting requirements.</w:t>
      </w:r>
    </w:p>
    <w:p>
      <w:pPr>
        <w:spacing w:after="0" w:line="91"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A non-U.S. stockholder that receives a distribution that is not attributable to gain from the Company’s sale or exchange of a “United States real property interest,” which we refer to as USRPI, and that the Company does not designate as a capital gain dividend or retained capital gain, will recognize ordinary income to the extent that the Company pays such distribution out of its current or accumulated earnings and profits. A withholding tax equal to 30% of the gross amount of the distribution ordinarily will apply to such distribution unless an applicable tax treaty reduces or eliminates the tax. If a distribution is treated as effectively connected with the non-U.S. stockholder’s conduct of a U.S. trade or business, the non-U.S. stockholder generally will be subject to U.S. federal income tax on the distribution at graduated rates, in the same manner as U.S. stockholders are taxed with respect to such distribution, and a non-U.S. stockholder that is a corporation also may be subject to the 30% branch profits tax with respect to the distribution. The Company plans to withhold U.S. income tax at the rate of 30% on the gross amount of any such distribution paid to a non-U.S. stockholder unless either: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560" w:hanging="145"/>
        <w:spacing w:after="0" w:line="248" w:lineRule="auto"/>
        <w:tabs>
          <w:tab w:leader="none" w:pos="55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lower treaty rate applies and the non-U.S. stockholder provides an IRS Form W-8BEN or W-8BEN-E to the Company evidencing eligibility for that reduced rate; or</w:t>
      </w:r>
    </w:p>
    <w:p>
      <w:pPr>
        <w:spacing w:after="0" w:line="87" w:lineRule="exact"/>
        <w:rPr>
          <w:rFonts w:ascii="Arial" w:cs="Arial" w:eastAsia="Arial" w:hAnsi="Arial"/>
          <w:sz w:val="16"/>
          <w:szCs w:val="16"/>
          <w:color w:val="auto"/>
        </w:rPr>
      </w:pPr>
    </w:p>
    <w:p>
      <w:pPr>
        <w:ind w:left="560" w:hanging="145"/>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non-U.S. stockholder files an IRS Form W-8ECI with the Company claiming that the distribution is effectively connected income.</w:t>
      </w:r>
    </w:p>
    <w:p>
      <w:pPr>
        <w:spacing w:after="0" w:line="97"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A non-U.S. stockholder will not incur tax on a distribution in excess of the Company’s current and accumulated earnings and profits if the excess portion of such distribution does not exceed the stockholder’s adjusted basis of its stock. Instead, the excess portion of such distribution will reduce the adjusted basis of such stock. A non-U.S. stockholder will be subject to tax on a distribution that exceeds both the Company’s current and accumulated earnings and profits and the stockholder’s adjusted basis of its stock, if the non-U.S. stockholder otherwise would be subject to tax on gain from the sale or disposition of its stock, as described below. Because the Company generally cannot determine at the time it makes a distribution whether the distribution will exceed its current and accumulated earnings and profits, the Company normally will withhold tax on the entire amount of any distribution at the same rate as it would withhold on a dividend. However, a non-U.S. stockholder may claim a refund of amounts that the Company withholds if the Company later determines that a distribution in fact exceeded the Company’s current and accumulated earnings and profits.</w:t>
      </w:r>
    </w:p>
    <w:p>
      <w:pPr>
        <w:spacing w:after="0" w:line="94"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If the Company is treated as a “United States real property holding corporation,” as described below, it will be required to withhold 15% of any distribution that exceeds its current and accumulated earnings and profits. Consequently, although the Company intends to withhold at a rate of 30% on the entire amount of any distribution, to the extent that it does not do so, the Company may withhold at a rate of 15% on any portion of a distribution not subject to withholding at a rate of 30%.</w:t>
      </w:r>
    </w:p>
    <w:p>
      <w:pPr>
        <w:spacing w:after="0" w:line="91"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For any year in which the Company qualifies as a REIT, a non-U.S. stockholder will incur tax on distributions that are attributable to gain from the Company’s sale or exchange of a USRPI under the Foreign Investment in Real Property Tax Act of 1980, which we refer to as FIRPTA. A USRPI includes certain interests in real property and stock in “United States real property holding corporations,” which are corporations at least 50% of whose assets consist of interests in real property. Under FIRPTA, a non-U.S. stockholder is taxed on distributions attributable to gain from sales of USRPIs as if such gain were effectively connected with a U.S. business of the non-U.S. stockholder. A non-U.S. stockholder thus would be taxed on such a distribution at the normal capital gains rates applicable to U.S. stockholders, subject to applicable alternative minimum tax and a special alternative minimum tax in the case of a nonresident alien individual. A non-U.S. corporate stockholder not entitled to treaty relief or an exemption also may be subject to the 30% branch profits tax on such a distribution. The Company must withhold 21% of any distribution that it could designate as a capital gain dividend. A non-U.S. stockholder may receive a credit against its tax liability for the amount the Company withholds.</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Capital gain distributions to a non-U.S. stockholder that are attributable to the Company’s sale of real property will be treated as ordinary dividends rather than as gain from the sale of a USRPI, as long as: (i)(A) such class of our stock is “regularly traded” on an established securities market in the United States; and (B) the non-U.S. stockholder did not own more than 10% of the applicable class of our stock at any time during the one-year period prior to the distribution; or (ii) the non-U.S. stockholder was treated as a “qualified shareholder” as discussed below. As a result, non-U.S. stockholders owning 10% or less of the applicable class of our stock that is “regularly traded” generally will be subject to withholding tax on such capital gain distributions in the same manner as they are subject to withholding tax on ordinary dividends. If a class of our stock is not regularly traded on an established securities market in the United States or the non-U.S. stockholder owned more than 10% of our stock at any time during the one-year period prior to the distribution, capital gain distributions that are attributable to the Company’s sale of real property would be subject to tax under FIRPTA, as described in the preceding paragraph. Moreover, if a non-U.S. stockholder disposes of our stock during the 30-day period preceding a dividend payment, and such non-U.S. stockholder (or a person related to such non-U.S. stockholder) acquires or enters into a contract or option to acquire our stock within 61 days of the first day of the 30-day period described above, and any portion of such dividend payment would, but for the disposition, be treated as a USRPI capital gain to such non-U.S. stockholder, then such non-U.S. stockholder shall be treated as having USRPI capital gain in an amount that, but for the disposition, would have been treated as USRPI capital gain.</w:t>
      </w:r>
    </w:p>
    <w:p>
      <w:pPr>
        <w:spacing w:after="0" w:line="94"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Although the law is not clear on the matter, it appears that amounts the Company designates as retained capital gains in respect of the stock held by U.S. stockholders generally should be treated with respect to non-U.S. stockholders in the same manner as actual distributions by the Company of capital gain dividends. Under this approach, a non-U.S. stockholder would be able to offset as a credit against its U.S. federal income tax liability its proportionate share of the tax paid by the Company on such retained capital gains, and to receive from the IRS a refund to the extent the non-U.S. stockholder’s proportionate share of such tax paid by the Company exceeds its actual U.S. federal income tax liability, provided that the non-U.S. stockholder furnishes required information to the IRS on a timely basis, which may require the filing of a tax return with the IRS.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A non-U.S. stockholder generally will not incur tax under FIRPTA with respect to gain realized upon a disposition of our stock as long as the Company: (i) is not a “United States real property holding corporation” during a specified testing period; or (ii) is a domestically controlled qualified investment entity. A domestically controlled qualified investment entity includes a REIT, less than 50% of the value of which is held directly or indirectly by foreign persons at all times during a specified testing period. The Company believes that it will be a domestically controlled qualified investment entity, but because our stock will be publicly traded, it cannot assure you that it in fact will be a domestically controlled qualified investment entity. However, even if the Company were a “United States real property holding corporation” and it were not a domestically controlled qualified investment entity, a non-U.S. stockholder that owned, actually or constructively, 10% or less of the applicable class of our stock at all times during a specified testing period would not incur tax under FIRPTA if that class of our stock is “regularly traded” on an established securities market. Because the Company expects that its common and preferred stock will be regularly traded on an established securities market, a non-U.S. stockholder will not incur tax under FIRPTA with respect to any such gain unless it owns, actually or constructively, more than 10% of the applicable class of our stock. If the gain on the sale of our stock were taxed under FIRPTA, a non-U.S. stockholder would be taxed in the same manner as U.S. stockholders with respect to such gain, subject to applicable alternative minimum tax or a special alternative minimum tax in the case of nonresident alien individuals. Furthermore, a non-U.S. stockholder will incur tax on gain not subject to FIRPTA if: (i) the gain is effectively connected with the non-U.S. stockholder’s U.S. trade or business, in which case the non-U.S. stockholder will be subject to the same treatment as U.S. stockholders with respect to such gain; or (ii) the non-U.S. stockholder is a nonresident alien individual who was present in the United States for 183 days or more during the taxable year and has a “tax home” in the United States, in which case the non-U.S. stockholder will incur a 30% tax on his capital gains.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Qualified Shareholders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Subject to the exception discussed below, any distribution to a “qualified shareholder,” as defined below, who holds our stock directly or indirectly (through one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or more partnerships) will not be subject to U.S. tax as income effectively connected with a U.S. trade or business and thus will not be subject to special withholding</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rules under FIRPTA. While a “qualified shareholder” will not be subject to FIRPTA withholding on REIT distributions, certain investors of a “qualified shareholder”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i.e</w:t>
      </w:r>
      <w:r>
        <w:rPr>
          <w:rFonts w:ascii="Arial" w:cs="Arial" w:eastAsia="Arial" w:hAnsi="Arial"/>
          <w:sz w:val="14"/>
          <w:szCs w:val="14"/>
          <w:color w:val="auto"/>
        </w:rPr>
        <w:t>., non-U.S. persons who hold interests in the “qualified shareholder” (other than interests solely as a creditor), and hold more than 10% of our stock (whether or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not by reason of the investor’s ownership in the “qualified shareholder”)) may be subject to FIRPTA withholding.</w:t>
      </w:r>
    </w:p>
    <w:p>
      <w:pPr>
        <w:spacing w:after="0" w:line="97"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In addition, a sale of our stock by a “qualified shareholder” who holds such stock directly or indirectly (through one or more partnerships) will not be subject to U.S. federal income taxation under FIRPTA. As with distributions, certain investors of a “qualified shareholder” (</w:t>
      </w:r>
      <w:r>
        <w:rPr>
          <w:rFonts w:ascii="Arial" w:cs="Arial" w:eastAsia="Arial" w:hAnsi="Arial"/>
          <w:sz w:val="16"/>
          <w:szCs w:val="16"/>
          <w:i w:val="1"/>
          <w:iCs w:val="1"/>
          <w:color w:val="auto"/>
        </w:rPr>
        <w:t>i.e</w:t>
      </w:r>
      <w:r>
        <w:rPr>
          <w:rFonts w:ascii="Arial" w:cs="Arial" w:eastAsia="Arial" w:hAnsi="Arial"/>
          <w:sz w:val="16"/>
          <w:szCs w:val="16"/>
          <w:color w:val="auto"/>
        </w:rPr>
        <w:t>., non-U.S. persons who hold interests in the “qualified shareholder” (other than interests solely as a creditor), and hold more than 10% of our stock (whether or not by reason of the investor’s ownership in the “qualified shareholder”)) may be subject to FIRPTA withholding on a sale of our stock.</w:t>
      </w:r>
    </w:p>
    <w:p>
      <w:pPr>
        <w:spacing w:after="0" w:line="91"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A “qualified shareholder” is a foreign person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 with the United States and has a class of limited partnership units representing greater than 50% of the value of all the partnership units that are regularly traded on the NYSE or NASDAQ markets; (ii) is a qualified collective investment vehicle, as defined below; and (iii) maintains records on the identity of each person who, at any time during the foreign person’s taxable year, is the direct owner of 5% or more of the class of interests or units, as applicable, described in (i), above.</w:t>
      </w:r>
    </w:p>
    <w:p>
      <w:pPr>
        <w:spacing w:after="0" w:line="94"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A qualified collective investment vehicle is a foreign person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Treasury and is either (A) fiscally transparent within the meaning of Section 894 of the Code or (B) required to include dividends in its gross income, but is entitled to a deduction for distributions to its investors.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Qualified Foreign Pension Funds</w:t>
      </w:r>
    </w:p>
    <w:p>
      <w:pPr>
        <w:spacing w:after="0" w:line="113"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Any distribution to a “qualified foreign pension fund” (or an entity all of the interests of which are held by a “qualified foreign pension fund”) who holds our stock directly or indirectly (through one or more partnerships) will not be subject to U.S. tax as income effectively connected with a U.S. trade or business and thus will not be subject to special withholding rules under FIRPTA. In addition, a sale of our stock by a “qualified foreign pension fund” that holds such stock directly or indirectly (through one or more partnerships) will not be subject to U.S. federal income taxation under FIRPTA.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A qualified foreign pension fund is any trust, corporation or other organization or arrangement: (i) which is created or organized under the law of a country other than the United States; (ii) which is established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provides annual information reporting about its beneficiaries to the relevant tax authorities in the country in 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FATCA Withholding</w:t>
      </w:r>
    </w:p>
    <w:p>
      <w:pPr>
        <w:spacing w:after="0" w:line="113"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Under the Foreign Account Tax Compliance Act, which we refer to as FATCA, a U.S. withholding tax at a 30% rate will be imposed on dividends paid on our stock received by certain non-U.S. stockholders if certain disclosure requirements related to U.S. accounts or ownership are not satisfied. In addition, if those disclosure requirements are not satisfied, a U.S. withholding tax at a 30% rate will be imposed on proceeds from the sale of our stock received after December 31, 2018 by certain non-U.S. stockholders (subject to the proposed Treasury Regulations discussed below). If payment of withholding taxes is required, non-U.S. stockholders that are otherwise eligible for an exemption from, or reduction of, U.S. withholding taxes with respect to such dividends and proceeds will be required to seek a refund from the IRS to obtain the benefit of such exemption or reduction. The Company will not pay any additional amounts in respect of any amounts withheld.</w:t>
      </w:r>
    </w:p>
    <w:p>
      <w:pPr>
        <w:spacing w:after="0" w:line="94" w:lineRule="exact"/>
        <w:rPr>
          <w:sz w:val="20"/>
          <w:szCs w:val="20"/>
          <w:color w:val="auto"/>
        </w:rPr>
      </w:pPr>
    </w:p>
    <w:p>
      <w:pPr>
        <w:jc w:val="both"/>
        <w:ind w:right="380" w:firstLine="351"/>
        <w:spacing w:after="0" w:line="246" w:lineRule="auto"/>
        <w:rPr>
          <w:sz w:val="20"/>
          <w:szCs w:val="20"/>
          <w:color w:val="auto"/>
        </w:rPr>
      </w:pPr>
      <w:r>
        <w:rPr>
          <w:rFonts w:ascii="Arial" w:cs="Arial" w:eastAsia="Arial" w:hAnsi="Arial"/>
          <w:sz w:val="16"/>
          <w:szCs w:val="16"/>
          <w:color w:val="auto"/>
        </w:rPr>
        <w:t>While withholding under FATCA would have applied to payments of gross proceeds from the sale or disposition of our stock received after December 31, 2018, proposed Treasury Regulations eliminate FATCA withholding on payments of gross proceeds entirely. Taxpayers generally may rely on these proposed Treasury Regulations until final Treasury Regulations are issued.</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Information Reporting Requirements and Backup Withholding; Shares Held Offshore</w:t>
      </w:r>
    </w:p>
    <w:p>
      <w:pPr>
        <w:spacing w:after="0" w:line="115" w:lineRule="exact"/>
        <w:rPr>
          <w:sz w:val="20"/>
          <w:szCs w:val="20"/>
          <w:color w:val="auto"/>
        </w:rPr>
      </w:pPr>
    </w:p>
    <w:p>
      <w:pPr>
        <w:ind w:right="80" w:firstLine="351"/>
        <w:spacing w:after="0" w:line="317" w:lineRule="auto"/>
        <w:rPr>
          <w:sz w:val="20"/>
          <w:szCs w:val="20"/>
          <w:color w:val="auto"/>
        </w:rPr>
      </w:pPr>
      <w:r>
        <w:rPr>
          <w:rFonts w:ascii="Arial" w:cs="Arial" w:eastAsia="Arial" w:hAnsi="Arial"/>
          <w:sz w:val="14"/>
          <w:szCs w:val="14"/>
          <w:color w:val="auto"/>
        </w:rPr>
        <w:t>The Company will report to its stockholders and to the IRS the amount of distributions it pays during each calendar year, and the amount of tax it withholds, if any. Under the backup withholding rules, a stockholder may be subject to backup withholding at a rate of 28% with respect to distributions unless the holder:</w:t>
      </w:r>
    </w:p>
    <w:p>
      <w:pPr>
        <w:spacing w:after="0" w:line="42" w:lineRule="exact"/>
        <w:rPr>
          <w:sz w:val="20"/>
          <w:szCs w:val="20"/>
          <w:color w:val="auto"/>
        </w:rPr>
      </w:pPr>
    </w:p>
    <w:p>
      <w:pPr>
        <w:ind w:left="560" w:hanging="145"/>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is a corporation or qualifies for certain other exempt categories and, when required, demonstrates this fact; or</w:t>
      </w:r>
    </w:p>
    <w:p>
      <w:pPr>
        <w:spacing w:after="0" w:line="96" w:lineRule="exact"/>
        <w:rPr>
          <w:rFonts w:ascii="Arial" w:cs="Arial" w:eastAsia="Arial" w:hAnsi="Arial"/>
          <w:sz w:val="16"/>
          <w:szCs w:val="16"/>
          <w:color w:val="auto"/>
        </w:rPr>
      </w:pPr>
    </w:p>
    <w:p>
      <w:pPr>
        <w:ind w:left="560" w:right="600" w:hanging="145"/>
        <w:spacing w:after="0" w:line="248" w:lineRule="auto"/>
        <w:tabs>
          <w:tab w:leader="none" w:pos="556"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provides a taxpayer identification number, certifies as to no loss of exemption from backup withholding, and otherwise complies with the applicable requirements of the backup withholding rules.</w:t>
      </w:r>
    </w:p>
    <w:p>
      <w:pPr>
        <w:spacing w:after="0" w:line="88" w:lineRule="exact"/>
        <w:rPr>
          <w:sz w:val="20"/>
          <w:szCs w:val="20"/>
          <w:color w:val="auto"/>
        </w:rPr>
      </w:pPr>
    </w:p>
    <w:p>
      <w:pPr>
        <w:ind w:right="120" w:firstLine="351"/>
        <w:spacing w:after="0" w:line="246" w:lineRule="auto"/>
        <w:rPr>
          <w:sz w:val="20"/>
          <w:szCs w:val="20"/>
          <w:color w:val="auto"/>
        </w:rPr>
      </w:pPr>
      <w:r>
        <w:rPr>
          <w:rFonts w:ascii="Arial" w:cs="Arial" w:eastAsia="Arial" w:hAnsi="Arial"/>
          <w:sz w:val="16"/>
          <w:szCs w:val="16"/>
          <w:color w:val="auto"/>
        </w:rPr>
        <w:t>A stockholder who does not provide the Company with its correct taxpayer identification number also may be subject to penalties imposed by the IRS. Any amount paid as backup withholding will be creditable against the stockholder’s income tax liability. In addition, the Company may be required to withhold a portion of capital gain distributions to any U.S. stockholders who fail to certify their non-foreign status to the Company.</w:t>
      </w:r>
    </w:p>
    <w:p>
      <w:pPr>
        <w:spacing w:after="0" w:line="89"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Backup withholding will generally not apply to payments of dividends made by the Company or its paying agents, in their capacities as such, to a non-U.S. stockholder, provided that the non-U.S. stockholder furnishes to the Company or its paying agent the required certification as to its non-U.S. status, such as providing a valid IRS Form W-8BEN, W-8BEN-E or W-8ECI, or certain other requirements are met. Notwithstanding the foregoing, backup withholding may apply if either the Company or its paying agent has actual knowledge, or reason to know, that the holder is a U.S. person that is not an exempt recipient. Payments of the net proceeds from a disposition or a redemption effected outside the United States by a non-U.S. stockholder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stockholder and specified conditions are met or an exemption is otherwise established. Payment of the net proceeds from a disposition by a non-U.S. stockholder of our stock made by or through the U.S. office of a broker is generally subject to information reporting and backup withholding unless the non-U.S. stockholder certifies under penalties of perjury that it is not a U.S. person and satisfies certain other requirements or otherwise establishes an exemption from information reporting and backup withholding.</w:t>
      </w:r>
    </w:p>
    <w:p>
      <w:pPr>
        <w:spacing w:after="0" w:line="94"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refunded or credited against the stockholder’s U.S. federal income tax liability if certain required information is furnished to the IRS. Stockholders are urged to consult their own tax advisors regarding application of backup withholding to them and the availability of, and procedure for obtaining an exemption from, backup withholding.</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Under FATCA, a U.S. withholding tax at a 30% rate will be imposed on dividends paid on our stock received by U.S. stockholders who own their stock through foreign accounts or foreign intermediaries if certain disclosure requirements related to U.S. accounts or ownership are not satisfied. In addition, if those disclosure requirements are not satisfied, a U.S. withholding tax at a 30% rate will be imposed on proceeds from the sale of our stock received after December 31, 2018 by U.S. stockholders who own their shares through foreign accounts or foreign intermediaries. The Company will not pay any additional amounts in respect of any amounts withheld.</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Tax Consequences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Tax Aspects of DigitalBridge's Investments in the Operating Partnership and the Subsidiary Partnerships</w:t>
      </w:r>
    </w:p>
    <w:p>
      <w:pPr>
        <w:spacing w:after="0" w:line="113"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The following discussion summarizes certain U.S. federal income tax considerations applicable to the Company’s direct or indirect investments in the Company’s Operating Partnership and any subsidiary partnerships or limited liability companies that the Company forms or acquires interests in and that are treated as partnerships for U.S. federal income tax purposes, which we refer to, individually, as a Partnership and, collectively, as the Partnerships. The discussion does not cover state or local tax laws or any U.S. federal tax laws other than income tax laws. The Company will include in its income its proportionate share of Partnership items of income, gain, loss, deduction or credit for purposes of the REIT income tests, and will include its proportionate share of assets held by the Partnerships based on its capital interest in such partnerships (other than for purposes of the 10% value test, for which the determination of our interest in partnership assets will be based on our proportionate interest in any securities issued by the partnership, other than certain securities specifically excluded under the Code). The Company’s capital interest in a Partnership is calculated based on either the Company’s percentage ownership of the capital of the Partnership or based on the allocations provided in the applicable partnership or limited liability company operating agreement, using the more conservative calculation. Consequently, to the extent that the Company holds an equity interest in a Partnership, the Partnership’s assets and operations may affect its ability to qualify as a REIT, even though the Company may have no control, or have only limited influence, over the Partnership.</w:t>
      </w:r>
    </w:p>
    <w:p>
      <w:pPr>
        <w:spacing w:after="0" w:line="78" w:lineRule="exact"/>
        <w:rPr>
          <w:sz w:val="20"/>
          <w:szCs w:val="20"/>
          <w:color w:val="auto"/>
        </w:rPr>
      </w:pPr>
    </w:p>
    <w:p>
      <w:pPr>
        <w:ind w:right="40" w:firstLine="351"/>
        <w:spacing w:after="0" w:line="250" w:lineRule="auto"/>
        <w:rPr>
          <w:sz w:val="20"/>
          <w:szCs w:val="20"/>
          <w:color w:val="auto"/>
        </w:rPr>
      </w:pPr>
      <w:r>
        <w:rPr>
          <w:rFonts w:ascii="Arial" w:cs="Arial" w:eastAsia="Arial" w:hAnsi="Arial"/>
          <w:sz w:val="16"/>
          <w:szCs w:val="16"/>
          <w:i w:val="1"/>
          <w:iCs w:val="1"/>
          <w:color w:val="auto"/>
        </w:rPr>
        <w:t xml:space="preserve">Classification as Partnerships. </w:t>
      </w:r>
      <w:r>
        <w:rPr>
          <w:rFonts w:ascii="Arial" w:cs="Arial" w:eastAsia="Arial" w:hAnsi="Arial"/>
          <w:sz w:val="16"/>
          <w:szCs w:val="16"/>
          <w:color w:val="auto"/>
        </w:rPr>
        <w:t>The Company is entitled to include in its income its distributive share of each Partnership’s income and to deduct its distributive</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each Partnership’s losses only if such Partnership is classified for U.S. federal income tax purposes as a partnership (or an entity that is disregarded for U.S. federal income tax purposes if the entity has only one owner or member) rather than as a corporation or an association taxable as a corporation. An unincorporated domestic entity with at least two owners or members will be classified as a partnership, rather than as a corporation, for U.S. federal income tax purposes if it:</w:t>
      </w:r>
    </w:p>
    <w:p>
      <w:pPr>
        <w:spacing w:after="0" w:line="87" w:lineRule="exact"/>
        <w:rPr>
          <w:sz w:val="20"/>
          <w:szCs w:val="20"/>
          <w:color w:val="auto"/>
        </w:rPr>
      </w:pPr>
    </w:p>
    <w:p>
      <w:pPr>
        <w:ind w:left="560" w:hanging="145"/>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is treated as a partnership under the Treasury Regulations relating to entity classification or the check-the-box regulations, as described below; and</w:t>
      </w:r>
    </w:p>
    <w:p>
      <w:pPr>
        <w:spacing w:after="0" w:line="49" w:lineRule="exact"/>
        <w:rPr>
          <w:rFonts w:ascii="Arial" w:cs="Arial" w:eastAsia="Arial" w:hAnsi="Arial"/>
          <w:sz w:val="16"/>
          <w:szCs w:val="16"/>
          <w:color w:val="auto"/>
        </w:rPr>
      </w:pPr>
    </w:p>
    <w:p>
      <w:pPr>
        <w:ind w:left="560" w:hanging="145"/>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is not a “publicly traded” partnership, as defined below.</w:t>
      </w:r>
    </w:p>
    <w:p>
      <w:pPr>
        <w:spacing w:after="0" w:line="97" w:lineRule="exact"/>
        <w:rPr>
          <w:sz w:val="20"/>
          <w:szCs w:val="20"/>
          <w:color w:val="auto"/>
        </w:rPr>
      </w:pPr>
    </w:p>
    <w:p>
      <w:pPr>
        <w:ind w:right="100" w:firstLine="351"/>
        <w:spacing w:after="0" w:line="245" w:lineRule="auto"/>
        <w:rPr>
          <w:sz w:val="20"/>
          <w:szCs w:val="20"/>
          <w:color w:val="auto"/>
        </w:rPr>
      </w:pPr>
      <w:r>
        <w:rPr>
          <w:rFonts w:ascii="Arial" w:cs="Arial" w:eastAsia="Arial" w:hAnsi="Arial"/>
          <w:sz w:val="16"/>
          <w:szCs w:val="16"/>
          <w:color w:val="auto"/>
        </w:rPr>
        <w:t>Under the check-the-box regulations, an unincorporated domestic entity with at least two owners or members may elect to be classified either as an association taxable as a corporation or as a partnership. If such an entity fails to make an election, it generally will be treated as a partnership (or as an entity that is disregarded for U.S. federal income tax purposes if the entity has only one owner or member) for U.S. federal income tax purposes. Each Partnership intends to be classified as a partnership for U.S. federal income tax purposes and no Partnership will elect to be treated as an association taxable as a corporation under the check-the-box regulations.</w:t>
      </w:r>
    </w:p>
    <w:p>
      <w:pPr>
        <w:spacing w:after="0" w:line="90" w:lineRule="exact"/>
        <w:rPr>
          <w:sz w:val="20"/>
          <w:szCs w:val="20"/>
          <w:color w:val="auto"/>
        </w:rPr>
      </w:pPr>
    </w:p>
    <w:p>
      <w:pPr>
        <w:ind w:firstLine="351"/>
        <w:spacing w:after="0" w:line="282" w:lineRule="auto"/>
        <w:rPr>
          <w:sz w:val="20"/>
          <w:szCs w:val="20"/>
          <w:color w:val="auto"/>
        </w:rPr>
      </w:pPr>
      <w:r>
        <w:rPr>
          <w:rFonts w:ascii="Arial" w:cs="Arial" w:eastAsia="Arial" w:hAnsi="Arial"/>
          <w:sz w:val="14"/>
          <w:szCs w:val="14"/>
          <w:color w:val="auto"/>
        </w:rPr>
        <w:t>A publicly traded partnership is a partnership whose interests are traded on an established securities market or are readily tradable on a secondary market or the substantial equivalent thereof. A publicly traded partnership will not, however, be treated as a corporation for any taxable year if, for each taxable year beginning after December 31, 1987 in which it was classified as a publicly traded partnership, 90% or more of the partnership’s gross income for such year consists of certain passive-type income, including real property rents, gains from the sale or other disposition of real property, interest and dividends, or the 90% passive income exception. Treasury Regulations provide additional limited safe harbors from the definition of a publicly traded partnership. Pursuant to the private placement exclusion safe harbor, interests in a partnership will not be treated as readily tradable on a secondary market or the substantial equivalent thereof if: (i) all interests in the partnership were issued in a transaction or transactions that were not required to be registered under the Securities Act; and (ii) the partnership does not have more than 100 partners at any time during the partnership’s taxable year. In determining the number of partners in a partnership, a person owning an interest in a partnership, grantor trust or S corporation that owns an interest in the partnership is treated as a partner in such partnership only if: (i) substantially all of the value of the owner’s interest in the entity is attributable to the entity’s direct or indirect interest in the partnership; and (ii) a principal purpose of the use of the entity is to permit the partnership to satisfy the 100-partner limitation. Each Partnership is expected to qualify for treatment as a partnership for U.S. federal income tax purposes pursuant to the 90% passive income exception or the private placement safe harbor. The Company has not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requested, and does not intend to request, a ruling from the IRS that the Partnerships will be classified as partnerships for U.S. federal income tax purposes.</w:t>
      </w:r>
    </w:p>
    <w:p>
      <w:pPr>
        <w:spacing w:after="0" w:line="97"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If, for any reason, a Partnership in which the Company owned more than 10% of the equity were taxable as a corporation, rather than as a partnership, for U.S. federal income tax purposes, the Company likely would not be able to qualify as a REIT unless it qualified for certain relief provisions. Refer to the sections entitled “—Requirements for Qualification—Gross Income Tests” and “—Requirements for Qualification—Asset Tests.” In addition, any change in a Partnership’s status for tax purposes might be treated as a taxable event, in which case the Company might incur tax liability without any related cash distribution. Refer to the section entitled “—Requirements for Qualification—Distribution Requirements.” Further, items of income and deduction of such Partnership would not pass through to its partners, and its partners would be treated as stockholders for tax purposes. Consequently, such Partnership would be required to pay income tax at corporate rates on its net income and distributions to its partners would constitute dividends that would not be deductible in computing such Partnership’s taxable income.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Income Taxation of the Partnerships and their Partners</w:t>
      </w:r>
    </w:p>
    <w:p>
      <w:pPr>
        <w:spacing w:after="0" w:line="97" w:lineRule="exact"/>
        <w:rPr>
          <w:sz w:val="20"/>
          <w:szCs w:val="20"/>
          <w:color w:val="auto"/>
        </w:rPr>
      </w:pPr>
    </w:p>
    <w:p>
      <w:pPr>
        <w:ind w:firstLine="351"/>
        <w:spacing w:after="0" w:line="250" w:lineRule="auto"/>
        <w:rPr>
          <w:sz w:val="20"/>
          <w:szCs w:val="20"/>
          <w:color w:val="auto"/>
        </w:rPr>
      </w:pPr>
      <w:r>
        <w:rPr>
          <w:rFonts w:ascii="Arial" w:cs="Arial" w:eastAsia="Arial" w:hAnsi="Arial"/>
          <w:sz w:val="16"/>
          <w:szCs w:val="16"/>
          <w:i w:val="1"/>
          <w:iCs w:val="1"/>
          <w:color w:val="auto"/>
        </w:rPr>
        <w:t xml:space="preserve">Partners, Not the Partnerships, Subject to Tax. </w:t>
      </w:r>
      <w:r>
        <w:rPr>
          <w:rFonts w:ascii="Arial" w:cs="Arial" w:eastAsia="Arial" w:hAnsi="Arial"/>
          <w:sz w:val="16"/>
          <w:szCs w:val="16"/>
          <w:color w:val="auto"/>
        </w:rPr>
        <w:t>A partnership generally is not a taxable entity for U.S. federal income tax purposes. Rather,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take into account its allocable share of each Partnership’s income, gains, losses, deductions and credits for any taxable year of such Partnership ending within or with the Company’s taxable year, without regard to whether the Company has received or will receive any distribution from such Partnership. For taxable years beginning after December 31, 2017, however, the tax liability for adjustments to a Partnership’s tax returns made as a result of an audit by the IRS will be imposed on the Partnership itself in certain circumstances absent an election to the contrary.</w:t>
      </w:r>
    </w:p>
    <w:p>
      <w:pPr>
        <w:spacing w:after="0" w:line="71" w:lineRule="exact"/>
        <w:rPr>
          <w:sz w:val="20"/>
          <w:szCs w:val="20"/>
          <w:color w:val="auto"/>
        </w:rPr>
      </w:pPr>
    </w:p>
    <w:p>
      <w:pPr>
        <w:ind w:right="60" w:firstLine="351"/>
        <w:spacing w:after="0" w:line="249" w:lineRule="auto"/>
        <w:rPr>
          <w:sz w:val="20"/>
          <w:szCs w:val="20"/>
          <w:color w:val="auto"/>
        </w:rPr>
      </w:pPr>
      <w:r>
        <w:rPr>
          <w:rFonts w:ascii="Arial" w:cs="Arial" w:eastAsia="Arial" w:hAnsi="Arial"/>
          <w:sz w:val="16"/>
          <w:szCs w:val="16"/>
          <w:i w:val="1"/>
          <w:iCs w:val="1"/>
          <w:color w:val="auto"/>
        </w:rPr>
        <w:t xml:space="preserve">Partnership Allocations. </w:t>
      </w:r>
      <w:r>
        <w:rPr>
          <w:rFonts w:ascii="Arial" w:cs="Arial" w:eastAsia="Arial" w:hAnsi="Arial"/>
          <w:sz w:val="16"/>
          <w:szCs w:val="16"/>
          <w:color w:val="auto"/>
        </w:rPr>
        <w:t>Although a partnership agreement generally will determine the allocation of income and losses among partners, such allocations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disregarded for tax purposes if they do not comply with the provisions of the U.S. federal income tax laws governing partnership allocations. If an allocation is not recognized for U.S.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Each Partnership’s allocations of taxable income, gain and loss are intended to comply with the requirements of the U.S. federal income tax laws governing partnership allocations.</w:t>
      </w:r>
    </w:p>
    <w:p>
      <w:pPr>
        <w:spacing w:after="0" w:line="71" w:lineRule="exact"/>
        <w:rPr>
          <w:sz w:val="20"/>
          <w:szCs w:val="20"/>
          <w:color w:val="auto"/>
        </w:rPr>
      </w:pPr>
    </w:p>
    <w:p>
      <w:pPr>
        <w:ind w:firstLine="351"/>
        <w:spacing w:after="0" w:line="247" w:lineRule="auto"/>
        <w:rPr>
          <w:sz w:val="20"/>
          <w:szCs w:val="20"/>
          <w:color w:val="auto"/>
        </w:rPr>
      </w:pPr>
      <w:r>
        <w:rPr>
          <w:rFonts w:ascii="Arial" w:cs="Arial" w:eastAsia="Arial" w:hAnsi="Arial"/>
          <w:sz w:val="16"/>
          <w:szCs w:val="16"/>
          <w:i w:val="1"/>
          <w:iCs w:val="1"/>
          <w:color w:val="auto"/>
        </w:rPr>
        <w:t xml:space="preserve">Tax Allocations With Respect to Contributed Properties. </w:t>
      </w:r>
      <w:r>
        <w:rPr>
          <w:rFonts w:ascii="Arial" w:cs="Arial" w:eastAsia="Arial" w:hAnsi="Arial"/>
          <w:sz w:val="16"/>
          <w:szCs w:val="16"/>
          <w:color w:val="auto"/>
        </w:rPr>
        <w:t>Income, gain, loss and deduction attributable to appreciated or depreciated property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contributed to a partnership in a tax-deferred transaction or contributed property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or built-in gain or built-in loss, respectively, is generally equal to the difference between the fair market value of the contributed property at the time of contribution and the adjusted tax basis of such property at the time of contribution, or a book-tax difference. Such allocations are solely for U.S. federal income tax purposes and do not affect the book capital accounts or other economic or legal arrangements among the partners. The U.S. Treasury Department has issued regulations requiring partnerships to use a “reasonable method” for allocating items with respect to which there is a book-tax difference and outlining several reasonable allocation methods.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Basis in Partnership Interest. </w:t>
      </w:r>
      <w:r>
        <w:rPr>
          <w:rFonts w:ascii="Arial" w:cs="Arial" w:eastAsia="Arial" w:hAnsi="Arial"/>
          <w:sz w:val="16"/>
          <w:szCs w:val="16"/>
          <w:color w:val="auto"/>
        </w:rPr>
        <w:t>The Company’s adjusted tax basis in any Partnership generally is equal to:</w:t>
      </w:r>
    </w:p>
    <w:p>
      <w:pPr>
        <w:spacing w:after="0" w:line="113" w:lineRule="exact"/>
        <w:rPr>
          <w:sz w:val="20"/>
          <w:szCs w:val="20"/>
          <w:color w:val="auto"/>
        </w:rPr>
      </w:pPr>
    </w:p>
    <w:p>
      <w:pPr>
        <w:ind w:left="560" w:hanging="145"/>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amount of cash and the basis of any other property contributed by the Company to the Partnership;</w:t>
      </w:r>
    </w:p>
    <w:p>
      <w:pPr>
        <w:spacing w:after="0" w:line="96" w:lineRule="exact"/>
        <w:rPr>
          <w:rFonts w:ascii="Arial" w:cs="Arial" w:eastAsia="Arial" w:hAnsi="Arial"/>
          <w:sz w:val="16"/>
          <w:szCs w:val="16"/>
          <w:color w:val="auto"/>
        </w:rPr>
      </w:pPr>
    </w:p>
    <w:p>
      <w:pPr>
        <w:ind w:left="560" w:hanging="145"/>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increased by the Company’s allocable share of the Partnership’s income and its allocable share of indebtedness of the Partnership; and</w:t>
      </w:r>
    </w:p>
    <w:p>
      <w:pPr>
        <w:spacing w:after="0" w:line="96" w:lineRule="exact"/>
        <w:rPr>
          <w:rFonts w:ascii="Arial" w:cs="Arial" w:eastAsia="Arial" w:hAnsi="Arial"/>
          <w:sz w:val="16"/>
          <w:szCs w:val="16"/>
          <w:color w:val="auto"/>
        </w:rPr>
      </w:pPr>
    </w:p>
    <w:p>
      <w:pPr>
        <w:ind w:left="560" w:right="540" w:hanging="145"/>
        <w:spacing w:after="0" w:line="248" w:lineRule="auto"/>
        <w:tabs>
          <w:tab w:leader="none" w:pos="557"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reduced, but not below zero, by the Company’s allocable share of the Partnership’s loss and the amount of cash distributed to the Company and by constructive distributions resulting from a reduction in the Company’s share of indebtedness of the Partnership.</w:t>
      </w:r>
    </w:p>
    <w:p>
      <w:pPr>
        <w:spacing w:after="0" w:line="88" w:lineRule="exact"/>
        <w:rPr>
          <w:sz w:val="20"/>
          <w:szCs w:val="20"/>
          <w:color w:val="auto"/>
        </w:rPr>
      </w:pPr>
    </w:p>
    <w:p>
      <w:pPr>
        <w:ind w:right="40" w:firstLine="351"/>
        <w:spacing w:after="0" w:line="245" w:lineRule="auto"/>
        <w:rPr>
          <w:sz w:val="20"/>
          <w:szCs w:val="20"/>
          <w:color w:val="auto"/>
        </w:rPr>
      </w:pPr>
      <w:r>
        <w:rPr>
          <w:rFonts w:ascii="Arial" w:cs="Arial" w:eastAsia="Arial" w:hAnsi="Arial"/>
          <w:sz w:val="16"/>
          <w:szCs w:val="16"/>
          <w:color w:val="auto"/>
        </w:rPr>
        <w:t>If the allocation of the Company’s distributive share of the Partnership’s loss would reduce the adjusted tax basis of the Company’s partnership interest below zero, the recognition of such loss will be deferred until such time as the recognition of such loss would not reduce the Company’s adjusted tax basis below zero. To the extent that the Partnership’s distributions or any decrease in the Company’s share of the indebtedness of the Partnership, which is considered a constructive cash distribution to the partners, would reduce the Company’s adjusted tax basis below zero, such distributions or decreases will constitute taxable income to the Company. Such distributions and constructive distributions normally will be characterized as long-term capital gain.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Depreciation Deductions Available to Partnerships.</w:t>
      </w:r>
    </w:p>
    <w:p>
      <w:pPr>
        <w:spacing w:after="0" w:line="113"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The initial tax basis of property is the amount of cash and the basis of property given as consideration for the property. The Partnership’s initial basis in contributed properties acquired in exchange for units of the Partnership should be the same as the transferor’s basis in such properties on the date of acquisition. Although the law is not entirely clear, the Partnership generally will depreciate such property for U.S. federal income tax purposes over the same remaining useful lives and under the same methods used by the transferors. The Partnership’s tax depreciation deductions will be allocated among the partners in accordance with their respective interests in the Partnership, except to the extent that the Partnership is required under the U.S. federal income tax laws governing partnership allocations to use another method for allocating tax depreciation deductions attributable to contributed or revalued properties, which could result in the Company receiving a disproportionate share of such deductions.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Sale of a Partnership’s Property</w:t>
      </w:r>
    </w:p>
    <w:p>
      <w:pPr>
        <w:spacing w:after="0" w:line="113" w:lineRule="exact"/>
        <w:rPr>
          <w:sz w:val="20"/>
          <w:szCs w:val="20"/>
          <w:color w:val="auto"/>
        </w:rPr>
      </w:pPr>
    </w:p>
    <w:p>
      <w:pPr>
        <w:ind w:right="160" w:firstLine="351"/>
        <w:spacing w:after="0" w:line="244" w:lineRule="auto"/>
        <w:rPr>
          <w:sz w:val="20"/>
          <w:szCs w:val="20"/>
          <w:color w:val="auto"/>
        </w:rPr>
      </w:pPr>
      <w:r>
        <w:rPr>
          <w:rFonts w:ascii="Arial" w:cs="Arial" w:eastAsia="Arial" w:hAnsi="Arial"/>
          <w:sz w:val="16"/>
          <w:szCs w:val="16"/>
          <w:color w:val="auto"/>
        </w:rPr>
        <w:t>Generally, any gain realized by a Partnership on the sale of property held by the Partnership for more than one year will be long-term capital gain, except for any portion of such gain that is treated as depreciation or cost recovery recapture. Any gain or loss recognized by a Partnership on the disposition of contributed properties will be allocated first to the partners of the Partnership who contributed such properties to the extent of their built-in gain or loss on those properties for U.S. federal income tax purposes. The partners’ built-in gain or loss on such contributed properties will equal the difference between the partners’ proportionate share of the book value of those properties and the partners’ tax basis allocable to those properties at the time of the contribution. Any remaining gain or loss recognized by the Partnership on the disposition of the contributed properties, and any gain or loss recognized by the Partnership on the disposition of the other properties, will be allocated among the partners in accordance with their respective percentage interests in the Partnership.</w:t>
      </w:r>
    </w:p>
    <w:p>
      <w:pPr>
        <w:spacing w:after="0" w:line="94"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Company’s share of any gain realized by a Partnership on the sale of any property held by the Partnership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the Company’s ability to satisfy the income tests for REIT status. Refer to the section entitled “—Requirements for Qualification—Gross Income Tests.” The Company, however, does not presently intend to acquire or hold or to allow any Partnership to acquire or hold any property that represents inventory or other property held primarily for sale to customers in the ordinary course of the Company’s or such Partnership’s trade or business.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Treatment of Depositary Shares</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Owners of depositary shares will be treated for U.S. federal income tax purposes as if they were owners of the preferred stock represented by such depositary shares. Accordingly, such owners will be entitled to take into account, for U.S. federal income tax purposes, income and deductions to which they would be entitled if they were holders of such preferred stock. In addition, (i) no gain or loss will be recognized for U.S. federal income tax purposes upon the withdrawal of preferred stock to an exchange owner of depositary shares, (ii) the tax basis of each share of preferred stock to an exchanging owner of depositary shares will, upon such exchange, be the same as the aggregate tax basis of the depositary shares exchanged therefor, and (iii) the hold period for preferred stock in the hands of an exchanging owner of depositary shares will include the period during which such person owned such depositary shares.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Legislative or Other Actions Affecting REITs</w:t>
      </w:r>
    </w:p>
    <w:p>
      <w:pPr>
        <w:spacing w:after="0" w:line="103" w:lineRule="exact"/>
        <w:rPr>
          <w:sz w:val="20"/>
          <w:szCs w:val="20"/>
          <w:color w:val="auto"/>
        </w:rPr>
      </w:pPr>
    </w:p>
    <w:p>
      <w:pPr>
        <w:ind w:right="200" w:firstLine="351"/>
        <w:spacing w:after="0" w:line="257" w:lineRule="auto"/>
        <w:rPr>
          <w:sz w:val="20"/>
          <w:szCs w:val="20"/>
          <w:color w:val="auto"/>
        </w:rPr>
      </w:pPr>
      <w:r>
        <w:rPr>
          <w:rFonts w:ascii="Arial" w:cs="Arial" w:eastAsia="Arial" w:hAnsi="Arial"/>
          <w:sz w:val="14"/>
          <w:szCs w:val="14"/>
          <w:color w:val="auto"/>
        </w:rPr>
        <w:t>The rules dealing with U.S. federal income taxation are constantly under review by persons involved in the legislative process and by the IRS and the U.S. Treasury Department. The Company cannot give you any assurances as to whether, or in what form, any proposals affecting REITs or their stockholders will be enacted. Changes to the U.S. federal tax laws and interpretations thereof, possibly with retroactive effect, could adversely affect an investment in the Company’s stock. Stockholders should consult their tax advisors regarding the effect of potential changes to the U.S. federal tax laws and on an investment in our stock.</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State, Local and Foreign Taxes</w:t>
      </w:r>
    </w:p>
    <w:p>
      <w:pPr>
        <w:spacing w:after="0" w:line="115" w:lineRule="exact"/>
        <w:rPr>
          <w:sz w:val="20"/>
          <w:szCs w:val="20"/>
          <w:color w:val="auto"/>
        </w:rPr>
      </w:pPr>
    </w:p>
    <w:p>
      <w:pPr>
        <w:ind w:right="40" w:firstLine="351"/>
        <w:spacing w:after="0" w:line="298" w:lineRule="auto"/>
        <w:rPr>
          <w:sz w:val="20"/>
          <w:szCs w:val="20"/>
          <w:color w:val="auto"/>
        </w:rPr>
      </w:pPr>
      <w:r>
        <w:rPr>
          <w:rFonts w:ascii="Arial" w:cs="Arial" w:eastAsia="Arial" w:hAnsi="Arial"/>
          <w:sz w:val="14"/>
          <w:szCs w:val="14"/>
          <w:color w:val="auto"/>
        </w:rPr>
        <w:t>The Company and/or you may be subject to taxation by various states, localities and foreign jurisdictions, including those in which the Company or a stockholder transacts business, owns property or resides. The state, local and foreign tax treatment may differ from the U.S. federal income tax treatment described above. Consequently, you are urged to consult your tax advisors regarding the effect of state, local and foreign tax laws upon an investment in our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III</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15" w:lineRule="exact"/>
        <w:rPr>
          <w:sz w:val="20"/>
          <w:szCs w:val="20"/>
          <w:color w:val="auto"/>
        </w:rPr>
      </w:pPr>
    </w:p>
    <w:p>
      <w:pPr>
        <w:ind w:firstLine="386"/>
        <w:spacing w:after="0" w:line="248" w:lineRule="auto"/>
        <w:rPr>
          <w:sz w:val="20"/>
          <w:szCs w:val="20"/>
          <w:color w:val="auto"/>
        </w:rPr>
      </w:pPr>
      <w:r>
        <w:rPr>
          <w:rFonts w:ascii="Arial" w:cs="Arial" w:eastAsia="Arial" w:hAnsi="Arial"/>
          <w:sz w:val="16"/>
          <w:szCs w:val="16"/>
          <w:color w:val="auto"/>
        </w:rPr>
        <w:t>The information required by Item 10 is hereby incorporated by reference to the definitive proxy statement to be filed with the SEC pursuant to Regulation 14A within 120 days after our fiscal year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15" w:lineRule="exact"/>
        <w:rPr>
          <w:sz w:val="20"/>
          <w:szCs w:val="20"/>
          <w:color w:val="auto"/>
        </w:rPr>
      </w:pPr>
    </w:p>
    <w:p>
      <w:pPr>
        <w:ind w:firstLine="386"/>
        <w:spacing w:after="0" w:line="248" w:lineRule="auto"/>
        <w:rPr>
          <w:sz w:val="20"/>
          <w:szCs w:val="20"/>
          <w:color w:val="auto"/>
        </w:rPr>
      </w:pPr>
      <w:r>
        <w:rPr>
          <w:rFonts w:ascii="Arial" w:cs="Arial" w:eastAsia="Arial" w:hAnsi="Arial"/>
          <w:sz w:val="16"/>
          <w:szCs w:val="16"/>
          <w:color w:val="auto"/>
        </w:rPr>
        <w:t>The information required by Item 11 is hereby incorporated by reference to the definitive proxy statement to be filed with the SEC pursuant to Regulation 14A within 120 days after our fiscal year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5" w:lineRule="exact"/>
        <w:rPr>
          <w:sz w:val="20"/>
          <w:szCs w:val="20"/>
          <w:color w:val="auto"/>
        </w:rPr>
      </w:pPr>
    </w:p>
    <w:p>
      <w:pPr>
        <w:ind w:firstLine="386"/>
        <w:spacing w:after="0" w:line="248" w:lineRule="auto"/>
        <w:rPr>
          <w:sz w:val="20"/>
          <w:szCs w:val="20"/>
          <w:color w:val="auto"/>
        </w:rPr>
      </w:pPr>
      <w:r>
        <w:rPr>
          <w:rFonts w:ascii="Arial" w:cs="Arial" w:eastAsia="Arial" w:hAnsi="Arial"/>
          <w:sz w:val="16"/>
          <w:szCs w:val="16"/>
          <w:color w:val="auto"/>
        </w:rPr>
        <w:t>The information required by Item 12 is hereby incorporated by reference to the definitive proxy statement to be filed with the SEC pursuant to Regulation 14A within 120 days after our fiscal year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5" w:lineRule="exact"/>
        <w:rPr>
          <w:sz w:val="20"/>
          <w:szCs w:val="20"/>
          <w:color w:val="auto"/>
        </w:rPr>
      </w:pPr>
    </w:p>
    <w:p>
      <w:pPr>
        <w:ind w:firstLine="386"/>
        <w:spacing w:after="0" w:line="248" w:lineRule="auto"/>
        <w:rPr>
          <w:sz w:val="20"/>
          <w:szCs w:val="20"/>
          <w:color w:val="auto"/>
        </w:rPr>
      </w:pPr>
      <w:r>
        <w:rPr>
          <w:rFonts w:ascii="Arial" w:cs="Arial" w:eastAsia="Arial" w:hAnsi="Arial"/>
          <w:sz w:val="16"/>
          <w:szCs w:val="16"/>
          <w:color w:val="auto"/>
        </w:rPr>
        <w:t>The information required by Item 13 is hereby incorporated by reference to the definitive proxy statement to be filed with the SEC pursuant to Regulation 14A within 120 days after our fiscal year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15" w:lineRule="exact"/>
        <w:rPr>
          <w:sz w:val="20"/>
          <w:szCs w:val="20"/>
          <w:color w:val="auto"/>
        </w:rPr>
      </w:pPr>
    </w:p>
    <w:p>
      <w:pPr>
        <w:ind w:firstLine="386"/>
        <w:spacing w:after="0" w:line="248" w:lineRule="auto"/>
        <w:rPr>
          <w:sz w:val="20"/>
          <w:szCs w:val="20"/>
          <w:color w:val="auto"/>
        </w:rPr>
      </w:pPr>
      <w:r>
        <w:rPr>
          <w:rFonts w:ascii="Arial" w:cs="Arial" w:eastAsia="Arial" w:hAnsi="Arial"/>
          <w:sz w:val="16"/>
          <w:szCs w:val="16"/>
          <w:color w:val="auto"/>
        </w:rPr>
        <w:t>The information required by Item 14 is hereby incorporated by reference to the definitive proxy statement to be filed with the SEC pursuant to Regulation 14A within 120 days after our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60" w:type="dxa"/>
            <w:vAlign w:val="bottom"/>
          </w:tcPr>
          <w:p>
            <w:pPr>
              <w:ind w:left="1600"/>
              <w:spacing w:after="0"/>
              <w:rPr>
                <w:sz w:val="20"/>
                <w:szCs w:val="20"/>
                <w:color w:val="auto"/>
              </w:rPr>
            </w:pPr>
            <w:r>
              <w:rPr>
                <w:rFonts w:ascii="Arial" w:cs="Arial" w:eastAsia="Arial" w:hAnsi="Arial"/>
                <w:sz w:val="16"/>
                <w:szCs w:val="16"/>
                <w:b w:val="1"/>
                <w:bCs w:val="1"/>
                <w:color w:val="auto"/>
              </w:rPr>
              <w:t>PART IV</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1"/>
        </w:trPr>
        <w:tc>
          <w:tcPr>
            <w:tcW w:w="10580" w:type="dxa"/>
            <w:vAlign w:val="bottom"/>
            <w:gridSpan w:val="29"/>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1"/>
        </w:trPr>
        <w:tc>
          <w:tcPr>
            <w:tcW w:w="10580" w:type="dxa"/>
            <w:vAlign w:val="bottom"/>
            <w:gridSpan w:val="29"/>
          </w:tcPr>
          <w:p>
            <w:pPr>
              <w:spacing w:after="0"/>
              <w:rPr>
                <w:sz w:val="20"/>
                <w:szCs w:val="20"/>
                <w:color w:val="auto"/>
              </w:rPr>
            </w:pPr>
            <w:r>
              <w:rPr>
                <w:rFonts w:ascii="Arial" w:cs="Arial" w:eastAsia="Arial" w:hAnsi="Arial"/>
                <w:sz w:val="16"/>
                <w:szCs w:val="16"/>
                <w:b w:val="1"/>
                <w:bCs w:val="1"/>
                <w:color w:val="auto"/>
              </w:rPr>
              <w:t>(a)(1) and (2). Financial Statements and Schedules of DigitalBridge Group, Inc.</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8"/>
        </w:trPr>
        <w:tc>
          <w:tcPr>
            <w:tcW w:w="120" w:type="dxa"/>
            <w:vAlign w:val="bottom"/>
          </w:tcPr>
          <w:p>
            <w:pPr>
              <w:spacing w:after="0"/>
              <w:rPr>
                <w:sz w:val="10"/>
                <w:szCs w:val="10"/>
                <w:color w:val="auto"/>
              </w:rPr>
            </w:pPr>
          </w:p>
        </w:tc>
        <w:tc>
          <w:tcPr>
            <w:tcW w:w="440" w:type="dxa"/>
            <w:vAlign w:val="bottom"/>
            <w:gridSpan w:val="3"/>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67"/>
        </w:trPr>
        <w:tc>
          <w:tcPr>
            <w:tcW w:w="10580" w:type="dxa"/>
            <w:vAlign w:val="bottom"/>
            <w:tcBorders>
              <w:right w:val="single" w:sz="8" w:color="CCEEFF"/>
            </w:tcBorders>
            <w:gridSpan w:val="29"/>
            <w:shd w:val="clear" w:color="auto" w:fill="CCEEFF"/>
          </w:tcPr>
          <w:p>
            <w:pPr>
              <w:spacing w:after="0" w:line="152" w:lineRule="exact"/>
              <w:rPr>
                <w:rFonts w:ascii="Arial" w:cs="Arial" w:eastAsia="Arial" w:hAnsi="Arial"/>
                <w:sz w:val="14"/>
                <w:szCs w:val="14"/>
                <w:color w:val="3051F2"/>
              </w:rPr>
            </w:pPr>
            <w:hyperlink w:anchor="page104">
              <w:r>
                <w:rPr>
                  <w:rFonts w:ascii="Arial" w:cs="Arial" w:eastAsia="Arial" w:hAnsi="Arial"/>
                  <w:sz w:val="14"/>
                  <w:szCs w:val="14"/>
                  <w:color w:val="3051F2"/>
                </w:rPr>
                <w:t xml:space="preserve">Report of Independent Registered Public Accounting Firm </w:t>
              </w:r>
            </w:hyperlink>
            <w:r>
              <w:rPr>
                <w:rFonts w:ascii="Arial" w:cs="Arial" w:eastAsia="Arial" w:hAnsi="Arial"/>
                <w:sz w:val="14"/>
                <w:szCs w:val="14"/>
                <w:color w:val="000000"/>
              </w:rPr>
              <w:t>(PCAOB</w:t>
            </w:r>
            <w:r>
              <w:rPr>
                <w:rFonts w:ascii="Arial" w:cs="Arial" w:eastAsia="Arial" w:hAnsi="Arial"/>
                <w:sz w:val="14"/>
                <w:szCs w:val="14"/>
                <w:color w:val="3051F2"/>
              </w:rPr>
              <w:t xml:space="preserve"> </w:t>
            </w:r>
            <w:r>
              <w:rPr>
                <w:rFonts w:ascii="Arial" w:cs="Arial" w:eastAsia="Arial" w:hAnsi="Arial"/>
                <w:sz w:val="14"/>
                <w:szCs w:val="14"/>
                <w:color w:val="000000"/>
              </w:rPr>
              <w:t>ID: 42)</w:t>
            </w:r>
          </w:p>
        </w:tc>
        <w:tc>
          <w:tcPr>
            <w:tcW w:w="680" w:type="dxa"/>
            <w:vAlign w:val="bottom"/>
            <w:gridSpan w:val="2"/>
            <w:shd w:val="clear" w:color="auto" w:fill="CCEEFF"/>
          </w:tcPr>
          <w:p>
            <w:pPr>
              <w:jc w:val="center"/>
              <w:ind w:right="460"/>
              <w:spacing w:after="0" w:line="152" w:lineRule="exact"/>
              <w:rPr>
                <w:rFonts w:ascii="Arial" w:cs="Arial" w:eastAsia="Arial" w:hAnsi="Arial"/>
                <w:sz w:val="14"/>
                <w:szCs w:val="14"/>
                <w:color w:val="3051F2"/>
              </w:rPr>
            </w:pPr>
            <w:r>
              <w:rPr>
                <w:rFonts w:ascii="Arial" w:cs="Arial" w:eastAsia="Arial" w:hAnsi="Arial"/>
                <w:sz w:val="14"/>
                <w:szCs w:val="14"/>
                <w:color w:val="3051F2"/>
              </w:rPr>
              <w:t>F-</w:t>
            </w:r>
            <w:hyperlink w:anchor="page104">
              <w:r>
                <w:rPr>
                  <w:rFonts w:ascii="Arial" w:cs="Arial" w:eastAsia="Arial" w:hAnsi="Arial"/>
                  <w:sz w:val="14"/>
                  <w:szCs w:val="14"/>
                  <w:color w:val="3051F2"/>
                </w:rPr>
                <w:t>2</w:t>
              </w:r>
            </w:hyperlink>
          </w:p>
        </w:tc>
      </w:tr>
      <w:tr>
        <w:trPr>
          <w:trHeight w:val="160"/>
        </w:trPr>
        <w:tc>
          <w:tcPr>
            <w:tcW w:w="1860" w:type="dxa"/>
            <w:vAlign w:val="bottom"/>
            <w:tcBorders>
              <w:top w:val="single" w:sz="8" w:color="3051F2"/>
              <w:bottom w:val="single" w:sz="8" w:color="3051F2"/>
            </w:tcBorders>
            <w:gridSpan w:val="14"/>
          </w:tcPr>
          <w:p>
            <w:pPr>
              <w:spacing w:after="0" w:line="152" w:lineRule="exact"/>
              <w:rPr>
                <w:rFonts w:ascii="Arial" w:cs="Arial" w:eastAsia="Arial" w:hAnsi="Arial"/>
                <w:sz w:val="14"/>
                <w:szCs w:val="14"/>
                <w:color w:val="3051F2"/>
              </w:rPr>
            </w:pPr>
            <w:hyperlink w:anchor="page107">
              <w:r>
                <w:rPr>
                  <w:rFonts w:ascii="Arial" w:cs="Arial" w:eastAsia="Arial" w:hAnsi="Arial"/>
                  <w:sz w:val="14"/>
                  <w:szCs w:val="14"/>
                  <w:color w:val="3051F2"/>
                </w:rPr>
                <w:t>Consolidated Balance Sheets</w:t>
              </w:r>
            </w:hyperlink>
          </w:p>
        </w:tc>
        <w:tc>
          <w:tcPr>
            <w:tcW w:w="1780" w:type="dxa"/>
            <w:vAlign w:val="bottom"/>
            <w:tcBorders>
              <w:top w:val="single" w:sz="8" w:color="3051F2"/>
            </w:tcBorders>
            <w:gridSpan w:val="12"/>
          </w:tcPr>
          <w:p>
            <w:pPr>
              <w:spacing w:after="0"/>
              <w:rPr>
                <w:sz w:val="13"/>
                <w:szCs w:val="13"/>
                <w:color w:val="auto"/>
              </w:rPr>
            </w:pPr>
          </w:p>
        </w:tc>
        <w:tc>
          <w:tcPr>
            <w:tcW w:w="6940" w:type="dxa"/>
            <w:vAlign w:val="bottom"/>
            <w:tcBorders>
              <w:top w:val="single" w:sz="8" w:color="CCEEFF"/>
            </w:tcBorders>
            <w:gridSpan w:val="3"/>
          </w:tcPr>
          <w:p>
            <w:pPr>
              <w:spacing w:after="0"/>
              <w:rPr>
                <w:sz w:val="13"/>
                <w:szCs w:val="13"/>
                <w:color w:val="auto"/>
              </w:rPr>
            </w:pPr>
          </w:p>
        </w:tc>
        <w:tc>
          <w:tcPr>
            <w:tcW w:w="260" w:type="dxa"/>
            <w:vAlign w:val="bottom"/>
            <w:tcBorders>
              <w:top w:val="single" w:sz="8" w:color="3051F2"/>
              <w:bottom w:val="single" w:sz="8" w:color="3051F2"/>
            </w:tcBorders>
          </w:tcPr>
          <w:p>
            <w:pPr>
              <w:jc w:val="center"/>
              <w:spacing w:after="0" w:line="152" w:lineRule="exact"/>
              <w:rPr>
                <w:rFonts w:ascii="Arial" w:cs="Arial" w:eastAsia="Arial" w:hAnsi="Arial"/>
                <w:sz w:val="14"/>
                <w:szCs w:val="14"/>
                <w:color w:val="3051F2"/>
              </w:rPr>
            </w:pPr>
            <w:r>
              <w:rPr>
                <w:rFonts w:ascii="Arial" w:cs="Arial" w:eastAsia="Arial" w:hAnsi="Arial"/>
                <w:sz w:val="14"/>
                <w:szCs w:val="14"/>
                <w:color w:val="3051F2"/>
              </w:rPr>
              <w:t>F-</w:t>
            </w:r>
            <w:hyperlink w:anchor="page107">
              <w:r>
                <w:rPr>
                  <w:rFonts w:ascii="Arial" w:cs="Arial" w:eastAsia="Arial" w:hAnsi="Arial"/>
                  <w:sz w:val="14"/>
                  <w:szCs w:val="14"/>
                  <w:color w:val="3051F2"/>
                </w:rPr>
                <w:t>5</w:t>
              </w:r>
            </w:hyperlink>
          </w:p>
        </w:tc>
        <w:tc>
          <w:tcPr>
            <w:tcW w:w="420" w:type="dxa"/>
            <w:vAlign w:val="bottom"/>
            <w:tcBorders>
              <w:top w:val="single" w:sz="8" w:color="CCEEFF"/>
            </w:tcBorders>
          </w:tcPr>
          <w:p>
            <w:pPr>
              <w:spacing w:after="0"/>
              <w:rPr>
                <w:sz w:val="13"/>
                <w:szCs w:val="13"/>
                <w:color w:val="auto"/>
              </w:rPr>
            </w:pPr>
          </w:p>
        </w:tc>
      </w:tr>
      <w:tr>
        <w:trPr>
          <w:trHeight w:val="175"/>
        </w:trPr>
        <w:tc>
          <w:tcPr>
            <w:tcW w:w="2500" w:type="dxa"/>
            <w:vAlign w:val="bottom"/>
            <w:tcBorders>
              <w:bottom w:val="single" w:sz="8" w:color="3051F2"/>
              <w:right w:val="single" w:sz="8" w:color="CCEEFF"/>
            </w:tcBorders>
            <w:gridSpan w:val="20"/>
            <w:shd w:val="clear" w:color="auto" w:fill="CCEEFF"/>
          </w:tcPr>
          <w:p>
            <w:pPr>
              <w:spacing w:after="0" w:line="159" w:lineRule="exact"/>
              <w:rPr>
                <w:rFonts w:ascii="Arial" w:cs="Arial" w:eastAsia="Arial" w:hAnsi="Arial"/>
                <w:sz w:val="14"/>
                <w:szCs w:val="14"/>
                <w:color w:val="3051F2"/>
              </w:rPr>
            </w:pPr>
            <w:hyperlink w:anchor="page108">
              <w:r>
                <w:rPr>
                  <w:rFonts w:ascii="Arial" w:cs="Arial" w:eastAsia="Arial" w:hAnsi="Arial"/>
                  <w:sz w:val="14"/>
                  <w:szCs w:val="14"/>
                  <w:color w:val="3051F2"/>
                </w:rPr>
                <w:t>Consolidated Statements of Operations</w:t>
              </w:r>
            </w:hyperlink>
          </w:p>
        </w:tc>
        <w:tc>
          <w:tcPr>
            <w:tcW w:w="8080" w:type="dxa"/>
            <w:vAlign w:val="bottom"/>
            <w:tcBorders>
              <w:bottom w:val="single" w:sz="8" w:color="CCEEFF"/>
              <w:right w:val="single" w:sz="8" w:color="CCEEFF"/>
            </w:tcBorders>
            <w:gridSpan w:val="9"/>
            <w:shd w:val="clear" w:color="auto" w:fill="CCEEFF"/>
          </w:tcPr>
          <w:p>
            <w:pPr>
              <w:spacing w:after="0"/>
              <w:rPr>
                <w:sz w:val="15"/>
                <w:szCs w:val="15"/>
                <w:color w:val="auto"/>
              </w:rPr>
            </w:pPr>
          </w:p>
        </w:tc>
        <w:tc>
          <w:tcPr>
            <w:tcW w:w="260" w:type="dxa"/>
            <w:vAlign w:val="bottom"/>
            <w:tcBorders>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rPr>
            </w:pPr>
            <w:r>
              <w:rPr>
                <w:rFonts w:ascii="Arial" w:cs="Arial" w:eastAsia="Arial" w:hAnsi="Arial"/>
                <w:sz w:val="14"/>
                <w:szCs w:val="14"/>
                <w:color w:val="3051F2"/>
              </w:rPr>
              <w:t>F-</w:t>
            </w:r>
            <w:hyperlink w:anchor="page108">
              <w:r>
                <w:rPr>
                  <w:rFonts w:ascii="Arial" w:cs="Arial" w:eastAsia="Arial" w:hAnsi="Arial"/>
                  <w:sz w:val="14"/>
                  <w:szCs w:val="14"/>
                  <w:color w:val="3051F2"/>
                </w:rPr>
                <w:t>6</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60"/>
        </w:trPr>
        <w:tc>
          <w:tcPr>
            <w:tcW w:w="10580" w:type="dxa"/>
            <w:vAlign w:val="bottom"/>
            <w:gridSpan w:val="29"/>
          </w:tcPr>
          <w:p>
            <w:pPr>
              <w:spacing w:after="0" w:line="152" w:lineRule="exact"/>
              <w:rPr>
                <w:rFonts w:ascii="Arial" w:cs="Arial" w:eastAsia="Arial" w:hAnsi="Arial"/>
                <w:sz w:val="14"/>
                <w:szCs w:val="14"/>
                <w:color w:val="3051F2"/>
              </w:rPr>
            </w:pPr>
            <w:hyperlink w:anchor="page109">
              <w:r>
                <w:rPr>
                  <w:rFonts w:ascii="Arial" w:cs="Arial" w:eastAsia="Arial" w:hAnsi="Arial"/>
                  <w:sz w:val="14"/>
                  <w:szCs w:val="14"/>
                  <w:color w:val="3051F2"/>
                </w:rPr>
                <w:t>Consolidated Statements of Comprehensive Income (Loss)</w:t>
              </w:r>
            </w:hyperlink>
          </w:p>
        </w:tc>
        <w:tc>
          <w:tcPr>
            <w:tcW w:w="680" w:type="dxa"/>
            <w:vAlign w:val="bottom"/>
            <w:gridSpan w:val="2"/>
          </w:tcPr>
          <w:p>
            <w:pPr>
              <w:jc w:val="center"/>
              <w:ind w:right="460"/>
              <w:spacing w:after="0" w:line="152" w:lineRule="exact"/>
              <w:rPr>
                <w:rFonts w:ascii="Arial" w:cs="Arial" w:eastAsia="Arial" w:hAnsi="Arial"/>
                <w:sz w:val="14"/>
                <w:szCs w:val="14"/>
                <w:color w:val="3051F2"/>
              </w:rPr>
            </w:pPr>
            <w:r>
              <w:rPr>
                <w:rFonts w:ascii="Arial" w:cs="Arial" w:eastAsia="Arial" w:hAnsi="Arial"/>
                <w:sz w:val="14"/>
                <w:szCs w:val="14"/>
                <w:color w:val="3051F2"/>
              </w:rPr>
              <w:t>F-</w:t>
            </w:r>
            <w:hyperlink w:anchor="page109">
              <w:r>
                <w:rPr>
                  <w:rFonts w:ascii="Arial" w:cs="Arial" w:eastAsia="Arial" w:hAnsi="Arial"/>
                  <w:sz w:val="14"/>
                  <w:szCs w:val="14"/>
                  <w:color w:val="3051F2"/>
                </w:rPr>
                <w:t>7</w:t>
              </w:r>
            </w:hyperlink>
          </w:p>
        </w:tc>
      </w:tr>
      <w:tr>
        <w:trPr>
          <w:trHeight w:val="160"/>
        </w:trPr>
        <w:tc>
          <w:tcPr>
            <w:tcW w:w="3680" w:type="dxa"/>
            <w:vAlign w:val="bottom"/>
            <w:tcBorders>
              <w:top w:val="single" w:sz="8" w:color="3051F2"/>
            </w:tcBorders>
            <w:gridSpan w:val="27"/>
            <w:shd w:val="clear" w:color="auto" w:fill="CCEEFF"/>
          </w:tcPr>
          <w:p>
            <w:pPr>
              <w:spacing w:after="0" w:line="159" w:lineRule="exact"/>
              <w:rPr>
                <w:rFonts w:ascii="Arial" w:cs="Arial" w:eastAsia="Arial" w:hAnsi="Arial"/>
                <w:sz w:val="14"/>
                <w:szCs w:val="14"/>
                <w:color w:val="3051F2"/>
              </w:rPr>
            </w:pPr>
            <w:hyperlink w:anchor="page110">
              <w:r>
                <w:rPr>
                  <w:rFonts w:ascii="Arial" w:cs="Arial" w:eastAsia="Arial" w:hAnsi="Arial"/>
                  <w:sz w:val="14"/>
                  <w:szCs w:val="14"/>
                  <w:color w:val="3051F2"/>
                </w:rPr>
                <w:t>Consolidated Statements of Equity</w:t>
              </w:r>
            </w:hyperlink>
          </w:p>
        </w:tc>
        <w:tc>
          <w:tcPr>
            <w:tcW w:w="6900" w:type="dxa"/>
            <w:vAlign w:val="bottom"/>
            <w:tcBorders>
              <w:right w:val="single" w:sz="8" w:color="CCEEFF"/>
            </w:tcBorders>
            <w:gridSpan w:val="2"/>
            <w:shd w:val="clear" w:color="auto" w:fill="CCEEFF"/>
          </w:tcPr>
          <w:p>
            <w:pPr>
              <w:spacing w:after="0"/>
              <w:rPr>
                <w:sz w:val="13"/>
                <w:szCs w:val="13"/>
                <w:color w:val="auto"/>
              </w:rPr>
            </w:pPr>
          </w:p>
        </w:tc>
        <w:tc>
          <w:tcPr>
            <w:tcW w:w="260" w:type="dxa"/>
            <w:vAlign w:val="bottom"/>
            <w:tcBorders>
              <w:top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rPr>
            </w:pPr>
            <w:r>
              <w:rPr>
                <w:rFonts w:ascii="Arial" w:cs="Arial" w:eastAsia="Arial" w:hAnsi="Arial"/>
                <w:sz w:val="14"/>
                <w:szCs w:val="14"/>
                <w:color w:val="3051F2"/>
              </w:rPr>
              <w:t>F-</w:t>
            </w:r>
            <w:hyperlink w:anchor="page110">
              <w:r>
                <w:rPr>
                  <w:rFonts w:ascii="Arial" w:cs="Arial" w:eastAsia="Arial" w:hAnsi="Arial"/>
                  <w:sz w:val="14"/>
                  <w:szCs w:val="14"/>
                  <w:color w:val="3051F2"/>
                </w:rPr>
                <w:t>8</w:t>
              </w:r>
            </w:hyperlink>
          </w:p>
        </w:tc>
        <w:tc>
          <w:tcPr>
            <w:tcW w:w="420" w:type="dxa"/>
            <w:vAlign w:val="bottom"/>
            <w:shd w:val="clear" w:color="auto" w:fill="CCEEFF"/>
          </w:tcPr>
          <w:p>
            <w:pPr>
              <w:spacing w:after="0"/>
              <w:rPr>
                <w:sz w:val="13"/>
                <w:szCs w:val="13"/>
                <w:color w:val="auto"/>
              </w:rPr>
            </w:pPr>
          </w:p>
        </w:tc>
      </w:tr>
      <w:tr>
        <w:trPr>
          <w:trHeight w:val="35"/>
        </w:trPr>
        <w:tc>
          <w:tcPr>
            <w:tcW w:w="120" w:type="dxa"/>
            <w:vAlign w:val="bottom"/>
            <w:tcBorders>
              <w:right w:val="single" w:sz="8" w:color="3051F2"/>
            </w:tcBorders>
            <w:shd w:val="clear" w:color="auto" w:fill="3051F2"/>
          </w:tcPr>
          <w:p>
            <w:pPr>
              <w:spacing w:after="0"/>
              <w:rPr>
                <w:sz w:val="3"/>
                <w:szCs w:val="3"/>
                <w:color w:val="auto"/>
              </w:rPr>
            </w:pPr>
          </w:p>
        </w:tc>
        <w:tc>
          <w:tcPr>
            <w:tcW w:w="120" w:type="dxa"/>
            <w:vAlign w:val="bottom"/>
            <w:shd w:val="clear" w:color="auto" w:fill="3051F2"/>
          </w:tcPr>
          <w:p>
            <w:pPr>
              <w:spacing w:after="0"/>
              <w:rPr>
                <w:sz w:val="3"/>
                <w:szCs w:val="3"/>
                <w:color w:val="auto"/>
              </w:rPr>
            </w:pPr>
          </w:p>
        </w:tc>
        <w:tc>
          <w:tcPr>
            <w:tcW w:w="80" w:type="dxa"/>
            <w:vAlign w:val="bottom"/>
            <w:shd w:val="clear" w:color="auto" w:fill="3051F2"/>
          </w:tcPr>
          <w:p>
            <w:pPr>
              <w:spacing w:after="0"/>
              <w:rPr>
                <w:sz w:val="3"/>
                <w:szCs w:val="3"/>
                <w:color w:val="auto"/>
              </w:rPr>
            </w:pPr>
          </w:p>
        </w:tc>
        <w:tc>
          <w:tcPr>
            <w:tcW w:w="240" w:type="dxa"/>
            <w:vAlign w:val="bottom"/>
            <w:shd w:val="clear" w:color="auto" w:fill="3051F2"/>
          </w:tcPr>
          <w:p>
            <w:pPr>
              <w:spacing w:after="0"/>
              <w:rPr>
                <w:sz w:val="3"/>
                <w:szCs w:val="3"/>
                <w:color w:val="auto"/>
              </w:rPr>
            </w:pPr>
          </w:p>
        </w:tc>
        <w:tc>
          <w:tcPr>
            <w:tcW w:w="400" w:type="dxa"/>
            <w:vAlign w:val="bottom"/>
            <w:shd w:val="clear" w:color="auto" w:fill="3051F2"/>
          </w:tcPr>
          <w:p>
            <w:pPr>
              <w:spacing w:after="0"/>
              <w:rPr>
                <w:sz w:val="3"/>
                <w:szCs w:val="3"/>
                <w:color w:val="auto"/>
              </w:rPr>
            </w:pPr>
          </w:p>
        </w:tc>
        <w:tc>
          <w:tcPr>
            <w:tcW w:w="120" w:type="dxa"/>
            <w:vAlign w:val="bottom"/>
            <w:tcBorders>
              <w:left w:val="single" w:sz="8" w:color="3051F2"/>
            </w:tcBorders>
            <w:shd w:val="clear" w:color="auto" w:fill="3051F2"/>
          </w:tcPr>
          <w:p>
            <w:pPr>
              <w:spacing w:after="0"/>
              <w:rPr>
                <w:sz w:val="3"/>
                <w:szCs w:val="3"/>
                <w:color w:val="auto"/>
              </w:rPr>
            </w:pPr>
          </w:p>
        </w:tc>
        <w:tc>
          <w:tcPr>
            <w:tcW w:w="140" w:type="dxa"/>
            <w:vAlign w:val="bottom"/>
            <w:shd w:val="clear" w:color="auto" w:fill="3051F2"/>
          </w:tcPr>
          <w:p>
            <w:pPr>
              <w:spacing w:after="0"/>
              <w:rPr>
                <w:sz w:val="3"/>
                <w:szCs w:val="3"/>
                <w:color w:val="auto"/>
              </w:rPr>
            </w:pPr>
          </w:p>
        </w:tc>
        <w:tc>
          <w:tcPr>
            <w:tcW w:w="220" w:type="dxa"/>
            <w:vAlign w:val="bottom"/>
            <w:shd w:val="clear" w:color="auto" w:fill="3051F2"/>
          </w:tcPr>
          <w:p>
            <w:pPr>
              <w:spacing w:after="0"/>
              <w:rPr>
                <w:sz w:val="3"/>
                <w:szCs w:val="3"/>
                <w:color w:val="auto"/>
              </w:rPr>
            </w:pPr>
          </w:p>
        </w:tc>
        <w:tc>
          <w:tcPr>
            <w:tcW w:w="8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6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60" w:type="dxa"/>
            <w:vAlign w:val="bottom"/>
            <w:shd w:val="clear" w:color="auto" w:fill="3051F2"/>
          </w:tcPr>
          <w:p>
            <w:pPr>
              <w:spacing w:after="0"/>
              <w:rPr>
                <w:sz w:val="3"/>
                <w:szCs w:val="3"/>
                <w:color w:val="auto"/>
              </w:rPr>
            </w:pPr>
          </w:p>
        </w:tc>
        <w:tc>
          <w:tcPr>
            <w:tcW w:w="60" w:type="dxa"/>
            <w:vAlign w:val="bottom"/>
            <w:shd w:val="clear" w:color="auto" w:fill="3051F2"/>
          </w:tcPr>
          <w:p>
            <w:pPr>
              <w:spacing w:after="0"/>
              <w:rPr>
                <w:sz w:val="3"/>
                <w:szCs w:val="3"/>
                <w:color w:val="auto"/>
              </w:rPr>
            </w:pPr>
          </w:p>
        </w:tc>
        <w:tc>
          <w:tcPr>
            <w:tcW w:w="160" w:type="dxa"/>
            <w:vAlign w:val="bottom"/>
            <w:tcBorders>
              <w:right w:val="single" w:sz="8" w:color="3051F2"/>
            </w:tcBorders>
            <w:shd w:val="clear" w:color="auto" w:fill="3051F2"/>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60" w:type="dxa"/>
            <w:vAlign w:val="bottom"/>
            <w:tcBorders>
              <w:righ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3051F2"/>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52"/>
        </w:trPr>
        <w:tc>
          <w:tcPr>
            <w:tcW w:w="10580" w:type="dxa"/>
            <w:vAlign w:val="bottom"/>
            <w:gridSpan w:val="29"/>
          </w:tcPr>
          <w:p>
            <w:pPr>
              <w:spacing w:after="0" w:line="152" w:lineRule="exact"/>
              <w:rPr>
                <w:rFonts w:ascii="Arial" w:cs="Arial" w:eastAsia="Arial" w:hAnsi="Arial"/>
                <w:sz w:val="14"/>
                <w:szCs w:val="14"/>
                <w:color w:val="3051F2"/>
              </w:rPr>
            </w:pPr>
            <w:hyperlink w:anchor="page113">
              <w:r>
                <w:rPr>
                  <w:rFonts w:ascii="Arial" w:cs="Arial" w:eastAsia="Arial" w:hAnsi="Arial"/>
                  <w:sz w:val="14"/>
                  <w:szCs w:val="14"/>
                  <w:color w:val="3051F2"/>
                </w:rPr>
                <w:t>Consolidated Statements of Cash Flows</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13">
              <w:r>
                <w:rPr>
                  <w:rFonts w:ascii="Arial" w:cs="Arial" w:eastAsia="Arial" w:hAnsi="Arial"/>
                  <w:sz w:val="14"/>
                  <w:szCs w:val="14"/>
                  <w:color w:val="3051F2"/>
                  <w:w w:val="90"/>
                </w:rPr>
                <w:t>11</w:t>
              </w:r>
            </w:hyperlink>
          </w:p>
        </w:tc>
      </w:tr>
      <w:tr>
        <w:trPr>
          <w:trHeight w:val="28"/>
        </w:trPr>
        <w:tc>
          <w:tcPr>
            <w:tcW w:w="120" w:type="dxa"/>
            <w:vAlign w:val="bottom"/>
            <w:tcBorders>
              <w:right w:val="single" w:sz="8" w:color="3051F2"/>
            </w:tcBorders>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400" w:type="dxa"/>
            <w:vAlign w:val="bottom"/>
            <w:shd w:val="clear" w:color="auto" w:fill="3051F2"/>
          </w:tcPr>
          <w:p>
            <w:pPr>
              <w:spacing w:after="0"/>
              <w:rPr>
                <w:sz w:val="2"/>
                <w:szCs w:val="2"/>
                <w:color w:val="auto"/>
              </w:rPr>
            </w:pPr>
          </w:p>
        </w:tc>
        <w:tc>
          <w:tcPr>
            <w:tcW w:w="120" w:type="dxa"/>
            <w:vAlign w:val="bottom"/>
            <w:tcBorders>
              <w:left w:val="single" w:sz="8" w:color="3051F2"/>
            </w:tcBorders>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6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60" w:type="dxa"/>
            <w:vAlign w:val="bottom"/>
            <w:shd w:val="clear" w:color="auto" w:fill="3051F2"/>
          </w:tcPr>
          <w:p>
            <w:pPr>
              <w:spacing w:after="0"/>
              <w:rPr>
                <w:sz w:val="2"/>
                <w:szCs w:val="2"/>
                <w:color w:val="auto"/>
              </w:rPr>
            </w:pPr>
          </w:p>
        </w:tc>
        <w:tc>
          <w:tcPr>
            <w:tcW w:w="60" w:type="dxa"/>
            <w:vAlign w:val="bottom"/>
            <w:shd w:val="clear" w:color="auto" w:fill="3051F2"/>
          </w:tcPr>
          <w:p>
            <w:pPr>
              <w:spacing w:after="0"/>
              <w:rPr>
                <w:sz w:val="2"/>
                <w:szCs w:val="2"/>
                <w:color w:val="auto"/>
              </w:rPr>
            </w:pPr>
          </w:p>
        </w:tc>
        <w:tc>
          <w:tcPr>
            <w:tcW w:w="160" w:type="dxa"/>
            <w:vAlign w:val="bottom"/>
            <w:tcBorders>
              <w:right w:val="single" w:sz="8" w:color="3051F2"/>
            </w:tcBorders>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100" w:type="dxa"/>
            <w:vAlign w:val="bottom"/>
            <w:tcBorders>
              <w:right w:val="single" w:sz="8" w:color="3051F2"/>
            </w:tcBorders>
            <w:shd w:val="clear" w:color="auto" w:fill="3051F2"/>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Borders>
              <w:right w:val="single" w:sz="8" w:color="3051F2"/>
            </w:tcBorders>
          </w:tcPr>
          <w:p>
            <w:pPr>
              <w:spacing w:after="0"/>
              <w:rPr>
                <w:sz w:val="2"/>
                <w:szCs w:val="2"/>
                <w:color w:val="auto"/>
              </w:rPr>
            </w:pPr>
          </w:p>
        </w:tc>
        <w:tc>
          <w:tcPr>
            <w:tcW w:w="260" w:type="dxa"/>
            <w:vAlign w:val="bottom"/>
            <w:tcBorders>
              <w:right w:val="single" w:sz="8" w:color="3051F2"/>
            </w:tcBorders>
            <w:shd w:val="clear" w:color="auto" w:fill="3051F2"/>
          </w:tcPr>
          <w:p>
            <w:pPr>
              <w:spacing w:after="0"/>
              <w:rPr>
                <w:sz w:val="2"/>
                <w:szCs w:val="2"/>
                <w:color w:val="auto"/>
              </w:rPr>
            </w:pPr>
          </w:p>
        </w:tc>
        <w:tc>
          <w:tcPr>
            <w:tcW w:w="420" w:type="dxa"/>
            <w:vAlign w:val="bottom"/>
          </w:tcPr>
          <w:p>
            <w:pPr>
              <w:spacing w:after="0"/>
              <w:rPr>
                <w:sz w:val="2"/>
                <w:szCs w:val="2"/>
                <w:color w:val="auto"/>
              </w:rPr>
            </w:pPr>
          </w:p>
        </w:tc>
      </w:tr>
      <w:tr>
        <w:trPr>
          <w:trHeight w:val="175"/>
        </w:trPr>
        <w:tc>
          <w:tcPr>
            <w:tcW w:w="2780" w:type="dxa"/>
            <w:vAlign w:val="bottom"/>
            <w:tcBorders>
              <w:bottom w:val="single" w:sz="8" w:color="3051F2"/>
            </w:tcBorders>
            <w:gridSpan w:val="21"/>
            <w:shd w:val="clear" w:color="auto" w:fill="CCEEFF"/>
          </w:tcPr>
          <w:p>
            <w:pPr>
              <w:spacing w:after="0" w:line="159" w:lineRule="exact"/>
              <w:rPr>
                <w:rFonts w:ascii="Arial" w:cs="Arial" w:eastAsia="Arial" w:hAnsi="Arial"/>
                <w:sz w:val="14"/>
                <w:szCs w:val="14"/>
                <w:color w:val="3051F2"/>
                <w:w w:val="99"/>
              </w:rPr>
            </w:pPr>
            <w:hyperlink w:anchor="page115">
              <w:r>
                <w:rPr>
                  <w:rFonts w:ascii="Arial" w:cs="Arial" w:eastAsia="Arial" w:hAnsi="Arial"/>
                  <w:sz w:val="14"/>
                  <w:szCs w:val="14"/>
                  <w:color w:val="3051F2"/>
                  <w:w w:val="99"/>
                </w:rPr>
                <w:t>Notes to Consolidated Financial Statements:</w:t>
              </w:r>
            </w:hyperlink>
          </w:p>
        </w:tc>
        <w:tc>
          <w:tcPr>
            <w:tcW w:w="7800" w:type="dxa"/>
            <w:vAlign w:val="bottom"/>
            <w:tcBorders>
              <w:bottom w:val="single" w:sz="8" w:color="CCEEFF"/>
              <w:right w:val="single" w:sz="8" w:color="CCEEFF"/>
            </w:tcBorders>
            <w:gridSpan w:val="8"/>
            <w:shd w:val="clear" w:color="auto" w:fill="CCEEFF"/>
          </w:tcPr>
          <w:p>
            <w:pPr>
              <w:spacing w:after="0"/>
              <w:rPr>
                <w:sz w:val="15"/>
                <w:szCs w:val="15"/>
                <w:color w:val="auto"/>
              </w:rPr>
            </w:pPr>
          </w:p>
        </w:tc>
        <w:tc>
          <w:tcPr>
            <w:tcW w:w="260" w:type="dxa"/>
            <w:vAlign w:val="bottom"/>
            <w:tcBorders>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15">
              <w:r>
                <w:rPr>
                  <w:rFonts w:ascii="Arial" w:cs="Arial" w:eastAsia="Arial" w:hAnsi="Arial"/>
                  <w:sz w:val="14"/>
                  <w:szCs w:val="14"/>
                  <w:color w:val="3051F2"/>
                  <w:w w:val="90"/>
                </w:rPr>
                <w:t>13</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60"/>
        </w:trPr>
        <w:tc>
          <w:tcPr>
            <w:tcW w:w="120" w:type="dxa"/>
            <w:vAlign w:val="bottom"/>
          </w:tcPr>
          <w:p>
            <w:pPr>
              <w:spacing w:after="0"/>
              <w:rPr>
                <w:sz w:val="13"/>
                <w:szCs w:val="13"/>
                <w:color w:val="auto"/>
              </w:rPr>
            </w:pPr>
          </w:p>
        </w:tc>
        <w:tc>
          <w:tcPr>
            <w:tcW w:w="120" w:type="dxa"/>
            <w:vAlign w:val="bottom"/>
            <w:tcBorders>
              <w:bottom w:val="single" w:sz="8" w:color="3051F2"/>
            </w:tcBorders>
          </w:tcPr>
          <w:p>
            <w:pPr>
              <w:spacing w:after="0" w:line="152" w:lineRule="exact"/>
              <w:rPr>
                <w:rFonts w:ascii="Arial" w:cs="Arial" w:eastAsia="Arial" w:hAnsi="Arial"/>
                <w:sz w:val="14"/>
                <w:szCs w:val="14"/>
                <w:color w:val="3051F2"/>
                <w:w w:val="85"/>
              </w:rPr>
            </w:pPr>
            <w:hyperlink w:anchor="page116">
              <w:r>
                <w:rPr>
                  <w:rFonts w:ascii="Arial" w:cs="Arial" w:eastAsia="Arial" w:hAnsi="Arial"/>
                  <w:sz w:val="14"/>
                  <w:szCs w:val="14"/>
                  <w:color w:val="3051F2"/>
                  <w:w w:val="85"/>
                </w:rPr>
                <w:t>1.</w:t>
              </w:r>
            </w:hyperlink>
          </w:p>
        </w:tc>
        <w:tc>
          <w:tcPr>
            <w:tcW w:w="1700" w:type="dxa"/>
            <w:vAlign w:val="bottom"/>
            <w:tcBorders>
              <w:bottom w:val="single" w:sz="8" w:color="3051F2"/>
            </w:tcBorders>
            <w:gridSpan w:val="14"/>
          </w:tcPr>
          <w:p>
            <w:pPr>
              <w:ind w:left="20"/>
              <w:spacing w:after="0" w:line="152" w:lineRule="exact"/>
              <w:rPr>
                <w:rFonts w:ascii="Arial" w:cs="Arial" w:eastAsia="Arial" w:hAnsi="Arial"/>
                <w:sz w:val="14"/>
                <w:szCs w:val="14"/>
                <w:color w:val="3051F2"/>
                <w:w w:val="99"/>
              </w:rPr>
            </w:pPr>
            <w:hyperlink w:anchor="page116">
              <w:r>
                <w:rPr>
                  <w:rFonts w:ascii="Arial" w:cs="Arial" w:eastAsia="Arial" w:hAnsi="Arial"/>
                  <w:sz w:val="14"/>
                  <w:szCs w:val="14"/>
                  <w:color w:val="3051F2"/>
                  <w:w w:val="99"/>
                </w:rPr>
                <w:t>Business and Organization</w:t>
              </w:r>
            </w:hyperlink>
          </w:p>
        </w:tc>
        <w:tc>
          <w:tcPr>
            <w:tcW w:w="8640" w:type="dxa"/>
            <w:vAlign w:val="bottom"/>
            <w:gridSpan w:val="13"/>
          </w:tcPr>
          <w:p>
            <w:pPr>
              <w:spacing w:after="0"/>
              <w:rPr>
                <w:sz w:val="13"/>
                <w:szCs w:val="13"/>
                <w:color w:val="auto"/>
              </w:rPr>
            </w:pPr>
          </w:p>
        </w:tc>
        <w:tc>
          <w:tcPr>
            <w:tcW w:w="260" w:type="dxa"/>
            <w:vAlign w:val="bottom"/>
            <w:tcBorders>
              <w:bottom w:val="single" w:sz="8" w:color="3051F2"/>
            </w:tcBorders>
          </w:tcPr>
          <w:p>
            <w:pPr>
              <w:jc w:val="center"/>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16">
              <w:r>
                <w:rPr>
                  <w:rFonts w:ascii="Arial" w:cs="Arial" w:eastAsia="Arial" w:hAnsi="Arial"/>
                  <w:sz w:val="14"/>
                  <w:szCs w:val="14"/>
                  <w:color w:val="3051F2"/>
                  <w:w w:val="90"/>
                </w:rPr>
                <w:t>13</w:t>
              </w:r>
            </w:hyperlink>
          </w:p>
        </w:tc>
        <w:tc>
          <w:tcPr>
            <w:tcW w:w="420" w:type="dxa"/>
            <w:vAlign w:val="bottom"/>
          </w:tcPr>
          <w:p>
            <w:pPr>
              <w:spacing w:after="0"/>
              <w:rPr>
                <w:sz w:val="13"/>
                <w:szCs w:val="13"/>
                <w:color w:val="auto"/>
              </w:rPr>
            </w:pPr>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3051F2"/>
            </w:tcBorders>
            <w:shd w:val="clear" w:color="auto" w:fill="CCEEFF"/>
          </w:tcPr>
          <w:p>
            <w:pPr>
              <w:spacing w:after="0" w:line="159" w:lineRule="exact"/>
              <w:rPr>
                <w:rFonts w:ascii="Arial" w:cs="Arial" w:eastAsia="Arial" w:hAnsi="Arial"/>
                <w:sz w:val="14"/>
                <w:szCs w:val="14"/>
                <w:color w:val="3051F2"/>
                <w:w w:val="85"/>
              </w:rPr>
            </w:pPr>
            <w:hyperlink w:anchor="page117">
              <w:r>
                <w:rPr>
                  <w:rFonts w:ascii="Arial" w:cs="Arial" w:eastAsia="Arial" w:hAnsi="Arial"/>
                  <w:sz w:val="14"/>
                  <w:szCs w:val="14"/>
                  <w:color w:val="3051F2"/>
                  <w:w w:val="85"/>
                </w:rPr>
                <w:t>2.</w:t>
              </w:r>
            </w:hyperlink>
          </w:p>
        </w:tc>
        <w:tc>
          <w:tcPr>
            <w:tcW w:w="2720" w:type="dxa"/>
            <w:vAlign w:val="bottom"/>
            <w:tcBorders>
              <w:bottom w:val="single" w:sz="8" w:color="3051F2"/>
            </w:tcBorders>
            <w:gridSpan w:val="20"/>
            <w:shd w:val="clear" w:color="auto" w:fill="CCEEFF"/>
          </w:tcPr>
          <w:p>
            <w:pPr>
              <w:ind w:left="20"/>
              <w:spacing w:after="0" w:line="159" w:lineRule="exact"/>
              <w:rPr>
                <w:rFonts w:ascii="Arial" w:cs="Arial" w:eastAsia="Arial" w:hAnsi="Arial"/>
                <w:sz w:val="14"/>
                <w:szCs w:val="14"/>
                <w:color w:val="3051F2"/>
                <w:w w:val="99"/>
              </w:rPr>
            </w:pPr>
            <w:hyperlink w:anchor="page117">
              <w:r>
                <w:rPr>
                  <w:rFonts w:ascii="Arial" w:cs="Arial" w:eastAsia="Arial" w:hAnsi="Arial"/>
                  <w:sz w:val="14"/>
                  <w:szCs w:val="14"/>
                  <w:color w:val="3051F2"/>
                  <w:w w:val="99"/>
                </w:rPr>
                <w:t>Summary of Significant Accounting Policies</w:t>
              </w:r>
            </w:hyperlink>
          </w:p>
        </w:tc>
        <w:tc>
          <w:tcPr>
            <w:tcW w:w="7620" w:type="dxa"/>
            <w:vAlign w:val="bottom"/>
            <w:tcBorders>
              <w:bottom w:val="single" w:sz="8" w:color="CCEEFF"/>
              <w:right w:val="single" w:sz="8" w:color="CCEEFF"/>
            </w:tcBorders>
            <w:gridSpan w:val="7"/>
            <w:shd w:val="clear" w:color="auto" w:fill="CCEEFF"/>
          </w:tcPr>
          <w:p>
            <w:pPr>
              <w:spacing w:after="0"/>
              <w:rPr>
                <w:sz w:val="15"/>
                <w:szCs w:val="15"/>
                <w:color w:val="auto"/>
              </w:rPr>
            </w:pPr>
          </w:p>
        </w:tc>
        <w:tc>
          <w:tcPr>
            <w:tcW w:w="260" w:type="dxa"/>
            <w:vAlign w:val="bottom"/>
            <w:tcBorders>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17">
              <w:r>
                <w:rPr>
                  <w:rFonts w:ascii="Arial" w:cs="Arial" w:eastAsia="Arial" w:hAnsi="Arial"/>
                  <w:sz w:val="14"/>
                  <w:szCs w:val="14"/>
                  <w:color w:val="3051F2"/>
                  <w:w w:val="90"/>
                </w:rPr>
                <w:t>14</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60"/>
        </w:trPr>
        <w:tc>
          <w:tcPr>
            <w:tcW w:w="120" w:type="dxa"/>
            <w:vAlign w:val="bottom"/>
          </w:tcPr>
          <w:p>
            <w:pPr>
              <w:spacing w:after="0"/>
              <w:rPr>
                <w:sz w:val="13"/>
                <w:szCs w:val="13"/>
                <w:color w:val="auto"/>
              </w:rPr>
            </w:pPr>
          </w:p>
        </w:tc>
        <w:tc>
          <w:tcPr>
            <w:tcW w:w="120" w:type="dxa"/>
            <w:vAlign w:val="bottom"/>
          </w:tcPr>
          <w:p>
            <w:pPr>
              <w:spacing w:after="0" w:line="152" w:lineRule="exact"/>
              <w:rPr>
                <w:rFonts w:ascii="Arial" w:cs="Arial" w:eastAsia="Arial" w:hAnsi="Arial"/>
                <w:sz w:val="14"/>
                <w:szCs w:val="14"/>
                <w:color w:val="3051F2"/>
                <w:w w:val="85"/>
              </w:rPr>
            </w:pPr>
            <w:hyperlink w:anchor="page133">
              <w:r>
                <w:rPr>
                  <w:rFonts w:ascii="Arial" w:cs="Arial" w:eastAsia="Arial" w:hAnsi="Arial"/>
                  <w:sz w:val="14"/>
                  <w:szCs w:val="14"/>
                  <w:color w:val="3051F2"/>
                  <w:w w:val="85"/>
                </w:rPr>
                <w:t>3.</w:t>
              </w:r>
            </w:hyperlink>
          </w:p>
        </w:tc>
        <w:tc>
          <w:tcPr>
            <w:tcW w:w="10340" w:type="dxa"/>
            <w:vAlign w:val="bottom"/>
            <w:gridSpan w:val="27"/>
          </w:tcPr>
          <w:p>
            <w:pPr>
              <w:ind w:left="20"/>
              <w:spacing w:after="0" w:line="152" w:lineRule="exact"/>
              <w:rPr>
                <w:rFonts w:ascii="Arial" w:cs="Arial" w:eastAsia="Arial" w:hAnsi="Arial"/>
                <w:sz w:val="14"/>
                <w:szCs w:val="14"/>
                <w:color w:val="3051F2"/>
              </w:rPr>
            </w:pPr>
            <w:hyperlink w:anchor="page133">
              <w:r>
                <w:rPr>
                  <w:rFonts w:ascii="Arial" w:cs="Arial" w:eastAsia="Arial" w:hAnsi="Arial"/>
                  <w:sz w:val="14"/>
                  <w:szCs w:val="14"/>
                  <w:color w:val="3051F2"/>
                </w:rPr>
                <w:t>Acquisitions</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33">
              <w:r>
                <w:rPr>
                  <w:rFonts w:ascii="Arial" w:cs="Arial" w:eastAsia="Arial" w:hAnsi="Arial"/>
                  <w:sz w:val="14"/>
                  <w:szCs w:val="14"/>
                  <w:color w:val="3051F2"/>
                  <w:w w:val="90"/>
                </w:rPr>
                <w:t>30</w:t>
              </w:r>
            </w:hyperlink>
          </w:p>
        </w:tc>
      </w:tr>
      <w:tr>
        <w:trPr>
          <w:trHeight w:val="160"/>
        </w:trPr>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3051F2"/>
            </w:tcBorders>
            <w:shd w:val="clear" w:color="auto" w:fill="CCEEFF"/>
          </w:tcPr>
          <w:p>
            <w:pPr>
              <w:spacing w:after="0" w:line="159" w:lineRule="exact"/>
              <w:rPr>
                <w:rFonts w:ascii="Arial" w:cs="Arial" w:eastAsia="Arial" w:hAnsi="Arial"/>
                <w:sz w:val="14"/>
                <w:szCs w:val="14"/>
                <w:color w:val="3051F2"/>
                <w:w w:val="85"/>
              </w:rPr>
            </w:pPr>
            <w:hyperlink w:anchor="page136">
              <w:r>
                <w:rPr>
                  <w:rFonts w:ascii="Arial" w:cs="Arial" w:eastAsia="Arial" w:hAnsi="Arial"/>
                  <w:sz w:val="14"/>
                  <w:szCs w:val="14"/>
                  <w:color w:val="3051F2"/>
                  <w:w w:val="85"/>
                </w:rPr>
                <w:t>4.</w:t>
              </w:r>
            </w:hyperlink>
          </w:p>
        </w:tc>
        <w:tc>
          <w:tcPr>
            <w:tcW w:w="720" w:type="dxa"/>
            <w:vAlign w:val="bottom"/>
            <w:tcBorders>
              <w:top w:val="single" w:sz="8" w:color="3051F2"/>
            </w:tcBorders>
            <w:gridSpan w:val="3"/>
            <w:shd w:val="clear" w:color="auto" w:fill="CCEEFF"/>
          </w:tcPr>
          <w:p>
            <w:pPr>
              <w:ind w:left="20"/>
              <w:spacing w:after="0" w:line="159" w:lineRule="exact"/>
              <w:rPr>
                <w:rFonts w:ascii="Arial" w:cs="Arial" w:eastAsia="Arial" w:hAnsi="Arial"/>
                <w:sz w:val="14"/>
                <w:szCs w:val="14"/>
                <w:color w:val="3051F2"/>
                <w:w w:val="91"/>
              </w:rPr>
            </w:pPr>
            <w:hyperlink w:anchor="page136">
              <w:r>
                <w:rPr>
                  <w:rFonts w:ascii="Arial" w:cs="Arial" w:eastAsia="Arial" w:hAnsi="Arial"/>
                  <w:sz w:val="14"/>
                  <w:szCs w:val="14"/>
                  <w:color w:val="3051F2"/>
                  <w:w w:val="91"/>
                </w:rPr>
                <w:t>Real Estate</w:t>
              </w:r>
            </w:hyperlink>
          </w:p>
        </w:tc>
        <w:tc>
          <w:tcPr>
            <w:tcW w:w="9620" w:type="dxa"/>
            <w:vAlign w:val="bottom"/>
            <w:tcBorders>
              <w:left w:val="single" w:sz="8" w:color="CCEEFF"/>
              <w:right w:val="single" w:sz="8" w:color="CCEEFF"/>
            </w:tcBorders>
            <w:gridSpan w:val="24"/>
            <w:shd w:val="clear" w:color="auto" w:fill="CCEEFF"/>
          </w:tcPr>
          <w:p>
            <w:pPr>
              <w:spacing w:after="0"/>
              <w:rPr>
                <w:sz w:val="13"/>
                <w:szCs w:val="13"/>
                <w:color w:val="auto"/>
              </w:rPr>
            </w:pPr>
          </w:p>
        </w:tc>
        <w:tc>
          <w:tcPr>
            <w:tcW w:w="260" w:type="dxa"/>
            <w:vAlign w:val="bottom"/>
            <w:tcBorders>
              <w:top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36">
              <w:r>
                <w:rPr>
                  <w:rFonts w:ascii="Arial" w:cs="Arial" w:eastAsia="Arial" w:hAnsi="Arial"/>
                  <w:sz w:val="14"/>
                  <w:szCs w:val="14"/>
                  <w:color w:val="3051F2"/>
                  <w:w w:val="90"/>
                </w:rPr>
                <w:t>34</w:t>
              </w:r>
            </w:hyperlink>
          </w:p>
        </w:tc>
        <w:tc>
          <w:tcPr>
            <w:tcW w:w="420" w:type="dxa"/>
            <w:vAlign w:val="bottom"/>
            <w:shd w:val="clear" w:color="auto" w:fill="CCEEFF"/>
          </w:tcPr>
          <w:p>
            <w:pPr>
              <w:spacing w:after="0"/>
              <w:rPr>
                <w:sz w:val="13"/>
                <w:szCs w:val="13"/>
                <w:color w:val="auto"/>
              </w:rPr>
            </w:pPr>
          </w:p>
        </w:tc>
      </w:tr>
      <w:tr>
        <w:trPr>
          <w:trHeight w:val="35"/>
        </w:trPr>
        <w:tc>
          <w:tcPr>
            <w:tcW w:w="120" w:type="dxa"/>
            <w:vAlign w:val="bottom"/>
            <w:tcBorders>
              <w:right w:val="single" w:sz="8" w:color="3051F2"/>
            </w:tcBorders>
            <w:shd w:val="clear" w:color="auto" w:fill="CCEEFF"/>
          </w:tcPr>
          <w:p>
            <w:pPr>
              <w:spacing w:after="0"/>
              <w:rPr>
                <w:sz w:val="3"/>
                <w:szCs w:val="3"/>
                <w:color w:val="auto"/>
              </w:rPr>
            </w:pPr>
          </w:p>
        </w:tc>
        <w:tc>
          <w:tcPr>
            <w:tcW w:w="120" w:type="dxa"/>
            <w:vAlign w:val="bottom"/>
            <w:shd w:val="clear" w:color="auto" w:fill="3051F2"/>
          </w:tcPr>
          <w:p>
            <w:pPr>
              <w:spacing w:after="0"/>
              <w:rPr>
                <w:sz w:val="3"/>
                <w:szCs w:val="3"/>
                <w:color w:val="auto"/>
              </w:rPr>
            </w:pPr>
          </w:p>
        </w:tc>
        <w:tc>
          <w:tcPr>
            <w:tcW w:w="80" w:type="dxa"/>
            <w:vAlign w:val="bottom"/>
            <w:shd w:val="clear" w:color="auto" w:fill="3051F2"/>
          </w:tcPr>
          <w:p>
            <w:pPr>
              <w:spacing w:after="0"/>
              <w:rPr>
                <w:sz w:val="3"/>
                <w:szCs w:val="3"/>
                <w:color w:val="auto"/>
              </w:rPr>
            </w:pPr>
          </w:p>
        </w:tc>
        <w:tc>
          <w:tcPr>
            <w:tcW w:w="240" w:type="dxa"/>
            <w:vAlign w:val="bottom"/>
            <w:shd w:val="clear" w:color="auto" w:fill="3051F2"/>
          </w:tcPr>
          <w:p>
            <w:pPr>
              <w:spacing w:after="0"/>
              <w:rPr>
                <w:sz w:val="3"/>
                <w:szCs w:val="3"/>
                <w:color w:val="auto"/>
              </w:rPr>
            </w:pPr>
          </w:p>
        </w:tc>
        <w:tc>
          <w:tcPr>
            <w:tcW w:w="400" w:type="dxa"/>
            <w:vAlign w:val="bottom"/>
            <w:shd w:val="clear" w:color="auto" w:fill="3051F2"/>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60" w:type="dxa"/>
            <w:vAlign w:val="bottom"/>
            <w:tcBorders>
              <w:right w:val="single" w:sz="8" w:color="3051F2"/>
            </w:tcBorders>
            <w:shd w:val="clear" w:color="auto" w:fill="CCEEFF"/>
          </w:tcPr>
          <w:p>
            <w:pPr>
              <w:spacing w:after="0"/>
              <w:rPr>
                <w:sz w:val="3"/>
                <w:szCs w:val="3"/>
                <w:color w:val="auto"/>
              </w:rPr>
            </w:pPr>
          </w:p>
        </w:tc>
        <w:tc>
          <w:tcPr>
            <w:tcW w:w="260" w:type="dxa"/>
            <w:vAlign w:val="bottom"/>
            <w:tcBorders>
              <w:right w:val="single" w:sz="8" w:color="3051F2"/>
            </w:tcBorders>
            <w:shd w:val="clear" w:color="auto" w:fill="3051F2"/>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52"/>
        </w:trPr>
        <w:tc>
          <w:tcPr>
            <w:tcW w:w="120" w:type="dxa"/>
            <w:vAlign w:val="bottom"/>
          </w:tcPr>
          <w:p>
            <w:pPr>
              <w:spacing w:after="0"/>
              <w:rPr>
                <w:sz w:val="13"/>
                <w:szCs w:val="13"/>
                <w:color w:val="auto"/>
              </w:rPr>
            </w:pPr>
          </w:p>
        </w:tc>
        <w:tc>
          <w:tcPr>
            <w:tcW w:w="120" w:type="dxa"/>
            <w:vAlign w:val="bottom"/>
          </w:tcPr>
          <w:p>
            <w:pPr>
              <w:spacing w:after="0" w:line="152" w:lineRule="exact"/>
              <w:rPr>
                <w:rFonts w:ascii="Arial" w:cs="Arial" w:eastAsia="Arial" w:hAnsi="Arial"/>
                <w:sz w:val="14"/>
                <w:szCs w:val="14"/>
                <w:color w:val="3051F2"/>
                <w:w w:val="85"/>
              </w:rPr>
            </w:pPr>
            <w:hyperlink w:anchor="page138">
              <w:r>
                <w:rPr>
                  <w:rFonts w:ascii="Arial" w:cs="Arial" w:eastAsia="Arial" w:hAnsi="Arial"/>
                  <w:sz w:val="14"/>
                  <w:szCs w:val="14"/>
                  <w:color w:val="3051F2"/>
                  <w:w w:val="85"/>
                </w:rPr>
                <w:t>5.</w:t>
              </w:r>
            </w:hyperlink>
          </w:p>
        </w:tc>
        <w:tc>
          <w:tcPr>
            <w:tcW w:w="10340" w:type="dxa"/>
            <w:vAlign w:val="bottom"/>
            <w:gridSpan w:val="27"/>
          </w:tcPr>
          <w:p>
            <w:pPr>
              <w:ind w:left="20"/>
              <w:spacing w:after="0" w:line="152" w:lineRule="exact"/>
              <w:rPr>
                <w:rFonts w:ascii="Arial" w:cs="Arial" w:eastAsia="Arial" w:hAnsi="Arial"/>
                <w:sz w:val="14"/>
                <w:szCs w:val="14"/>
                <w:color w:val="3051F2"/>
              </w:rPr>
            </w:pPr>
            <w:hyperlink w:anchor="page138">
              <w:r>
                <w:rPr>
                  <w:rFonts w:ascii="Arial" w:cs="Arial" w:eastAsia="Arial" w:hAnsi="Arial"/>
                  <w:sz w:val="14"/>
                  <w:szCs w:val="14"/>
                  <w:color w:val="3051F2"/>
                </w:rPr>
                <w:t>Equity Investments</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38">
              <w:r>
                <w:rPr>
                  <w:rFonts w:ascii="Arial" w:cs="Arial" w:eastAsia="Arial" w:hAnsi="Arial"/>
                  <w:sz w:val="14"/>
                  <w:szCs w:val="14"/>
                  <w:color w:val="3051F2"/>
                  <w:w w:val="90"/>
                </w:rPr>
                <w:t>35</w:t>
              </w:r>
            </w:hyperlink>
          </w:p>
        </w:tc>
      </w:tr>
      <w:tr>
        <w:trPr>
          <w:trHeight w:val="28"/>
        </w:trPr>
        <w:tc>
          <w:tcPr>
            <w:tcW w:w="120" w:type="dxa"/>
            <w:vAlign w:val="bottom"/>
            <w:tcBorders>
              <w:right w:val="single" w:sz="8" w:color="3051F2"/>
            </w:tcBorders>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400" w:type="dxa"/>
            <w:vAlign w:val="bottom"/>
            <w:shd w:val="clear" w:color="auto" w:fill="3051F2"/>
          </w:tcPr>
          <w:p>
            <w:pPr>
              <w:spacing w:after="0"/>
              <w:rPr>
                <w:sz w:val="2"/>
                <w:szCs w:val="2"/>
                <w:color w:val="auto"/>
              </w:rPr>
            </w:pPr>
          </w:p>
        </w:tc>
        <w:tc>
          <w:tcPr>
            <w:tcW w:w="120" w:type="dxa"/>
            <w:vAlign w:val="bottom"/>
            <w:tcBorders>
              <w:left w:val="single" w:sz="8" w:color="3051F2"/>
            </w:tcBorders>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Borders>
              <w:right w:val="single" w:sz="8" w:color="3051F2"/>
            </w:tcBorders>
          </w:tcPr>
          <w:p>
            <w:pPr>
              <w:spacing w:after="0"/>
              <w:rPr>
                <w:sz w:val="2"/>
                <w:szCs w:val="2"/>
                <w:color w:val="auto"/>
              </w:rPr>
            </w:pPr>
          </w:p>
        </w:tc>
        <w:tc>
          <w:tcPr>
            <w:tcW w:w="260" w:type="dxa"/>
            <w:vAlign w:val="bottom"/>
            <w:tcBorders>
              <w:right w:val="single" w:sz="8" w:color="3051F2"/>
            </w:tcBorders>
            <w:shd w:val="clear" w:color="auto" w:fill="3051F2"/>
          </w:tcPr>
          <w:p>
            <w:pPr>
              <w:spacing w:after="0"/>
              <w:rPr>
                <w:sz w:val="2"/>
                <w:szCs w:val="2"/>
                <w:color w:val="auto"/>
              </w:rPr>
            </w:pPr>
          </w:p>
        </w:tc>
        <w:tc>
          <w:tcPr>
            <w:tcW w:w="420" w:type="dxa"/>
            <w:vAlign w:val="bottom"/>
          </w:tcPr>
          <w:p>
            <w:pPr>
              <w:spacing w:after="0"/>
              <w:rPr>
                <w:sz w:val="2"/>
                <w:szCs w:val="2"/>
                <w:color w:val="auto"/>
              </w:rPr>
            </w:pPr>
          </w:p>
        </w:tc>
      </w:tr>
      <w:tr>
        <w:trPr>
          <w:trHeight w:val="175"/>
        </w:trPr>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line="159" w:lineRule="exact"/>
              <w:rPr>
                <w:rFonts w:ascii="Arial" w:cs="Arial" w:eastAsia="Arial" w:hAnsi="Arial"/>
                <w:sz w:val="14"/>
                <w:szCs w:val="14"/>
                <w:color w:val="3051F2"/>
                <w:w w:val="85"/>
              </w:rPr>
            </w:pPr>
            <w:hyperlink w:anchor="page140">
              <w:r>
                <w:rPr>
                  <w:rFonts w:ascii="Arial" w:cs="Arial" w:eastAsia="Arial" w:hAnsi="Arial"/>
                  <w:sz w:val="14"/>
                  <w:szCs w:val="14"/>
                  <w:color w:val="3051F2"/>
                  <w:w w:val="85"/>
                </w:rPr>
                <w:t>6.</w:t>
              </w:r>
            </w:hyperlink>
          </w:p>
        </w:tc>
        <w:tc>
          <w:tcPr>
            <w:tcW w:w="10340" w:type="dxa"/>
            <w:vAlign w:val="bottom"/>
            <w:tcBorders>
              <w:right w:val="single" w:sz="8" w:color="CCEEFF"/>
            </w:tcBorders>
            <w:gridSpan w:val="27"/>
            <w:shd w:val="clear" w:color="auto" w:fill="CCEEFF"/>
          </w:tcPr>
          <w:p>
            <w:pPr>
              <w:ind w:left="20"/>
              <w:spacing w:after="0" w:line="159" w:lineRule="exact"/>
              <w:rPr>
                <w:rFonts w:ascii="Arial" w:cs="Arial" w:eastAsia="Arial" w:hAnsi="Arial"/>
                <w:sz w:val="14"/>
                <w:szCs w:val="14"/>
                <w:color w:val="3051F2"/>
              </w:rPr>
            </w:pPr>
            <w:hyperlink w:anchor="page140">
              <w:r>
                <w:rPr>
                  <w:rFonts w:ascii="Arial" w:cs="Arial" w:eastAsia="Arial" w:hAnsi="Arial"/>
                  <w:sz w:val="14"/>
                  <w:szCs w:val="14"/>
                  <w:color w:val="3051F2"/>
                </w:rPr>
                <w:t>Goodwill, Deferred Leasing Costs and Other Intangibles</w:t>
              </w:r>
            </w:hyperlink>
          </w:p>
        </w:tc>
        <w:tc>
          <w:tcPr>
            <w:tcW w:w="680" w:type="dxa"/>
            <w:vAlign w:val="bottom"/>
            <w:gridSpan w:val="2"/>
            <w:shd w:val="clear" w:color="auto" w:fill="CCEEFF"/>
          </w:tcPr>
          <w:p>
            <w:pPr>
              <w:jc w:val="center"/>
              <w:ind w:right="420"/>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40">
              <w:r>
                <w:rPr>
                  <w:rFonts w:ascii="Arial" w:cs="Arial" w:eastAsia="Arial" w:hAnsi="Arial"/>
                  <w:sz w:val="14"/>
                  <w:szCs w:val="14"/>
                  <w:color w:val="3051F2"/>
                  <w:w w:val="90"/>
                </w:rPr>
                <w:t>37</w:t>
              </w:r>
            </w:hyperlink>
          </w:p>
        </w:tc>
      </w:tr>
      <w:tr>
        <w:trPr>
          <w:trHeight w:val="160"/>
        </w:trPr>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3051F2"/>
            </w:tcBorders>
          </w:tcPr>
          <w:p>
            <w:pPr>
              <w:spacing w:after="0" w:line="152" w:lineRule="exact"/>
              <w:rPr>
                <w:rFonts w:ascii="Arial" w:cs="Arial" w:eastAsia="Arial" w:hAnsi="Arial"/>
                <w:sz w:val="14"/>
                <w:szCs w:val="14"/>
                <w:color w:val="3051F2"/>
                <w:w w:val="85"/>
              </w:rPr>
            </w:pPr>
            <w:hyperlink w:anchor="page142">
              <w:r>
                <w:rPr>
                  <w:rFonts w:ascii="Arial" w:cs="Arial" w:eastAsia="Arial" w:hAnsi="Arial"/>
                  <w:sz w:val="14"/>
                  <w:szCs w:val="14"/>
                  <w:color w:val="3051F2"/>
                  <w:w w:val="85"/>
                </w:rPr>
                <w:t>7.</w:t>
              </w:r>
            </w:hyperlink>
          </w:p>
        </w:tc>
        <w:tc>
          <w:tcPr>
            <w:tcW w:w="3480" w:type="dxa"/>
            <w:vAlign w:val="bottom"/>
            <w:tcBorders>
              <w:top w:val="single" w:sz="8" w:color="3051F2"/>
            </w:tcBorders>
            <w:gridSpan w:val="26"/>
          </w:tcPr>
          <w:p>
            <w:pPr>
              <w:ind w:left="20"/>
              <w:spacing w:after="0" w:line="152" w:lineRule="exact"/>
              <w:rPr>
                <w:rFonts w:ascii="Arial" w:cs="Arial" w:eastAsia="Arial" w:hAnsi="Arial"/>
                <w:sz w:val="14"/>
                <w:szCs w:val="14"/>
                <w:color w:val="3051F2"/>
              </w:rPr>
            </w:pPr>
            <w:hyperlink w:anchor="page142">
              <w:r>
                <w:rPr>
                  <w:rFonts w:ascii="Arial" w:cs="Arial" w:eastAsia="Arial" w:hAnsi="Arial"/>
                  <w:sz w:val="14"/>
                  <w:szCs w:val="14"/>
                  <w:color w:val="3051F2"/>
                </w:rPr>
                <w:t>Restricted Cash, Other Assets and Other Liabilities</w:t>
              </w:r>
            </w:hyperlink>
          </w:p>
        </w:tc>
        <w:tc>
          <w:tcPr>
            <w:tcW w:w="6860" w:type="dxa"/>
            <w:vAlign w:val="bottom"/>
            <w:tcBorders>
              <w:top w:val="single" w:sz="8" w:color="CCEEFF"/>
            </w:tcBorders>
          </w:tcPr>
          <w:p>
            <w:pPr>
              <w:spacing w:after="0"/>
              <w:rPr>
                <w:sz w:val="13"/>
                <w:szCs w:val="13"/>
                <w:color w:val="auto"/>
              </w:rPr>
            </w:pPr>
          </w:p>
        </w:tc>
        <w:tc>
          <w:tcPr>
            <w:tcW w:w="260" w:type="dxa"/>
            <w:vAlign w:val="bottom"/>
            <w:tcBorders>
              <w:top w:val="single" w:sz="8" w:color="3051F2"/>
            </w:tcBorders>
          </w:tcPr>
          <w:p>
            <w:pPr>
              <w:jc w:val="center"/>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42">
              <w:r>
                <w:rPr>
                  <w:rFonts w:ascii="Arial" w:cs="Arial" w:eastAsia="Arial" w:hAnsi="Arial"/>
                  <w:sz w:val="14"/>
                  <w:szCs w:val="14"/>
                  <w:color w:val="3051F2"/>
                  <w:w w:val="90"/>
                </w:rPr>
                <w:t>39</w:t>
              </w:r>
            </w:hyperlink>
          </w:p>
        </w:tc>
        <w:tc>
          <w:tcPr>
            <w:tcW w:w="420" w:type="dxa"/>
            <w:vAlign w:val="bottom"/>
            <w:tcBorders>
              <w:top w:val="single" w:sz="8" w:color="CCEEFF"/>
            </w:tcBorders>
          </w:tcPr>
          <w:p>
            <w:pPr>
              <w:spacing w:after="0"/>
              <w:rPr>
                <w:sz w:val="13"/>
                <w:szCs w:val="13"/>
                <w:color w:val="auto"/>
              </w:rPr>
            </w:pPr>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3051F2"/>
              <w:bottom w:val="single" w:sz="8" w:color="3051F2"/>
            </w:tcBorders>
            <w:shd w:val="clear" w:color="auto" w:fill="CCEEFF"/>
          </w:tcPr>
          <w:p>
            <w:pPr>
              <w:spacing w:after="0" w:line="159" w:lineRule="exact"/>
              <w:rPr>
                <w:rFonts w:ascii="Arial" w:cs="Arial" w:eastAsia="Arial" w:hAnsi="Arial"/>
                <w:sz w:val="14"/>
                <w:szCs w:val="14"/>
                <w:color w:val="3051F2"/>
                <w:w w:val="85"/>
              </w:rPr>
            </w:pPr>
            <w:hyperlink w:anchor="page143">
              <w:r>
                <w:rPr>
                  <w:rFonts w:ascii="Arial" w:cs="Arial" w:eastAsia="Arial" w:hAnsi="Arial"/>
                  <w:sz w:val="14"/>
                  <w:szCs w:val="14"/>
                  <w:color w:val="3051F2"/>
                  <w:w w:val="85"/>
                </w:rPr>
                <w:t>8.</w:t>
              </w:r>
            </w:hyperlink>
          </w:p>
        </w:tc>
        <w:tc>
          <w:tcPr>
            <w:tcW w:w="320" w:type="dxa"/>
            <w:vAlign w:val="bottom"/>
            <w:tcBorders>
              <w:top w:val="single" w:sz="8" w:color="3051F2"/>
              <w:bottom w:val="single" w:sz="8" w:color="3051F2"/>
            </w:tcBorders>
            <w:gridSpan w:val="2"/>
            <w:shd w:val="clear" w:color="auto" w:fill="CCEEFF"/>
          </w:tcPr>
          <w:p>
            <w:pPr>
              <w:ind w:left="20"/>
              <w:spacing w:after="0" w:line="159" w:lineRule="exact"/>
              <w:rPr>
                <w:rFonts w:ascii="Arial" w:cs="Arial" w:eastAsia="Arial" w:hAnsi="Arial"/>
                <w:sz w:val="14"/>
                <w:szCs w:val="14"/>
                <w:color w:val="3051F2"/>
                <w:w w:val="94"/>
              </w:rPr>
            </w:pPr>
            <w:hyperlink w:anchor="page143">
              <w:r>
                <w:rPr>
                  <w:rFonts w:ascii="Arial" w:cs="Arial" w:eastAsia="Arial" w:hAnsi="Arial"/>
                  <w:sz w:val="14"/>
                  <w:szCs w:val="14"/>
                  <w:color w:val="3051F2"/>
                  <w:w w:val="94"/>
                </w:rPr>
                <w:t>Debt</w:t>
              </w:r>
            </w:hyperlink>
          </w:p>
        </w:tc>
        <w:tc>
          <w:tcPr>
            <w:tcW w:w="2860" w:type="dxa"/>
            <w:vAlign w:val="bottom"/>
            <w:tcBorders>
              <w:top w:val="single" w:sz="8" w:color="3051F2"/>
              <w:bottom w:val="single" w:sz="8" w:color="CCEEFF"/>
            </w:tcBorders>
            <w:gridSpan w:val="19"/>
            <w:shd w:val="clear" w:color="auto" w:fill="CCEEFF"/>
          </w:tcPr>
          <w:p>
            <w:pPr>
              <w:spacing w:after="0"/>
              <w:rPr>
                <w:sz w:val="15"/>
                <w:szCs w:val="15"/>
                <w:color w:val="auto"/>
              </w:rPr>
            </w:pPr>
          </w:p>
        </w:tc>
        <w:tc>
          <w:tcPr>
            <w:tcW w:w="7160" w:type="dxa"/>
            <w:vAlign w:val="bottom"/>
            <w:tcBorders>
              <w:bottom w:val="single" w:sz="8" w:color="CCEEFF"/>
              <w:right w:val="single" w:sz="8" w:color="CCEEFF"/>
            </w:tcBorders>
            <w:gridSpan w:val="6"/>
            <w:shd w:val="clear" w:color="auto" w:fill="CCEEFF"/>
          </w:tcPr>
          <w:p>
            <w:pPr>
              <w:spacing w:after="0"/>
              <w:rPr>
                <w:sz w:val="15"/>
                <w:szCs w:val="15"/>
                <w:color w:val="auto"/>
              </w:rPr>
            </w:pPr>
          </w:p>
        </w:tc>
        <w:tc>
          <w:tcPr>
            <w:tcW w:w="260" w:type="dxa"/>
            <w:vAlign w:val="bottom"/>
            <w:tcBorders>
              <w:top w:val="single" w:sz="8" w:color="3051F2"/>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43">
              <w:r>
                <w:rPr>
                  <w:rFonts w:ascii="Arial" w:cs="Arial" w:eastAsia="Arial" w:hAnsi="Arial"/>
                  <w:sz w:val="14"/>
                  <w:szCs w:val="14"/>
                  <w:color w:val="3051F2"/>
                  <w:w w:val="90"/>
                </w:rPr>
                <w:t>40</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52"/>
        </w:trPr>
        <w:tc>
          <w:tcPr>
            <w:tcW w:w="120" w:type="dxa"/>
            <w:vAlign w:val="bottom"/>
          </w:tcPr>
          <w:p>
            <w:pPr>
              <w:spacing w:after="0"/>
              <w:rPr>
                <w:sz w:val="13"/>
                <w:szCs w:val="13"/>
                <w:color w:val="auto"/>
              </w:rPr>
            </w:pPr>
          </w:p>
        </w:tc>
        <w:tc>
          <w:tcPr>
            <w:tcW w:w="120" w:type="dxa"/>
            <w:vAlign w:val="bottom"/>
          </w:tcPr>
          <w:p>
            <w:pPr>
              <w:spacing w:after="0" w:line="152" w:lineRule="exact"/>
              <w:rPr>
                <w:rFonts w:ascii="Arial" w:cs="Arial" w:eastAsia="Arial" w:hAnsi="Arial"/>
                <w:sz w:val="14"/>
                <w:szCs w:val="14"/>
                <w:color w:val="3051F2"/>
                <w:w w:val="85"/>
              </w:rPr>
            </w:pPr>
            <w:hyperlink w:anchor="page147">
              <w:r>
                <w:rPr>
                  <w:rFonts w:ascii="Arial" w:cs="Arial" w:eastAsia="Arial" w:hAnsi="Arial"/>
                  <w:sz w:val="14"/>
                  <w:szCs w:val="14"/>
                  <w:color w:val="3051F2"/>
                  <w:w w:val="85"/>
                </w:rPr>
                <w:t>9.</w:t>
              </w:r>
            </w:hyperlink>
          </w:p>
        </w:tc>
        <w:tc>
          <w:tcPr>
            <w:tcW w:w="10340" w:type="dxa"/>
            <w:vAlign w:val="bottom"/>
            <w:gridSpan w:val="27"/>
          </w:tcPr>
          <w:p>
            <w:pPr>
              <w:ind w:left="20"/>
              <w:spacing w:after="0" w:line="152" w:lineRule="exact"/>
              <w:rPr>
                <w:rFonts w:ascii="Arial" w:cs="Arial" w:eastAsia="Arial" w:hAnsi="Arial"/>
                <w:sz w:val="14"/>
                <w:szCs w:val="14"/>
                <w:color w:val="3051F2"/>
              </w:rPr>
            </w:pPr>
            <w:hyperlink w:anchor="page147">
              <w:r>
                <w:rPr>
                  <w:rFonts w:ascii="Arial" w:cs="Arial" w:eastAsia="Arial" w:hAnsi="Arial"/>
                  <w:sz w:val="14"/>
                  <w:szCs w:val="14"/>
                  <w:color w:val="3051F2"/>
                </w:rPr>
                <w:t>Stockholders' Equity</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47">
              <w:r>
                <w:rPr>
                  <w:rFonts w:ascii="Arial" w:cs="Arial" w:eastAsia="Arial" w:hAnsi="Arial"/>
                  <w:sz w:val="14"/>
                  <w:szCs w:val="14"/>
                  <w:color w:val="3051F2"/>
                  <w:w w:val="90"/>
                </w:rPr>
                <w:t>45</w:t>
              </w:r>
            </w:hyperlink>
          </w:p>
        </w:tc>
      </w:tr>
      <w:tr>
        <w:trPr>
          <w:trHeight w:val="28"/>
        </w:trPr>
        <w:tc>
          <w:tcPr>
            <w:tcW w:w="120" w:type="dxa"/>
            <w:vAlign w:val="bottom"/>
            <w:tcBorders>
              <w:right w:val="single" w:sz="8" w:color="3051F2"/>
            </w:tcBorders>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400" w:type="dxa"/>
            <w:vAlign w:val="bottom"/>
            <w:shd w:val="clear" w:color="auto" w:fill="3051F2"/>
          </w:tcPr>
          <w:p>
            <w:pPr>
              <w:spacing w:after="0"/>
              <w:rPr>
                <w:sz w:val="2"/>
                <w:szCs w:val="2"/>
                <w:color w:val="auto"/>
              </w:rPr>
            </w:pPr>
          </w:p>
        </w:tc>
        <w:tc>
          <w:tcPr>
            <w:tcW w:w="120" w:type="dxa"/>
            <w:vAlign w:val="bottom"/>
            <w:tcBorders>
              <w:left w:val="single" w:sz="8" w:color="3051F2"/>
            </w:tcBorders>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Borders>
              <w:right w:val="single" w:sz="8" w:color="3051F2"/>
            </w:tcBorders>
          </w:tcPr>
          <w:p>
            <w:pPr>
              <w:spacing w:after="0"/>
              <w:rPr>
                <w:sz w:val="2"/>
                <w:szCs w:val="2"/>
                <w:color w:val="auto"/>
              </w:rPr>
            </w:pPr>
          </w:p>
        </w:tc>
        <w:tc>
          <w:tcPr>
            <w:tcW w:w="260" w:type="dxa"/>
            <w:vAlign w:val="bottom"/>
            <w:tcBorders>
              <w:right w:val="single" w:sz="8" w:color="3051F2"/>
            </w:tcBorders>
            <w:shd w:val="clear" w:color="auto" w:fill="3051F2"/>
          </w:tcPr>
          <w:p>
            <w:pPr>
              <w:spacing w:after="0"/>
              <w:rPr>
                <w:sz w:val="2"/>
                <w:szCs w:val="2"/>
                <w:color w:val="auto"/>
              </w:rPr>
            </w:pPr>
          </w:p>
        </w:tc>
        <w:tc>
          <w:tcPr>
            <w:tcW w:w="420" w:type="dxa"/>
            <w:vAlign w:val="bottom"/>
          </w:tcPr>
          <w:p>
            <w:pPr>
              <w:spacing w:after="0"/>
              <w:rPr>
                <w:sz w:val="2"/>
                <w:szCs w:val="2"/>
                <w:color w:val="auto"/>
              </w:rPr>
            </w:pPr>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3051F2"/>
            </w:tcBorders>
            <w:gridSpan w:val="2"/>
            <w:shd w:val="clear" w:color="auto" w:fill="CCEEFF"/>
          </w:tcPr>
          <w:p>
            <w:pPr>
              <w:spacing w:after="0" w:line="159" w:lineRule="exact"/>
              <w:rPr>
                <w:rFonts w:ascii="Arial" w:cs="Arial" w:eastAsia="Arial" w:hAnsi="Arial"/>
                <w:sz w:val="14"/>
                <w:szCs w:val="14"/>
                <w:color w:val="3051F2"/>
                <w:w w:val="92"/>
              </w:rPr>
            </w:pPr>
            <w:hyperlink w:anchor="page150">
              <w:r>
                <w:rPr>
                  <w:rFonts w:ascii="Arial" w:cs="Arial" w:eastAsia="Arial" w:hAnsi="Arial"/>
                  <w:sz w:val="14"/>
                  <w:szCs w:val="14"/>
                  <w:color w:val="3051F2"/>
                  <w:w w:val="92"/>
                </w:rPr>
                <w:t>10.</w:t>
              </w:r>
            </w:hyperlink>
          </w:p>
        </w:tc>
        <w:tc>
          <w:tcPr>
            <w:tcW w:w="1500" w:type="dxa"/>
            <w:vAlign w:val="bottom"/>
            <w:tcBorders>
              <w:bottom w:val="single" w:sz="8" w:color="3051F2"/>
            </w:tcBorders>
            <w:gridSpan w:val="9"/>
            <w:shd w:val="clear" w:color="auto" w:fill="CCEEFF"/>
          </w:tcPr>
          <w:p>
            <w:pPr>
              <w:ind w:left="20"/>
              <w:spacing w:after="0" w:line="159" w:lineRule="exact"/>
              <w:rPr>
                <w:rFonts w:ascii="Arial" w:cs="Arial" w:eastAsia="Arial" w:hAnsi="Arial"/>
                <w:sz w:val="14"/>
                <w:szCs w:val="14"/>
                <w:color w:val="3051F2"/>
                <w:w w:val="99"/>
              </w:rPr>
            </w:pPr>
            <w:hyperlink w:anchor="page150">
              <w:r>
                <w:rPr>
                  <w:rFonts w:ascii="Arial" w:cs="Arial" w:eastAsia="Arial" w:hAnsi="Arial"/>
                  <w:sz w:val="14"/>
                  <w:szCs w:val="14"/>
                  <w:color w:val="3051F2"/>
                  <w:w w:val="99"/>
                </w:rPr>
                <w:t>Noncontrolling Interests</w:t>
              </w:r>
            </w:hyperlink>
          </w:p>
        </w:tc>
        <w:tc>
          <w:tcPr>
            <w:tcW w:w="8760" w:type="dxa"/>
            <w:vAlign w:val="bottom"/>
            <w:tcBorders>
              <w:bottom w:val="single" w:sz="8" w:color="CCEEFF"/>
              <w:right w:val="single" w:sz="8" w:color="CCEEFF"/>
            </w:tcBorders>
            <w:gridSpan w:val="17"/>
            <w:shd w:val="clear" w:color="auto" w:fill="CCEEFF"/>
          </w:tcPr>
          <w:p>
            <w:pPr>
              <w:spacing w:after="0"/>
              <w:rPr>
                <w:sz w:val="15"/>
                <w:szCs w:val="15"/>
                <w:color w:val="auto"/>
              </w:rPr>
            </w:pPr>
          </w:p>
        </w:tc>
        <w:tc>
          <w:tcPr>
            <w:tcW w:w="260" w:type="dxa"/>
            <w:vAlign w:val="bottom"/>
            <w:tcBorders>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50">
              <w:r>
                <w:rPr>
                  <w:rFonts w:ascii="Arial" w:cs="Arial" w:eastAsia="Arial" w:hAnsi="Arial"/>
                  <w:sz w:val="14"/>
                  <w:szCs w:val="14"/>
                  <w:color w:val="3051F2"/>
                  <w:w w:val="90"/>
                </w:rPr>
                <w:t>48</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60"/>
        </w:trPr>
        <w:tc>
          <w:tcPr>
            <w:tcW w:w="120" w:type="dxa"/>
            <w:vAlign w:val="bottom"/>
          </w:tcPr>
          <w:p>
            <w:pPr>
              <w:spacing w:after="0"/>
              <w:rPr>
                <w:sz w:val="13"/>
                <w:szCs w:val="13"/>
                <w:color w:val="auto"/>
              </w:rPr>
            </w:pPr>
          </w:p>
        </w:tc>
        <w:tc>
          <w:tcPr>
            <w:tcW w:w="200" w:type="dxa"/>
            <w:vAlign w:val="bottom"/>
            <w:gridSpan w:val="2"/>
          </w:tcPr>
          <w:p>
            <w:pPr>
              <w:spacing w:after="0" w:line="152" w:lineRule="exact"/>
              <w:rPr>
                <w:rFonts w:ascii="Arial" w:cs="Arial" w:eastAsia="Arial" w:hAnsi="Arial"/>
                <w:sz w:val="14"/>
                <w:szCs w:val="14"/>
                <w:color w:val="3051F2"/>
                <w:w w:val="92"/>
              </w:rPr>
            </w:pPr>
            <w:hyperlink w:anchor="page152">
              <w:r>
                <w:rPr>
                  <w:rFonts w:ascii="Arial" w:cs="Arial" w:eastAsia="Arial" w:hAnsi="Arial"/>
                  <w:sz w:val="14"/>
                  <w:szCs w:val="14"/>
                  <w:color w:val="3051F2"/>
                  <w:w w:val="92"/>
                </w:rPr>
                <w:t>11.</w:t>
              </w:r>
            </w:hyperlink>
          </w:p>
        </w:tc>
        <w:tc>
          <w:tcPr>
            <w:tcW w:w="10260" w:type="dxa"/>
            <w:vAlign w:val="bottom"/>
            <w:gridSpan w:val="26"/>
          </w:tcPr>
          <w:p>
            <w:pPr>
              <w:ind w:left="20"/>
              <w:spacing w:after="0" w:line="152" w:lineRule="exact"/>
              <w:rPr>
                <w:rFonts w:ascii="Arial" w:cs="Arial" w:eastAsia="Arial" w:hAnsi="Arial"/>
                <w:sz w:val="14"/>
                <w:szCs w:val="14"/>
                <w:color w:val="3051F2"/>
              </w:rPr>
            </w:pPr>
            <w:hyperlink w:anchor="page152">
              <w:r>
                <w:rPr>
                  <w:rFonts w:ascii="Arial" w:cs="Arial" w:eastAsia="Arial" w:hAnsi="Arial"/>
                  <w:sz w:val="14"/>
                  <w:szCs w:val="14"/>
                  <w:color w:val="3051F2"/>
                </w:rPr>
                <w:t>Assets and Related Liabilities Held for Disposition</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52">
              <w:r>
                <w:rPr>
                  <w:rFonts w:ascii="Arial" w:cs="Arial" w:eastAsia="Arial" w:hAnsi="Arial"/>
                  <w:sz w:val="14"/>
                  <w:szCs w:val="14"/>
                  <w:color w:val="3051F2"/>
                  <w:w w:val="90"/>
                </w:rPr>
                <w:t>49</w:t>
              </w:r>
            </w:hyperlink>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3051F2"/>
              <w:bottom w:val="single" w:sz="8" w:color="3051F2"/>
            </w:tcBorders>
            <w:gridSpan w:val="2"/>
            <w:shd w:val="clear" w:color="auto" w:fill="CCEEFF"/>
          </w:tcPr>
          <w:p>
            <w:pPr>
              <w:spacing w:after="0" w:line="159" w:lineRule="exact"/>
              <w:rPr>
                <w:rFonts w:ascii="Arial" w:cs="Arial" w:eastAsia="Arial" w:hAnsi="Arial"/>
                <w:sz w:val="14"/>
                <w:szCs w:val="14"/>
                <w:color w:val="3051F2"/>
                <w:w w:val="92"/>
              </w:rPr>
            </w:pPr>
            <w:hyperlink w:anchor="page155">
              <w:r>
                <w:rPr>
                  <w:rFonts w:ascii="Arial" w:cs="Arial" w:eastAsia="Arial" w:hAnsi="Arial"/>
                  <w:sz w:val="14"/>
                  <w:szCs w:val="14"/>
                  <w:color w:val="3051F2"/>
                  <w:w w:val="92"/>
                </w:rPr>
                <w:t>12.</w:t>
              </w:r>
            </w:hyperlink>
          </w:p>
        </w:tc>
        <w:tc>
          <w:tcPr>
            <w:tcW w:w="1560" w:type="dxa"/>
            <w:vAlign w:val="bottom"/>
            <w:tcBorders>
              <w:top w:val="single" w:sz="8" w:color="3051F2"/>
              <w:bottom w:val="single" w:sz="8" w:color="3051F2"/>
            </w:tcBorders>
            <w:gridSpan w:val="12"/>
            <w:shd w:val="clear" w:color="auto" w:fill="CCEEFF"/>
          </w:tcPr>
          <w:p>
            <w:pPr>
              <w:ind w:left="20"/>
              <w:spacing w:after="0" w:line="159" w:lineRule="exact"/>
              <w:rPr>
                <w:rFonts w:ascii="Arial" w:cs="Arial" w:eastAsia="Arial" w:hAnsi="Arial"/>
                <w:sz w:val="14"/>
                <w:szCs w:val="14"/>
                <w:color w:val="3051F2"/>
                <w:w w:val="99"/>
              </w:rPr>
            </w:pPr>
            <w:hyperlink w:anchor="page155">
              <w:r>
                <w:rPr>
                  <w:rFonts w:ascii="Arial" w:cs="Arial" w:eastAsia="Arial" w:hAnsi="Arial"/>
                  <w:sz w:val="14"/>
                  <w:szCs w:val="14"/>
                  <w:color w:val="3051F2"/>
                  <w:w w:val="99"/>
                </w:rPr>
                <w:t>Discontinued Operations</w:t>
              </w:r>
            </w:hyperlink>
          </w:p>
        </w:tc>
        <w:tc>
          <w:tcPr>
            <w:tcW w:w="1540" w:type="dxa"/>
            <w:vAlign w:val="bottom"/>
            <w:tcBorders>
              <w:top w:val="single" w:sz="8" w:color="3051F2"/>
              <w:bottom w:val="single" w:sz="8" w:color="CCEEFF"/>
            </w:tcBorders>
            <w:gridSpan w:val="8"/>
            <w:shd w:val="clear" w:color="auto" w:fill="CCEEFF"/>
          </w:tcPr>
          <w:p>
            <w:pPr>
              <w:spacing w:after="0"/>
              <w:rPr>
                <w:sz w:val="15"/>
                <w:szCs w:val="15"/>
                <w:color w:val="auto"/>
              </w:rPr>
            </w:pPr>
          </w:p>
        </w:tc>
        <w:tc>
          <w:tcPr>
            <w:tcW w:w="7160" w:type="dxa"/>
            <w:vAlign w:val="bottom"/>
            <w:tcBorders>
              <w:bottom w:val="single" w:sz="8" w:color="CCEEFF"/>
              <w:right w:val="single" w:sz="8" w:color="CCEEFF"/>
            </w:tcBorders>
            <w:gridSpan w:val="6"/>
            <w:shd w:val="clear" w:color="auto" w:fill="CCEEFF"/>
          </w:tcPr>
          <w:p>
            <w:pPr>
              <w:spacing w:after="0"/>
              <w:rPr>
                <w:sz w:val="15"/>
                <w:szCs w:val="15"/>
                <w:color w:val="auto"/>
              </w:rPr>
            </w:pPr>
          </w:p>
        </w:tc>
        <w:tc>
          <w:tcPr>
            <w:tcW w:w="260" w:type="dxa"/>
            <w:vAlign w:val="bottom"/>
            <w:tcBorders>
              <w:top w:val="single" w:sz="8" w:color="3051F2"/>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55">
              <w:r>
                <w:rPr>
                  <w:rFonts w:ascii="Arial" w:cs="Arial" w:eastAsia="Arial" w:hAnsi="Arial"/>
                  <w:sz w:val="14"/>
                  <w:szCs w:val="14"/>
                  <w:color w:val="3051F2"/>
                  <w:w w:val="90"/>
                </w:rPr>
                <w:t>52</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52"/>
        </w:trPr>
        <w:tc>
          <w:tcPr>
            <w:tcW w:w="120" w:type="dxa"/>
            <w:vAlign w:val="bottom"/>
          </w:tcPr>
          <w:p>
            <w:pPr>
              <w:spacing w:after="0"/>
              <w:rPr>
                <w:sz w:val="13"/>
                <w:szCs w:val="13"/>
                <w:color w:val="auto"/>
              </w:rPr>
            </w:pPr>
          </w:p>
        </w:tc>
        <w:tc>
          <w:tcPr>
            <w:tcW w:w="200" w:type="dxa"/>
            <w:vAlign w:val="bottom"/>
            <w:gridSpan w:val="2"/>
          </w:tcPr>
          <w:p>
            <w:pPr>
              <w:spacing w:after="0" w:line="152" w:lineRule="exact"/>
              <w:rPr>
                <w:rFonts w:ascii="Arial" w:cs="Arial" w:eastAsia="Arial" w:hAnsi="Arial"/>
                <w:sz w:val="14"/>
                <w:szCs w:val="14"/>
                <w:color w:val="3051F2"/>
                <w:w w:val="92"/>
              </w:rPr>
            </w:pPr>
            <w:hyperlink w:anchor="page156">
              <w:r>
                <w:rPr>
                  <w:rFonts w:ascii="Arial" w:cs="Arial" w:eastAsia="Arial" w:hAnsi="Arial"/>
                  <w:sz w:val="14"/>
                  <w:szCs w:val="14"/>
                  <w:color w:val="3051F2"/>
                  <w:w w:val="92"/>
                </w:rPr>
                <w:t>13.</w:t>
              </w:r>
            </w:hyperlink>
          </w:p>
        </w:tc>
        <w:tc>
          <w:tcPr>
            <w:tcW w:w="10260" w:type="dxa"/>
            <w:vAlign w:val="bottom"/>
            <w:gridSpan w:val="26"/>
          </w:tcPr>
          <w:p>
            <w:pPr>
              <w:ind w:left="20"/>
              <w:spacing w:after="0" w:line="152" w:lineRule="exact"/>
              <w:rPr>
                <w:rFonts w:ascii="Arial" w:cs="Arial" w:eastAsia="Arial" w:hAnsi="Arial"/>
                <w:sz w:val="14"/>
                <w:szCs w:val="14"/>
                <w:color w:val="3051F2"/>
              </w:rPr>
            </w:pPr>
            <w:hyperlink w:anchor="page156">
              <w:r>
                <w:rPr>
                  <w:rFonts w:ascii="Arial" w:cs="Arial" w:eastAsia="Arial" w:hAnsi="Arial"/>
                  <w:sz w:val="14"/>
                  <w:szCs w:val="14"/>
                  <w:color w:val="3051F2"/>
                </w:rPr>
                <w:t>Fair Value</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56">
              <w:r>
                <w:rPr>
                  <w:rFonts w:ascii="Arial" w:cs="Arial" w:eastAsia="Arial" w:hAnsi="Arial"/>
                  <w:sz w:val="14"/>
                  <w:szCs w:val="14"/>
                  <w:color w:val="3051F2"/>
                  <w:w w:val="90"/>
                </w:rPr>
                <w:t>53</w:t>
              </w:r>
            </w:hyperlink>
          </w:p>
        </w:tc>
      </w:tr>
      <w:tr>
        <w:trPr>
          <w:trHeight w:val="28"/>
        </w:trPr>
        <w:tc>
          <w:tcPr>
            <w:tcW w:w="120" w:type="dxa"/>
            <w:vAlign w:val="bottom"/>
            <w:tcBorders>
              <w:right w:val="single" w:sz="8" w:color="3051F2"/>
            </w:tcBorders>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400" w:type="dxa"/>
            <w:vAlign w:val="bottom"/>
            <w:shd w:val="clear" w:color="auto" w:fill="3051F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Borders>
              <w:right w:val="single" w:sz="8" w:color="3051F2"/>
            </w:tcBorders>
          </w:tcPr>
          <w:p>
            <w:pPr>
              <w:spacing w:after="0"/>
              <w:rPr>
                <w:sz w:val="2"/>
                <w:szCs w:val="2"/>
                <w:color w:val="auto"/>
              </w:rPr>
            </w:pPr>
          </w:p>
        </w:tc>
        <w:tc>
          <w:tcPr>
            <w:tcW w:w="260" w:type="dxa"/>
            <w:vAlign w:val="bottom"/>
            <w:tcBorders>
              <w:right w:val="single" w:sz="8" w:color="3051F2"/>
            </w:tcBorders>
            <w:shd w:val="clear" w:color="auto" w:fill="3051F2"/>
          </w:tcPr>
          <w:p>
            <w:pPr>
              <w:spacing w:after="0"/>
              <w:rPr>
                <w:sz w:val="2"/>
                <w:szCs w:val="2"/>
                <w:color w:val="auto"/>
              </w:rPr>
            </w:pPr>
          </w:p>
        </w:tc>
        <w:tc>
          <w:tcPr>
            <w:tcW w:w="420" w:type="dxa"/>
            <w:vAlign w:val="bottom"/>
          </w:tcPr>
          <w:p>
            <w:pPr>
              <w:spacing w:after="0"/>
              <w:rPr>
                <w:sz w:val="2"/>
                <w:szCs w:val="2"/>
                <w:color w:val="auto"/>
              </w:rPr>
            </w:pPr>
          </w:p>
        </w:tc>
      </w:tr>
      <w:tr>
        <w:trPr>
          <w:trHeight w:val="175"/>
        </w:trPr>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shd w:val="clear" w:color="auto" w:fill="CCEEFF"/>
          </w:tcPr>
          <w:p>
            <w:pPr>
              <w:spacing w:after="0" w:line="159" w:lineRule="exact"/>
              <w:rPr>
                <w:rFonts w:ascii="Arial" w:cs="Arial" w:eastAsia="Arial" w:hAnsi="Arial"/>
                <w:sz w:val="14"/>
                <w:szCs w:val="14"/>
                <w:color w:val="3051F2"/>
                <w:w w:val="92"/>
              </w:rPr>
            </w:pPr>
            <w:hyperlink w:anchor="page160">
              <w:r>
                <w:rPr>
                  <w:rFonts w:ascii="Arial" w:cs="Arial" w:eastAsia="Arial" w:hAnsi="Arial"/>
                  <w:sz w:val="14"/>
                  <w:szCs w:val="14"/>
                  <w:color w:val="3051F2"/>
                  <w:w w:val="92"/>
                </w:rPr>
                <w:t>14.</w:t>
              </w:r>
            </w:hyperlink>
          </w:p>
        </w:tc>
        <w:tc>
          <w:tcPr>
            <w:tcW w:w="10260" w:type="dxa"/>
            <w:vAlign w:val="bottom"/>
            <w:tcBorders>
              <w:right w:val="single" w:sz="8" w:color="CCEEFF"/>
            </w:tcBorders>
            <w:gridSpan w:val="26"/>
            <w:shd w:val="clear" w:color="auto" w:fill="CCEEFF"/>
          </w:tcPr>
          <w:p>
            <w:pPr>
              <w:ind w:left="20"/>
              <w:spacing w:after="0" w:line="159" w:lineRule="exact"/>
              <w:rPr>
                <w:rFonts w:ascii="Arial" w:cs="Arial" w:eastAsia="Arial" w:hAnsi="Arial"/>
                <w:sz w:val="14"/>
                <w:szCs w:val="14"/>
                <w:color w:val="3051F2"/>
              </w:rPr>
            </w:pPr>
            <w:hyperlink w:anchor="page160">
              <w:r>
                <w:rPr>
                  <w:rFonts w:ascii="Arial" w:cs="Arial" w:eastAsia="Arial" w:hAnsi="Arial"/>
                  <w:sz w:val="14"/>
                  <w:szCs w:val="14"/>
                  <w:color w:val="3051F2"/>
                </w:rPr>
                <w:t>Variable Interest Entities</w:t>
              </w:r>
            </w:hyperlink>
          </w:p>
        </w:tc>
        <w:tc>
          <w:tcPr>
            <w:tcW w:w="680" w:type="dxa"/>
            <w:vAlign w:val="bottom"/>
            <w:gridSpan w:val="2"/>
            <w:shd w:val="clear" w:color="auto" w:fill="CCEEFF"/>
          </w:tcPr>
          <w:p>
            <w:pPr>
              <w:jc w:val="center"/>
              <w:ind w:right="420"/>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60">
              <w:r>
                <w:rPr>
                  <w:rFonts w:ascii="Arial" w:cs="Arial" w:eastAsia="Arial" w:hAnsi="Arial"/>
                  <w:sz w:val="14"/>
                  <w:szCs w:val="14"/>
                  <w:color w:val="3051F2"/>
                  <w:w w:val="90"/>
                </w:rPr>
                <w:t>57</w:t>
              </w:r>
            </w:hyperlink>
          </w:p>
        </w:tc>
      </w:tr>
      <w:tr>
        <w:trPr>
          <w:trHeight w:val="160"/>
        </w:trPr>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3051F2"/>
            </w:tcBorders>
            <w:gridSpan w:val="2"/>
          </w:tcPr>
          <w:p>
            <w:pPr>
              <w:spacing w:after="0" w:line="152" w:lineRule="exact"/>
              <w:rPr>
                <w:rFonts w:ascii="Arial" w:cs="Arial" w:eastAsia="Arial" w:hAnsi="Arial"/>
                <w:sz w:val="14"/>
                <w:szCs w:val="14"/>
                <w:color w:val="3051F2"/>
                <w:w w:val="92"/>
              </w:rPr>
            </w:pPr>
            <w:hyperlink w:anchor="page162">
              <w:r>
                <w:rPr>
                  <w:rFonts w:ascii="Arial" w:cs="Arial" w:eastAsia="Arial" w:hAnsi="Arial"/>
                  <w:sz w:val="14"/>
                  <w:szCs w:val="14"/>
                  <w:color w:val="3051F2"/>
                  <w:w w:val="92"/>
                </w:rPr>
                <w:t>15.</w:t>
              </w:r>
            </w:hyperlink>
          </w:p>
        </w:tc>
        <w:tc>
          <w:tcPr>
            <w:tcW w:w="1520" w:type="dxa"/>
            <w:vAlign w:val="bottom"/>
            <w:tcBorders>
              <w:top w:val="single" w:sz="8" w:color="3051F2"/>
            </w:tcBorders>
            <w:gridSpan w:val="10"/>
          </w:tcPr>
          <w:p>
            <w:pPr>
              <w:ind w:left="20"/>
              <w:spacing w:after="0" w:line="152" w:lineRule="exact"/>
              <w:rPr>
                <w:rFonts w:ascii="Arial" w:cs="Arial" w:eastAsia="Arial" w:hAnsi="Arial"/>
                <w:sz w:val="14"/>
                <w:szCs w:val="14"/>
                <w:color w:val="3051F2"/>
              </w:rPr>
            </w:pPr>
            <w:hyperlink w:anchor="page162">
              <w:r>
                <w:rPr>
                  <w:rFonts w:ascii="Arial" w:cs="Arial" w:eastAsia="Arial" w:hAnsi="Arial"/>
                  <w:sz w:val="14"/>
                  <w:szCs w:val="14"/>
                  <w:color w:val="3051F2"/>
                </w:rPr>
                <w:t>Earnings per Share</w:t>
              </w:r>
            </w:hyperlink>
          </w:p>
        </w:tc>
        <w:tc>
          <w:tcPr>
            <w:tcW w:w="8740" w:type="dxa"/>
            <w:vAlign w:val="bottom"/>
            <w:tcBorders>
              <w:top w:val="single" w:sz="8" w:color="CCEEFF"/>
            </w:tcBorders>
            <w:gridSpan w:val="16"/>
          </w:tcPr>
          <w:p>
            <w:pPr>
              <w:spacing w:after="0"/>
              <w:rPr>
                <w:sz w:val="13"/>
                <w:szCs w:val="13"/>
                <w:color w:val="auto"/>
              </w:rPr>
            </w:pPr>
          </w:p>
        </w:tc>
        <w:tc>
          <w:tcPr>
            <w:tcW w:w="260" w:type="dxa"/>
            <w:vAlign w:val="bottom"/>
            <w:tcBorders>
              <w:top w:val="single" w:sz="8" w:color="3051F2"/>
            </w:tcBorders>
          </w:tcPr>
          <w:p>
            <w:pPr>
              <w:jc w:val="center"/>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62">
              <w:r>
                <w:rPr>
                  <w:rFonts w:ascii="Arial" w:cs="Arial" w:eastAsia="Arial" w:hAnsi="Arial"/>
                  <w:sz w:val="14"/>
                  <w:szCs w:val="14"/>
                  <w:color w:val="3051F2"/>
                  <w:w w:val="90"/>
                </w:rPr>
                <w:t>59</w:t>
              </w:r>
            </w:hyperlink>
          </w:p>
        </w:tc>
        <w:tc>
          <w:tcPr>
            <w:tcW w:w="420" w:type="dxa"/>
            <w:vAlign w:val="bottom"/>
            <w:tcBorders>
              <w:top w:val="single" w:sz="8" w:color="CCEEFF"/>
            </w:tcBorders>
          </w:tcPr>
          <w:p>
            <w:pPr>
              <w:spacing w:after="0"/>
              <w:rPr>
                <w:sz w:val="13"/>
                <w:szCs w:val="13"/>
                <w:color w:val="auto"/>
              </w:rPr>
            </w:pPr>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3051F2"/>
              <w:bottom w:val="single" w:sz="8" w:color="3051F2"/>
            </w:tcBorders>
            <w:gridSpan w:val="2"/>
            <w:shd w:val="clear" w:color="auto" w:fill="CCEEFF"/>
          </w:tcPr>
          <w:p>
            <w:pPr>
              <w:spacing w:after="0" w:line="159" w:lineRule="exact"/>
              <w:rPr>
                <w:rFonts w:ascii="Arial" w:cs="Arial" w:eastAsia="Arial" w:hAnsi="Arial"/>
                <w:sz w:val="14"/>
                <w:szCs w:val="14"/>
                <w:color w:val="3051F2"/>
                <w:w w:val="92"/>
              </w:rPr>
            </w:pPr>
            <w:hyperlink w:anchor="page162">
              <w:r>
                <w:rPr>
                  <w:rFonts w:ascii="Arial" w:cs="Arial" w:eastAsia="Arial" w:hAnsi="Arial"/>
                  <w:sz w:val="14"/>
                  <w:szCs w:val="14"/>
                  <w:color w:val="3051F2"/>
                  <w:w w:val="92"/>
                </w:rPr>
                <w:t>16.</w:t>
              </w:r>
            </w:hyperlink>
          </w:p>
        </w:tc>
        <w:tc>
          <w:tcPr>
            <w:tcW w:w="760" w:type="dxa"/>
            <w:vAlign w:val="bottom"/>
            <w:tcBorders>
              <w:top w:val="single" w:sz="8" w:color="3051F2"/>
              <w:bottom w:val="single" w:sz="8" w:color="3051F2"/>
            </w:tcBorders>
            <w:gridSpan w:val="3"/>
            <w:shd w:val="clear" w:color="auto" w:fill="CCEEFF"/>
          </w:tcPr>
          <w:p>
            <w:pPr>
              <w:ind w:left="20"/>
              <w:spacing w:after="0" w:line="159" w:lineRule="exact"/>
              <w:rPr>
                <w:rFonts w:ascii="Arial" w:cs="Arial" w:eastAsia="Arial" w:hAnsi="Arial"/>
                <w:sz w:val="14"/>
                <w:szCs w:val="14"/>
                <w:color w:val="3051F2"/>
                <w:w w:val="97"/>
              </w:rPr>
            </w:pPr>
            <w:hyperlink w:anchor="page162">
              <w:r>
                <w:rPr>
                  <w:rFonts w:ascii="Arial" w:cs="Arial" w:eastAsia="Arial" w:hAnsi="Arial"/>
                  <w:sz w:val="14"/>
                  <w:szCs w:val="14"/>
                  <w:color w:val="3051F2"/>
                  <w:w w:val="97"/>
                </w:rPr>
                <w:t>Fee Income</w:t>
              </w:r>
            </w:hyperlink>
          </w:p>
        </w:tc>
        <w:tc>
          <w:tcPr>
            <w:tcW w:w="460" w:type="dxa"/>
            <w:vAlign w:val="bottom"/>
            <w:tcBorders>
              <w:top w:val="single" w:sz="8" w:color="3051F2"/>
              <w:bottom w:val="single" w:sz="8" w:color="CCEEFF"/>
            </w:tcBorders>
            <w:gridSpan w:val="4"/>
            <w:shd w:val="clear" w:color="auto" w:fill="CCEEFF"/>
          </w:tcPr>
          <w:p>
            <w:pPr>
              <w:spacing w:after="0"/>
              <w:rPr>
                <w:sz w:val="15"/>
                <w:szCs w:val="15"/>
                <w:color w:val="auto"/>
              </w:rPr>
            </w:pPr>
          </w:p>
        </w:tc>
        <w:tc>
          <w:tcPr>
            <w:tcW w:w="9040" w:type="dxa"/>
            <w:vAlign w:val="bottom"/>
            <w:tcBorders>
              <w:bottom w:val="single" w:sz="8" w:color="CCEEFF"/>
              <w:right w:val="single" w:sz="8" w:color="CCEEFF"/>
            </w:tcBorders>
            <w:gridSpan w:val="19"/>
            <w:shd w:val="clear" w:color="auto" w:fill="CCEEFF"/>
          </w:tcPr>
          <w:p>
            <w:pPr>
              <w:spacing w:after="0"/>
              <w:rPr>
                <w:sz w:val="15"/>
                <w:szCs w:val="15"/>
                <w:color w:val="auto"/>
              </w:rPr>
            </w:pPr>
          </w:p>
        </w:tc>
        <w:tc>
          <w:tcPr>
            <w:tcW w:w="260" w:type="dxa"/>
            <w:vAlign w:val="bottom"/>
            <w:tcBorders>
              <w:top w:val="single" w:sz="8" w:color="3051F2"/>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62">
              <w:r>
                <w:rPr>
                  <w:rFonts w:ascii="Arial" w:cs="Arial" w:eastAsia="Arial" w:hAnsi="Arial"/>
                  <w:sz w:val="14"/>
                  <w:szCs w:val="14"/>
                  <w:color w:val="3051F2"/>
                  <w:w w:val="90"/>
                </w:rPr>
                <w:t>60</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60"/>
        </w:trPr>
        <w:tc>
          <w:tcPr>
            <w:tcW w:w="120" w:type="dxa"/>
            <w:vAlign w:val="bottom"/>
          </w:tcPr>
          <w:p>
            <w:pPr>
              <w:spacing w:after="0"/>
              <w:rPr>
                <w:sz w:val="13"/>
                <w:szCs w:val="13"/>
                <w:color w:val="auto"/>
              </w:rPr>
            </w:pPr>
          </w:p>
        </w:tc>
        <w:tc>
          <w:tcPr>
            <w:tcW w:w="200" w:type="dxa"/>
            <w:vAlign w:val="bottom"/>
            <w:tcBorders>
              <w:bottom w:val="single" w:sz="8" w:color="3051F2"/>
            </w:tcBorders>
            <w:gridSpan w:val="2"/>
          </w:tcPr>
          <w:p>
            <w:pPr>
              <w:spacing w:after="0" w:line="152" w:lineRule="exact"/>
              <w:rPr>
                <w:rFonts w:ascii="Arial" w:cs="Arial" w:eastAsia="Arial" w:hAnsi="Arial"/>
                <w:sz w:val="14"/>
                <w:szCs w:val="14"/>
                <w:color w:val="3051F2"/>
                <w:w w:val="92"/>
              </w:rPr>
            </w:pPr>
            <w:hyperlink w:anchor="page163">
              <w:r>
                <w:rPr>
                  <w:rFonts w:ascii="Arial" w:cs="Arial" w:eastAsia="Arial" w:hAnsi="Arial"/>
                  <w:sz w:val="14"/>
                  <w:szCs w:val="14"/>
                  <w:color w:val="3051F2"/>
                  <w:w w:val="92"/>
                </w:rPr>
                <w:t>17.</w:t>
              </w:r>
            </w:hyperlink>
          </w:p>
        </w:tc>
        <w:tc>
          <w:tcPr>
            <w:tcW w:w="1840" w:type="dxa"/>
            <w:vAlign w:val="bottom"/>
            <w:tcBorders>
              <w:bottom w:val="single" w:sz="8" w:color="3051F2"/>
            </w:tcBorders>
            <w:gridSpan w:val="15"/>
          </w:tcPr>
          <w:p>
            <w:pPr>
              <w:ind w:left="20"/>
              <w:spacing w:after="0" w:line="152" w:lineRule="exact"/>
              <w:rPr>
                <w:rFonts w:ascii="Arial" w:cs="Arial" w:eastAsia="Arial" w:hAnsi="Arial"/>
                <w:sz w:val="14"/>
                <w:szCs w:val="14"/>
                <w:color w:val="3051F2"/>
              </w:rPr>
            </w:pPr>
            <w:hyperlink w:anchor="page163">
              <w:r>
                <w:rPr>
                  <w:rFonts w:ascii="Arial" w:cs="Arial" w:eastAsia="Arial" w:hAnsi="Arial"/>
                  <w:sz w:val="14"/>
                  <w:szCs w:val="14"/>
                  <w:color w:val="3051F2"/>
                </w:rPr>
                <w:t>Equity-Based Compensation</w:t>
              </w:r>
            </w:hyperlink>
          </w:p>
        </w:tc>
        <w:tc>
          <w:tcPr>
            <w:tcW w:w="8420" w:type="dxa"/>
            <w:vAlign w:val="bottom"/>
            <w:gridSpan w:val="11"/>
          </w:tcPr>
          <w:p>
            <w:pPr>
              <w:spacing w:after="0"/>
              <w:rPr>
                <w:sz w:val="13"/>
                <w:szCs w:val="13"/>
                <w:color w:val="auto"/>
              </w:rPr>
            </w:pPr>
          </w:p>
        </w:tc>
        <w:tc>
          <w:tcPr>
            <w:tcW w:w="260" w:type="dxa"/>
            <w:vAlign w:val="bottom"/>
            <w:tcBorders>
              <w:bottom w:val="single" w:sz="8" w:color="3051F2"/>
            </w:tcBorders>
          </w:tcPr>
          <w:p>
            <w:pPr>
              <w:jc w:val="center"/>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63">
              <w:r>
                <w:rPr>
                  <w:rFonts w:ascii="Arial" w:cs="Arial" w:eastAsia="Arial" w:hAnsi="Arial"/>
                  <w:sz w:val="14"/>
                  <w:szCs w:val="14"/>
                  <w:color w:val="3051F2"/>
                  <w:w w:val="90"/>
                </w:rPr>
                <w:t>60</w:t>
              </w:r>
            </w:hyperlink>
          </w:p>
        </w:tc>
        <w:tc>
          <w:tcPr>
            <w:tcW w:w="420" w:type="dxa"/>
            <w:vAlign w:val="bottom"/>
          </w:tcPr>
          <w:p>
            <w:pPr>
              <w:spacing w:after="0"/>
              <w:rPr>
                <w:sz w:val="13"/>
                <w:szCs w:val="13"/>
                <w:color w:val="auto"/>
              </w:rPr>
            </w:pPr>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3051F2"/>
            </w:tcBorders>
            <w:gridSpan w:val="2"/>
            <w:shd w:val="clear" w:color="auto" w:fill="CCEEFF"/>
          </w:tcPr>
          <w:p>
            <w:pPr>
              <w:spacing w:after="0" w:line="159" w:lineRule="exact"/>
              <w:rPr>
                <w:rFonts w:ascii="Arial" w:cs="Arial" w:eastAsia="Arial" w:hAnsi="Arial"/>
                <w:sz w:val="14"/>
                <w:szCs w:val="14"/>
                <w:color w:val="3051F2"/>
                <w:w w:val="92"/>
              </w:rPr>
            </w:pPr>
            <w:hyperlink w:anchor="page166">
              <w:r>
                <w:rPr>
                  <w:rFonts w:ascii="Arial" w:cs="Arial" w:eastAsia="Arial" w:hAnsi="Arial"/>
                  <w:sz w:val="14"/>
                  <w:szCs w:val="14"/>
                  <w:color w:val="3051F2"/>
                  <w:w w:val="92"/>
                </w:rPr>
                <w:t>18.</w:t>
              </w:r>
            </w:hyperlink>
          </w:p>
        </w:tc>
        <w:tc>
          <w:tcPr>
            <w:tcW w:w="1680" w:type="dxa"/>
            <w:vAlign w:val="bottom"/>
            <w:tcBorders>
              <w:bottom w:val="single" w:sz="8" w:color="3051F2"/>
            </w:tcBorders>
            <w:gridSpan w:val="14"/>
            <w:shd w:val="clear" w:color="auto" w:fill="CCEEFF"/>
          </w:tcPr>
          <w:p>
            <w:pPr>
              <w:ind w:left="20"/>
              <w:spacing w:after="0" w:line="159" w:lineRule="exact"/>
              <w:rPr>
                <w:rFonts w:ascii="Arial" w:cs="Arial" w:eastAsia="Arial" w:hAnsi="Arial"/>
                <w:sz w:val="14"/>
                <w:szCs w:val="14"/>
                <w:color w:val="3051F2"/>
                <w:w w:val="98"/>
              </w:rPr>
            </w:pPr>
            <w:hyperlink w:anchor="page166">
              <w:r>
                <w:rPr>
                  <w:rFonts w:ascii="Arial" w:cs="Arial" w:eastAsia="Arial" w:hAnsi="Arial"/>
                  <w:sz w:val="14"/>
                  <w:szCs w:val="14"/>
                  <w:color w:val="3051F2"/>
                  <w:w w:val="98"/>
                </w:rPr>
                <w:t>Transactions with Affiliates</w:t>
              </w:r>
            </w:hyperlink>
          </w:p>
        </w:tc>
        <w:tc>
          <w:tcPr>
            <w:tcW w:w="8580" w:type="dxa"/>
            <w:vAlign w:val="bottom"/>
            <w:tcBorders>
              <w:bottom w:val="single" w:sz="8" w:color="CCEEFF"/>
              <w:right w:val="single" w:sz="8" w:color="CCEEFF"/>
            </w:tcBorders>
            <w:gridSpan w:val="12"/>
            <w:shd w:val="clear" w:color="auto" w:fill="CCEEFF"/>
          </w:tcPr>
          <w:p>
            <w:pPr>
              <w:spacing w:after="0"/>
              <w:rPr>
                <w:sz w:val="15"/>
                <w:szCs w:val="15"/>
                <w:color w:val="auto"/>
              </w:rPr>
            </w:pPr>
          </w:p>
        </w:tc>
        <w:tc>
          <w:tcPr>
            <w:tcW w:w="260" w:type="dxa"/>
            <w:vAlign w:val="bottom"/>
            <w:tcBorders>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66">
              <w:r>
                <w:rPr>
                  <w:rFonts w:ascii="Arial" w:cs="Arial" w:eastAsia="Arial" w:hAnsi="Arial"/>
                  <w:sz w:val="14"/>
                  <w:szCs w:val="14"/>
                  <w:color w:val="3051F2"/>
                  <w:w w:val="90"/>
                </w:rPr>
                <w:t>63</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60"/>
        </w:trPr>
        <w:tc>
          <w:tcPr>
            <w:tcW w:w="120" w:type="dxa"/>
            <w:vAlign w:val="bottom"/>
          </w:tcPr>
          <w:p>
            <w:pPr>
              <w:spacing w:after="0"/>
              <w:rPr>
                <w:sz w:val="13"/>
                <w:szCs w:val="13"/>
                <w:color w:val="auto"/>
              </w:rPr>
            </w:pPr>
          </w:p>
        </w:tc>
        <w:tc>
          <w:tcPr>
            <w:tcW w:w="1100" w:type="dxa"/>
            <w:vAlign w:val="bottom"/>
            <w:tcBorders>
              <w:bottom w:val="single" w:sz="8" w:color="0000FF"/>
            </w:tcBorders>
            <w:gridSpan w:val="6"/>
          </w:tcPr>
          <w:p>
            <w:pPr>
              <w:spacing w:after="0" w:line="152" w:lineRule="exact"/>
              <w:rPr>
                <w:rFonts w:ascii="Arial" w:cs="Arial" w:eastAsia="Arial" w:hAnsi="Arial"/>
                <w:sz w:val="14"/>
                <w:szCs w:val="14"/>
                <w:color w:val="0000FF"/>
                <w:w w:val="97"/>
              </w:rPr>
            </w:pPr>
            <w:hyperlink w:anchor="page168">
              <w:r>
                <w:rPr>
                  <w:rFonts w:ascii="Arial" w:cs="Arial" w:eastAsia="Arial" w:hAnsi="Arial"/>
                  <w:sz w:val="14"/>
                  <w:szCs w:val="14"/>
                  <w:color w:val="0000FF"/>
                  <w:w w:val="97"/>
                </w:rPr>
                <w:t>19. Income Taxes</w:t>
              </w:r>
            </w:hyperlink>
          </w:p>
        </w:tc>
        <w:tc>
          <w:tcPr>
            <w:tcW w:w="9360" w:type="dxa"/>
            <w:vAlign w:val="bottom"/>
            <w:gridSpan w:val="22"/>
          </w:tcPr>
          <w:p>
            <w:pPr>
              <w:spacing w:after="0"/>
              <w:rPr>
                <w:sz w:val="13"/>
                <w:szCs w:val="13"/>
                <w:color w:val="auto"/>
              </w:rPr>
            </w:pPr>
          </w:p>
        </w:tc>
        <w:tc>
          <w:tcPr>
            <w:tcW w:w="260" w:type="dxa"/>
            <w:vAlign w:val="bottom"/>
            <w:tcBorders>
              <w:bottom w:val="single" w:sz="8" w:color="3051F2"/>
            </w:tcBorders>
          </w:tcPr>
          <w:p>
            <w:pPr>
              <w:jc w:val="center"/>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68">
              <w:r>
                <w:rPr>
                  <w:rFonts w:ascii="Arial" w:cs="Arial" w:eastAsia="Arial" w:hAnsi="Arial"/>
                  <w:sz w:val="14"/>
                  <w:szCs w:val="14"/>
                  <w:color w:val="3051F2"/>
                  <w:w w:val="90"/>
                </w:rPr>
                <w:t>65</w:t>
              </w:r>
            </w:hyperlink>
          </w:p>
        </w:tc>
        <w:tc>
          <w:tcPr>
            <w:tcW w:w="420" w:type="dxa"/>
            <w:vAlign w:val="bottom"/>
          </w:tcPr>
          <w:p>
            <w:pPr>
              <w:spacing w:after="0"/>
              <w:rPr>
                <w:sz w:val="13"/>
                <w:szCs w:val="13"/>
                <w:color w:val="auto"/>
              </w:rPr>
            </w:pPr>
          </w:p>
        </w:tc>
      </w:tr>
      <w:tr>
        <w:trPr>
          <w:trHeight w:val="175"/>
        </w:trPr>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440" w:type="dxa"/>
            <w:vAlign w:val="bottom"/>
            <w:tcBorders>
              <w:bottom w:val="single" w:sz="8" w:color="3051F2"/>
            </w:tcBorders>
            <w:gridSpan w:val="10"/>
            <w:shd w:val="clear" w:color="auto" w:fill="CCEEFF"/>
          </w:tcPr>
          <w:p>
            <w:pPr>
              <w:spacing w:after="0" w:line="159" w:lineRule="exact"/>
              <w:rPr>
                <w:rFonts w:ascii="Arial" w:cs="Arial" w:eastAsia="Arial" w:hAnsi="Arial"/>
                <w:sz w:val="14"/>
                <w:szCs w:val="14"/>
                <w:color w:val="3051F2"/>
                <w:w w:val="98"/>
              </w:rPr>
            </w:pPr>
            <w:hyperlink w:anchor="page170">
              <w:r>
                <w:rPr>
                  <w:rFonts w:ascii="Arial" w:cs="Arial" w:eastAsia="Arial" w:hAnsi="Arial"/>
                  <w:sz w:val="14"/>
                  <w:szCs w:val="14"/>
                  <w:color w:val="3051F2"/>
                  <w:w w:val="98"/>
                </w:rPr>
                <w:t>20. Segment Reporting</w:t>
              </w:r>
            </w:hyperlink>
          </w:p>
        </w:tc>
        <w:tc>
          <w:tcPr>
            <w:tcW w:w="9020" w:type="dxa"/>
            <w:vAlign w:val="bottom"/>
            <w:tcBorders>
              <w:bottom w:val="single" w:sz="8" w:color="CCEEFF"/>
              <w:right w:val="single" w:sz="8" w:color="CCEEFF"/>
            </w:tcBorders>
            <w:gridSpan w:val="18"/>
            <w:shd w:val="clear" w:color="auto" w:fill="CCEEFF"/>
          </w:tcPr>
          <w:p>
            <w:pPr>
              <w:spacing w:after="0"/>
              <w:rPr>
                <w:sz w:val="15"/>
                <w:szCs w:val="15"/>
                <w:color w:val="auto"/>
              </w:rPr>
            </w:pPr>
          </w:p>
        </w:tc>
        <w:tc>
          <w:tcPr>
            <w:tcW w:w="260" w:type="dxa"/>
            <w:vAlign w:val="bottom"/>
            <w:tcBorders>
              <w:bottom w:val="single" w:sz="8" w:color="3051F2"/>
              <w:right w:val="single" w:sz="8" w:color="CCEEFF"/>
            </w:tcBorders>
            <w:shd w:val="clear" w:color="auto" w:fill="CCEEFF"/>
          </w:tcPr>
          <w:p>
            <w:pPr>
              <w:jc w:val="center"/>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70">
              <w:r>
                <w:rPr>
                  <w:rFonts w:ascii="Arial" w:cs="Arial" w:eastAsia="Arial" w:hAnsi="Arial"/>
                  <w:sz w:val="14"/>
                  <w:szCs w:val="14"/>
                  <w:color w:val="3051F2"/>
                  <w:w w:val="90"/>
                </w:rPr>
                <w:t>67</w:t>
              </w:r>
            </w:hyperlink>
          </w:p>
        </w:tc>
        <w:tc>
          <w:tcPr>
            <w:tcW w:w="420" w:type="dxa"/>
            <w:vAlign w:val="bottom"/>
            <w:tcBorders>
              <w:bottom w:val="single" w:sz="8" w:color="CCEEFF"/>
            </w:tcBorders>
            <w:shd w:val="clear" w:color="auto" w:fill="CCEEFF"/>
          </w:tcPr>
          <w:p>
            <w:pPr>
              <w:spacing w:after="0"/>
              <w:rPr>
                <w:sz w:val="15"/>
                <w:szCs w:val="15"/>
                <w:color w:val="auto"/>
              </w:rPr>
            </w:pPr>
          </w:p>
        </w:tc>
      </w:tr>
      <w:tr>
        <w:trPr>
          <w:trHeight w:val="152"/>
        </w:trPr>
        <w:tc>
          <w:tcPr>
            <w:tcW w:w="120" w:type="dxa"/>
            <w:vAlign w:val="bottom"/>
          </w:tcPr>
          <w:p>
            <w:pPr>
              <w:spacing w:after="0"/>
              <w:rPr>
                <w:sz w:val="13"/>
                <w:szCs w:val="13"/>
                <w:color w:val="auto"/>
              </w:rPr>
            </w:pPr>
          </w:p>
        </w:tc>
        <w:tc>
          <w:tcPr>
            <w:tcW w:w="200" w:type="dxa"/>
            <w:vAlign w:val="bottom"/>
            <w:gridSpan w:val="2"/>
          </w:tcPr>
          <w:p>
            <w:pPr>
              <w:spacing w:after="0" w:line="152" w:lineRule="exact"/>
              <w:rPr>
                <w:rFonts w:ascii="Arial" w:cs="Arial" w:eastAsia="Arial" w:hAnsi="Arial"/>
                <w:sz w:val="14"/>
                <w:szCs w:val="14"/>
                <w:color w:val="3051F2"/>
                <w:w w:val="92"/>
              </w:rPr>
            </w:pPr>
            <w:hyperlink w:anchor="page172">
              <w:r>
                <w:rPr>
                  <w:rFonts w:ascii="Arial" w:cs="Arial" w:eastAsia="Arial" w:hAnsi="Arial"/>
                  <w:sz w:val="14"/>
                  <w:szCs w:val="14"/>
                  <w:color w:val="3051F2"/>
                  <w:w w:val="92"/>
                </w:rPr>
                <w:t>21.</w:t>
              </w:r>
            </w:hyperlink>
          </w:p>
        </w:tc>
        <w:tc>
          <w:tcPr>
            <w:tcW w:w="10260" w:type="dxa"/>
            <w:vAlign w:val="bottom"/>
            <w:gridSpan w:val="26"/>
          </w:tcPr>
          <w:p>
            <w:pPr>
              <w:ind w:left="20"/>
              <w:spacing w:after="0" w:line="152" w:lineRule="exact"/>
              <w:rPr>
                <w:rFonts w:ascii="Arial" w:cs="Arial" w:eastAsia="Arial" w:hAnsi="Arial"/>
                <w:sz w:val="14"/>
                <w:szCs w:val="14"/>
                <w:color w:val="3051F2"/>
              </w:rPr>
            </w:pPr>
            <w:hyperlink w:anchor="page172">
              <w:r>
                <w:rPr>
                  <w:rFonts w:ascii="Arial" w:cs="Arial" w:eastAsia="Arial" w:hAnsi="Arial"/>
                  <w:sz w:val="14"/>
                  <w:szCs w:val="14"/>
                  <w:color w:val="3051F2"/>
                </w:rPr>
                <w:t>Commitments and Contingencies</w:t>
              </w:r>
            </w:hyperlink>
          </w:p>
        </w:tc>
        <w:tc>
          <w:tcPr>
            <w:tcW w:w="680" w:type="dxa"/>
            <w:vAlign w:val="bottom"/>
            <w:gridSpan w:val="2"/>
          </w:tcPr>
          <w:p>
            <w:pPr>
              <w:jc w:val="center"/>
              <w:ind w:right="420"/>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72">
              <w:r>
                <w:rPr>
                  <w:rFonts w:ascii="Arial" w:cs="Arial" w:eastAsia="Arial" w:hAnsi="Arial"/>
                  <w:sz w:val="14"/>
                  <w:szCs w:val="14"/>
                  <w:color w:val="3051F2"/>
                  <w:w w:val="90"/>
                </w:rPr>
                <w:t>70</w:t>
              </w:r>
            </w:hyperlink>
          </w:p>
        </w:tc>
      </w:tr>
      <w:tr>
        <w:trPr>
          <w:trHeight w:val="28"/>
        </w:trPr>
        <w:tc>
          <w:tcPr>
            <w:tcW w:w="120" w:type="dxa"/>
            <w:vAlign w:val="bottom"/>
            <w:tcBorders>
              <w:right w:val="single" w:sz="8" w:color="3051F2"/>
            </w:tcBorders>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400" w:type="dxa"/>
            <w:vAlign w:val="bottom"/>
            <w:shd w:val="clear" w:color="auto" w:fill="3051F2"/>
          </w:tcPr>
          <w:p>
            <w:pPr>
              <w:spacing w:after="0"/>
              <w:rPr>
                <w:sz w:val="2"/>
                <w:szCs w:val="2"/>
                <w:color w:val="auto"/>
              </w:rPr>
            </w:pPr>
          </w:p>
        </w:tc>
        <w:tc>
          <w:tcPr>
            <w:tcW w:w="120" w:type="dxa"/>
            <w:vAlign w:val="bottom"/>
            <w:tcBorders>
              <w:left w:val="single" w:sz="8" w:color="3051F2"/>
            </w:tcBorders>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6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60" w:type="dxa"/>
            <w:vAlign w:val="bottom"/>
            <w:shd w:val="clear" w:color="auto" w:fill="3051F2"/>
          </w:tcPr>
          <w:p>
            <w:pPr>
              <w:spacing w:after="0"/>
              <w:rPr>
                <w:sz w:val="2"/>
                <w:szCs w:val="2"/>
                <w:color w:val="auto"/>
              </w:rPr>
            </w:pPr>
          </w:p>
        </w:tc>
        <w:tc>
          <w:tcPr>
            <w:tcW w:w="60" w:type="dxa"/>
            <w:vAlign w:val="bottom"/>
            <w:shd w:val="clear" w:color="auto" w:fill="3051F2"/>
          </w:tcPr>
          <w:p>
            <w:pPr>
              <w:spacing w:after="0"/>
              <w:rPr>
                <w:sz w:val="2"/>
                <w:szCs w:val="2"/>
                <w:color w:val="auto"/>
              </w:rPr>
            </w:pPr>
          </w:p>
        </w:tc>
        <w:tc>
          <w:tcPr>
            <w:tcW w:w="160" w:type="dxa"/>
            <w:vAlign w:val="bottom"/>
            <w:tcBorders>
              <w:right w:val="single" w:sz="8" w:color="3051F2"/>
            </w:tcBorders>
            <w:shd w:val="clear" w:color="auto" w:fill="3051F2"/>
          </w:tcPr>
          <w:p>
            <w:pPr>
              <w:spacing w:after="0"/>
              <w:rPr>
                <w:sz w:val="2"/>
                <w:szCs w:val="2"/>
                <w:color w:val="auto"/>
              </w:rPr>
            </w:pPr>
          </w:p>
        </w:tc>
        <w:tc>
          <w:tcPr>
            <w:tcW w:w="240" w:type="dxa"/>
            <w:vAlign w:val="bottom"/>
            <w:shd w:val="clear" w:color="auto" w:fill="3051F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Borders>
              <w:right w:val="single" w:sz="8" w:color="3051F2"/>
            </w:tcBorders>
          </w:tcPr>
          <w:p>
            <w:pPr>
              <w:spacing w:after="0"/>
              <w:rPr>
                <w:sz w:val="2"/>
                <w:szCs w:val="2"/>
                <w:color w:val="auto"/>
              </w:rPr>
            </w:pPr>
          </w:p>
        </w:tc>
        <w:tc>
          <w:tcPr>
            <w:tcW w:w="260" w:type="dxa"/>
            <w:vAlign w:val="bottom"/>
            <w:tcBorders>
              <w:right w:val="single" w:sz="8" w:color="3051F2"/>
            </w:tcBorders>
            <w:shd w:val="clear" w:color="auto" w:fill="3051F2"/>
          </w:tcPr>
          <w:p>
            <w:pPr>
              <w:spacing w:after="0"/>
              <w:rPr>
                <w:sz w:val="2"/>
                <w:szCs w:val="2"/>
                <w:color w:val="auto"/>
              </w:rPr>
            </w:pPr>
          </w:p>
        </w:tc>
        <w:tc>
          <w:tcPr>
            <w:tcW w:w="420" w:type="dxa"/>
            <w:vAlign w:val="bottom"/>
          </w:tcPr>
          <w:p>
            <w:pPr>
              <w:spacing w:after="0"/>
              <w:rPr>
                <w:sz w:val="2"/>
                <w:szCs w:val="2"/>
                <w:color w:val="auto"/>
              </w:rPr>
            </w:pPr>
          </w:p>
        </w:tc>
      </w:tr>
      <w:tr>
        <w:trPr>
          <w:trHeight w:val="175"/>
        </w:trPr>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shd w:val="clear" w:color="auto" w:fill="CCEEFF"/>
          </w:tcPr>
          <w:p>
            <w:pPr>
              <w:spacing w:after="0" w:line="159" w:lineRule="exact"/>
              <w:rPr>
                <w:rFonts w:ascii="Arial" w:cs="Arial" w:eastAsia="Arial" w:hAnsi="Arial"/>
                <w:sz w:val="14"/>
                <w:szCs w:val="14"/>
                <w:color w:val="3051F2"/>
                <w:w w:val="92"/>
              </w:rPr>
            </w:pPr>
            <w:hyperlink w:anchor="page174">
              <w:r>
                <w:rPr>
                  <w:rFonts w:ascii="Arial" w:cs="Arial" w:eastAsia="Arial" w:hAnsi="Arial"/>
                  <w:sz w:val="14"/>
                  <w:szCs w:val="14"/>
                  <w:color w:val="3051F2"/>
                  <w:w w:val="92"/>
                </w:rPr>
                <w:t>22.</w:t>
              </w:r>
            </w:hyperlink>
          </w:p>
        </w:tc>
        <w:tc>
          <w:tcPr>
            <w:tcW w:w="10260" w:type="dxa"/>
            <w:vAlign w:val="bottom"/>
            <w:tcBorders>
              <w:right w:val="single" w:sz="8" w:color="CCEEFF"/>
            </w:tcBorders>
            <w:gridSpan w:val="26"/>
            <w:shd w:val="clear" w:color="auto" w:fill="CCEEFF"/>
          </w:tcPr>
          <w:p>
            <w:pPr>
              <w:ind w:left="20"/>
              <w:spacing w:after="0" w:line="159" w:lineRule="exact"/>
              <w:rPr>
                <w:rFonts w:ascii="Arial" w:cs="Arial" w:eastAsia="Arial" w:hAnsi="Arial"/>
                <w:sz w:val="14"/>
                <w:szCs w:val="14"/>
                <w:color w:val="3051F2"/>
              </w:rPr>
            </w:pPr>
            <w:hyperlink w:anchor="page174">
              <w:r>
                <w:rPr>
                  <w:rFonts w:ascii="Arial" w:cs="Arial" w:eastAsia="Arial" w:hAnsi="Arial"/>
                  <w:sz w:val="14"/>
                  <w:szCs w:val="14"/>
                  <w:color w:val="3051F2"/>
                </w:rPr>
                <w:t>Supplemental Disclosure of Cash Flow Information</w:t>
              </w:r>
            </w:hyperlink>
          </w:p>
        </w:tc>
        <w:tc>
          <w:tcPr>
            <w:tcW w:w="680" w:type="dxa"/>
            <w:vAlign w:val="bottom"/>
            <w:gridSpan w:val="2"/>
            <w:shd w:val="clear" w:color="auto" w:fill="CCEEFF"/>
          </w:tcPr>
          <w:p>
            <w:pPr>
              <w:jc w:val="center"/>
              <w:ind w:right="420"/>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74">
              <w:r>
                <w:rPr>
                  <w:rFonts w:ascii="Arial" w:cs="Arial" w:eastAsia="Arial" w:hAnsi="Arial"/>
                  <w:sz w:val="14"/>
                  <w:szCs w:val="14"/>
                  <w:color w:val="3051F2"/>
                  <w:w w:val="90"/>
                </w:rPr>
                <w:t>71</w:t>
              </w:r>
            </w:hyperlink>
          </w:p>
        </w:tc>
      </w:tr>
      <w:tr>
        <w:trPr>
          <w:trHeight w:val="160"/>
        </w:trPr>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3051F2"/>
              <w:bottom w:val="single" w:sz="8" w:color="3051F2"/>
            </w:tcBorders>
            <w:gridSpan w:val="2"/>
          </w:tcPr>
          <w:p>
            <w:pPr>
              <w:spacing w:after="0" w:line="152" w:lineRule="exact"/>
              <w:rPr>
                <w:sz w:val="20"/>
                <w:szCs w:val="20"/>
                <w:color w:val="auto"/>
              </w:rPr>
            </w:pPr>
            <w:r>
              <w:rPr>
                <w:rFonts w:ascii="Arial" w:cs="Arial" w:eastAsia="Arial" w:hAnsi="Arial"/>
                <w:sz w:val="14"/>
                <w:szCs w:val="14"/>
                <w:color w:val="3051F2"/>
                <w:w w:val="92"/>
              </w:rPr>
              <w:t>23.</w:t>
            </w:r>
          </w:p>
        </w:tc>
        <w:tc>
          <w:tcPr>
            <w:tcW w:w="1240" w:type="dxa"/>
            <w:vAlign w:val="bottom"/>
            <w:tcBorders>
              <w:top w:val="single" w:sz="8" w:color="3051F2"/>
              <w:bottom w:val="single" w:sz="8" w:color="3051F2"/>
            </w:tcBorders>
            <w:gridSpan w:val="8"/>
          </w:tcPr>
          <w:p>
            <w:pPr>
              <w:ind w:left="20"/>
              <w:spacing w:after="0" w:line="152" w:lineRule="exact"/>
              <w:rPr>
                <w:rFonts w:ascii="Arial" w:cs="Arial" w:eastAsia="Arial" w:hAnsi="Arial"/>
                <w:sz w:val="14"/>
                <w:szCs w:val="14"/>
                <w:color w:val="3051F2"/>
                <w:w w:val="98"/>
              </w:rPr>
            </w:pPr>
            <w:hyperlink w:anchor="page174">
              <w:r>
                <w:rPr>
                  <w:rFonts w:ascii="Arial" w:cs="Arial" w:eastAsia="Arial" w:hAnsi="Arial"/>
                  <w:sz w:val="14"/>
                  <w:szCs w:val="14"/>
                  <w:color w:val="3051F2"/>
                  <w:w w:val="98"/>
                </w:rPr>
                <w:t>Subsequent Events</w:t>
              </w:r>
            </w:hyperlink>
          </w:p>
        </w:tc>
        <w:tc>
          <w:tcPr>
            <w:tcW w:w="1920" w:type="dxa"/>
            <w:vAlign w:val="bottom"/>
            <w:tcBorders>
              <w:top w:val="single" w:sz="8" w:color="3051F2"/>
            </w:tcBorders>
            <w:gridSpan w:val="13"/>
          </w:tcPr>
          <w:p>
            <w:pPr>
              <w:spacing w:after="0"/>
              <w:rPr>
                <w:sz w:val="13"/>
                <w:szCs w:val="13"/>
                <w:color w:val="auto"/>
              </w:rPr>
            </w:pPr>
          </w:p>
        </w:tc>
        <w:tc>
          <w:tcPr>
            <w:tcW w:w="7100" w:type="dxa"/>
            <w:vAlign w:val="bottom"/>
            <w:tcBorders>
              <w:top w:val="single" w:sz="8" w:color="CCEEFF"/>
            </w:tcBorders>
            <w:gridSpan w:val="5"/>
          </w:tcPr>
          <w:p>
            <w:pPr>
              <w:spacing w:after="0"/>
              <w:rPr>
                <w:sz w:val="13"/>
                <w:szCs w:val="13"/>
                <w:color w:val="auto"/>
              </w:rPr>
            </w:pPr>
          </w:p>
        </w:tc>
        <w:tc>
          <w:tcPr>
            <w:tcW w:w="260" w:type="dxa"/>
            <w:vAlign w:val="bottom"/>
            <w:tcBorders>
              <w:top w:val="single" w:sz="8" w:color="3051F2"/>
              <w:bottom w:val="single" w:sz="8" w:color="3051F2"/>
            </w:tcBorders>
          </w:tcPr>
          <w:p>
            <w:pPr>
              <w:jc w:val="center"/>
              <w:spacing w:after="0" w:line="152"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74">
              <w:r>
                <w:rPr>
                  <w:rFonts w:ascii="Arial" w:cs="Arial" w:eastAsia="Arial" w:hAnsi="Arial"/>
                  <w:sz w:val="14"/>
                  <w:szCs w:val="14"/>
                  <w:color w:val="3051F2"/>
                  <w:w w:val="90"/>
                </w:rPr>
                <w:t>72</w:t>
              </w:r>
            </w:hyperlink>
          </w:p>
        </w:tc>
        <w:tc>
          <w:tcPr>
            <w:tcW w:w="420" w:type="dxa"/>
            <w:vAlign w:val="bottom"/>
            <w:tcBorders>
              <w:top w:val="single" w:sz="8" w:color="CCEEFF"/>
            </w:tcBorders>
          </w:tcPr>
          <w:p>
            <w:pPr>
              <w:spacing w:after="0"/>
              <w:rPr>
                <w:sz w:val="13"/>
                <w:szCs w:val="13"/>
                <w:color w:val="auto"/>
              </w:rPr>
            </w:pPr>
          </w:p>
        </w:tc>
      </w:tr>
      <w:tr>
        <w:trPr>
          <w:trHeight w:val="160"/>
        </w:trPr>
        <w:tc>
          <w:tcPr>
            <w:tcW w:w="10580" w:type="dxa"/>
            <w:vAlign w:val="bottom"/>
            <w:tcBorders>
              <w:right w:val="single" w:sz="8" w:color="CCEEFF"/>
            </w:tcBorders>
            <w:gridSpan w:val="29"/>
            <w:shd w:val="clear" w:color="auto" w:fill="CCEEFF"/>
          </w:tcPr>
          <w:p>
            <w:pPr>
              <w:spacing w:after="0" w:line="159" w:lineRule="exact"/>
              <w:rPr>
                <w:rFonts w:ascii="Arial" w:cs="Arial" w:eastAsia="Arial" w:hAnsi="Arial"/>
                <w:sz w:val="14"/>
                <w:szCs w:val="14"/>
                <w:color w:val="3051F2"/>
              </w:rPr>
            </w:pPr>
            <w:hyperlink w:anchor="page175">
              <w:r>
                <w:rPr>
                  <w:rFonts w:ascii="Arial" w:cs="Arial" w:eastAsia="Arial" w:hAnsi="Arial"/>
                  <w:sz w:val="14"/>
                  <w:szCs w:val="14"/>
                  <w:color w:val="3051F2"/>
                </w:rPr>
                <w:t>Schedule III—Real Estate and Accumulated Depreciation</w:t>
              </w:r>
            </w:hyperlink>
          </w:p>
        </w:tc>
        <w:tc>
          <w:tcPr>
            <w:tcW w:w="680" w:type="dxa"/>
            <w:vAlign w:val="bottom"/>
            <w:gridSpan w:val="2"/>
            <w:shd w:val="clear" w:color="auto" w:fill="CCEEFF"/>
          </w:tcPr>
          <w:p>
            <w:pPr>
              <w:jc w:val="center"/>
              <w:ind w:right="420"/>
              <w:spacing w:after="0" w:line="159" w:lineRule="exact"/>
              <w:rPr>
                <w:rFonts w:ascii="Arial" w:cs="Arial" w:eastAsia="Arial" w:hAnsi="Arial"/>
                <w:sz w:val="14"/>
                <w:szCs w:val="14"/>
                <w:color w:val="3051F2"/>
                <w:w w:val="90"/>
              </w:rPr>
            </w:pPr>
            <w:r>
              <w:rPr>
                <w:rFonts w:ascii="Arial" w:cs="Arial" w:eastAsia="Arial" w:hAnsi="Arial"/>
                <w:sz w:val="14"/>
                <w:szCs w:val="14"/>
                <w:color w:val="3051F2"/>
                <w:w w:val="90"/>
              </w:rPr>
              <w:t>F-</w:t>
            </w:r>
            <w:hyperlink w:anchor="page175">
              <w:r>
                <w:rPr>
                  <w:rFonts w:ascii="Arial" w:cs="Arial" w:eastAsia="Arial" w:hAnsi="Arial"/>
                  <w:sz w:val="14"/>
                  <w:szCs w:val="14"/>
                  <w:color w:val="3051F2"/>
                  <w:w w:val="90"/>
                </w:rPr>
                <w:t>73</w:t>
              </w:r>
            </w:hyperlink>
          </w:p>
        </w:tc>
      </w:tr>
      <w:tr>
        <w:trPr>
          <w:trHeight w:val="35"/>
        </w:trPr>
        <w:tc>
          <w:tcPr>
            <w:tcW w:w="120" w:type="dxa"/>
            <w:vAlign w:val="bottom"/>
            <w:tcBorders>
              <w:right w:val="single" w:sz="8" w:color="3051F2"/>
            </w:tcBorders>
            <w:shd w:val="clear" w:color="auto" w:fill="3051F2"/>
          </w:tcPr>
          <w:p>
            <w:pPr>
              <w:spacing w:after="0"/>
              <w:rPr>
                <w:sz w:val="3"/>
                <w:szCs w:val="3"/>
                <w:color w:val="auto"/>
              </w:rPr>
            </w:pPr>
          </w:p>
        </w:tc>
        <w:tc>
          <w:tcPr>
            <w:tcW w:w="120" w:type="dxa"/>
            <w:vAlign w:val="bottom"/>
            <w:shd w:val="clear" w:color="auto" w:fill="3051F2"/>
          </w:tcPr>
          <w:p>
            <w:pPr>
              <w:spacing w:after="0"/>
              <w:rPr>
                <w:sz w:val="3"/>
                <w:szCs w:val="3"/>
                <w:color w:val="auto"/>
              </w:rPr>
            </w:pPr>
          </w:p>
        </w:tc>
        <w:tc>
          <w:tcPr>
            <w:tcW w:w="80" w:type="dxa"/>
            <w:vAlign w:val="bottom"/>
            <w:shd w:val="clear" w:color="auto" w:fill="3051F2"/>
          </w:tcPr>
          <w:p>
            <w:pPr>
              <w:spacing w:after="0"/>
              <w:rPr>
                <w:sz w:val="3"/>
                <w:szCs w:val="3"/>
                <w:color w:val="auto"/>
              </w:rPr>
            </w:pPr>
          </w:p>
        </w:tc>
        <w:tc>
          <w:tcPr>
            <w:tcW w:w="240" w:type="dxa"/>
            <w:vAlign w:val="bottom"/>
            <w:shd w:val="clear" w:color="auto" w:fill="3051F2"/>
          </w:tcPr>
          <w:p>
            <w:pPr>
              <w:spacing w:after="0"/>
              <w:rPr>
                <w:sz w:val="3"/>
                <w:szCs w:val="3"/>
                <w:color w:val="auto"/>
              </w:rPr>
            </w:pPr>
          </w:p>
        </w:tc>
        <w:tc>
          <w:tcPr>
            <w:tcW w:w="400" w:type="dxa"/>
            <w:vAlign w:val="bottom"/>
            <w:shd w:val="clear" w:color="auto" w:fill="3051F2"/>
          </w:tcPr>
          <w:p>
            <w:pPr>
              <w:spacing w:after="0"/>
              <w:rPr>
                <w:sz w:val="3"/>
                <w:szCs w:val="3"/>
                <w:color w:val="auto"/>
              </w:rPr>
            </w:pPr>
          </w:p>
        </w:tc>
        <w:tc>
          <w:tcPr>
            <w:tcW w:w="120" w:type="dxa"/>
            <w:vAlign w:val="bottom"/>
            <w:tcBorders>
              <w:left w:val="single" w:sz="8" w:color="3051F2"/>
            </w:tcBorders>
            <w:shd w:val="clear" w:color="auto" w:fill="3051F2"/>
          </w:tcPr>
          <w:p>
            <w:pPr>
              <w:spacing w:after="0"/>
              <w:rPr>
                <w:sz w:val="3"/>
                <w:szCs w:val="3"/>
                <w:color w:val="auto"/>
              </w:rPr>
            </w:pPr>
          </w:p>
        </w:tc>
        <w:tc>
          <w:tcPr>
            <w:tcW w:w="140" w:type="dxa"/>
            <w:vAlign w:val="bottom"/>
            <w:shd w:val="clear" w:color="auto" w:fill="3051F2"/>
          </w:tcPr>
          <w:p>
            <w:pPr>
              <w:spacing w:after="0"/>
              <w:rPr>
                <w:sz w:val="3"/>
                <w:szCs w:val="3"/>
                <w:color w:val="auto"/>
              </w:rPr>
            </w:pPr>
          </w:p>
        </w:tc>
        <w:tc>
          <w:tcPr>
            <w:tcW w:w="220" w:type="dxa"/>
            <w:vAlign w:val="bottom"/>
            <w:shd w:val="clear" w:color="auto" w:fill="3051F2"/>
          </w:tcPr>
          <w:p>
            <w:pPr>
              <w:spacing w:after="0"/>
              <w:rPr>
                <w:sz w:val="3"/>
                <w:szCs w:val="3"/>
                <w:color w:val="auto"/>
              </w:rPr>
            </w:pPr>
          </w:p>
        </w:tc>
        <w:tc>
          <w:tcPr>
            <w:tcW w:w="8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6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20" w:type="dxa"/>
            <w:vAlign w:val="bottom"/>
            <w:shd w:val="clear" w:color="auto" w:fill="3051F2"/>
          </w:tcPr>
          <w:p>
            <w:pPr>
              <w:spacing w:after="0"/>
              <w:rPr>
                <w:sz w:val="3"/>
                <w:szCs w:val="3"/>
                <w:color w:val="auto"/>
              </w:rPr>
            </w:pPr>
          </w:p>
        </w:tc>
        <w:tc>
          <w:tcPr>
            <w:tcW w:w="60" w:type="dxa"/>
            <w:vAlign w:val="bottom"/>
            <w:shd w:val="clear" w:color="auto" w:fill="3051F2"/>
          </w:tcPr>
          <w:p>
            <w:pPr>
              <w:spacing w:after="0"/>
              <w:rPr>
                <w:sz w:val="3"/>
                <w:szCs w:val="3"/>
                <w:color w:val="auto"/>
              </w:rPr>
            </w:pPr>
          </w:p>
        </w:tc>
        <w:tc>
          <w:tcPr>
            <w:tcW w:w="60" w:type="dxa"/>
            <w:vAlign w:val="bottom"/>
            <w:shd w:val="clear" w:color="auto" w:fill="3051F2"/>
          </w:tcPr>
          <w:p>
            <w:pPr>
              <w:spacing w:after="0"/>
              <w:rPr>
                <w:sz w:val="3"/>
                <w:szCs w:val="3"/>
                <w:color w:val="auto"/>
              </w:rPr>
            </w:pPr>
          </w:p>
        </w:tc>
        <w:tc>
          <w:tcPr>
            <w:tcW w:w="160" w:type="dxa"/>
            <w:vAlign w:val="bottom"/>
            <w:tcBorders>
              <w:right w:val="single" w:sz="8" w:color="3051F2"/>
            </w:tcBorders>
            <w:shd w:val="clear" w:color="auto" w:fill="3051F2"/>
          </w:tcPr>
          <w:p>
            <w:pPr>
              <w:spacing w:after="0"/>
              <w:rPr>
                <w:sz w:val="3"/>
                <w:szCs w:val="3"/>
                <w:color w:val="auto"/>
              </w:rPr>
            </w:pPr>
          </w:p>
        </w:tc>
        <w:tc>
          <w:tcPr>
            <w:tcW w:w="240" w:type="dxa"/>
            <w:vAlign w:val="bottom"/>
            <w:shd w:val="clear" w:color="auto" w:fill="3051F2"/>
          </w:tcPr>
          <w:p>
            <w:pPr>
              <w:spacing w:after="0"/>
              <w:rPr>
                <w:sz w:val="3"/>
                <w:szCs w:val="3"/>
                <w:color w:val="auto"/>
              </w:rPr>
            </w:pPr>
          </w:p>
        </w:tc>
        <w:tc>
          <w:tcPr>
            <w:tcW w:w="100" w:type="dxa"/>
            <w:vAlign w:val="bottom"/>
            <w:tcBorders>
              <w:right w:val="single" w:sz="8" w:color="3051F2"/>
            </w:tcBorders>
            <w:shd w:val="clear" w:color="auto" w:fill="3051F2"/>
          </w:tcPr>
          <w:p>
            <w:pPr>
              <w:spacing w:after="0"/>
              <w:rPr>
                <w:sz w:val="3"/>
                <w:szCs w:val="3"/>
                <w:color w:val="auto"/>
              </w:rPr>
            </w:pPr>
          </w:p>
        </w:tc>
        <w:tc>
          <w:tcPr>
            <w:tcW w:w="280" w:type="dxa"/>
            <w:vAlign w:val="bottom"/>
            <w:shd w:val="clear" w:color="auto" w:fill="3051F2"/>
          </w:tcPr>
          <w:p>
            <w:pPr>
              <w:spacing w:after="0"/>
              <w:rPr>
                <w:sz w:val="3"/>
                <w:szCs w:val="3"/>
                <w:color w:val="auto"/>
              </w:rPr>
            </w:pPr>
          </w:p>
        </w:tc>
        <w:tc>
          <w:tcPr>
            <w:tcW w:w="180" w:type="dxa"/>
            <w:vAlign w:val="bottom"/>
            <w:shd w:val="clear" w:color="auto" w:fill="3051F2"/>
          </w:tcPr>
          <w:p>
            <w:pPr>
              <w:spacing w:after="0"/>
              <w:rPr>
                <w:sz w:val="3"/>
                <w:szCs w:val="3"/>
                <w:color w:val="auto"/>
              </w:rPr>
            </w:pPr>
          </w:p>
        </w:tc>
        <w:tc>
          <w:tcPr>
            <w:tcW w:w="460" w:type="dxa"/>
            <w:vAlign w:val="bottom"/>
            <w:shd w:val="clear" w:color="auto" w:fill="3051F2"/>
          </w:tcPr>
          <w:p>
            <w:pPr>
              <w:spacing w:after="0"/>
              <w:rPr>
                <w:sz w:val="3"/>
                <w:szCs w:val="3"/>
                <w:color w:val="auto"/>
              </w:rPr>
            </w:pPr>
          </w:p>
        </w:tc>
        <w:tc>
          <w:tcPr>
            <w:tcW w:w="60" w:type="dxa"/>
            <w:vAlign w:val="bottom"/>
            <w:shd w:val="clear" w:color="auto" w:fill="3051F2"/>
          </w:tcPr>
          <w:p>
            <w:pPr>
              <w:spacing w:after="0"/>
              <w:rPr>
                <w:sz w:val="3"/>
                <w:szCs w:val="3"/>
                <w:color w:val="auto"/>
              </w:rPr>
            </w:pPr>
          </w:p>
        </w:tc>
        <w:tc>
          <w:tcPr>
            <w:tcW w:w="80" w:type="dxa"/>
            <w:vAlign w:val="bottom"/>
            <w:shd w:val="clear" w:color="auto" w:fill="3051F2"/>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60" w:type="dxa"/>
            <w:vAlign w:val="bottom"/>
            <w:tcBorders>
              <w:right w:val="single" w:sz="8" w:color="3051F2"/>
            </w:tcBorders>
            <w:shd w:val="clear" w:color="auto" w:fill="CCEEFF"/>
          </w:tcPr>
          <w:p>
            <w:pPr>
              <w:spacing w:after="0"/>
              <w:rPr>
                <w:sz w:val="3"/>
                <w:szCs w:val="3"/>
                <w:color w:val="auto"/>
              </w:rPr>
            </w:pPr>
          </w:p>
        </w:tc>
        <w:tc>
          <w:tcPr>
            <w:tcW w:w="260" w:type="dxa"/>
            <w:vAlign w:val="bottom"/>
            <w:tcBorders>
              <w:right w:val="single" w:sz="8" w:color="3051F2"/>
            </w:tcBorders>
            <w:shd w:val="clear" w:color="auto" w:fill="3051F2"/>
          </w:tcPr>
          <w:p>
            <w:pPr>
              <w:spacing w:after="0"/>
              <w:rPr>
                <w:sz w:val="3"/>
                <w:szCs w:val="3"/>
                <w:color w:val="auto"/>
              </w:rPr>
            </w:pPr>
          </w:p>
        </w:tc>
        <w:tc>
          <w:tcPr>
            <w:tcW w:w="4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right="460" w:firstLine="351"/>
        <w:spacing w:after="0" w:line="248" w:lineRule="auto"/>
        <w:rPr>
          <w:sz w:val="20"/>
          <w:szCs w:val="20"/>
          <w:color w:val="auto"/>
        </w:rPr>
      </w:pPr>
      <w:r>
        <w:rPr>
          <w:rFonts w:ascii="Arial" w:cs="Arial" w:eastAsia="Arial" w:hAnsi="Arial"/>
          <w:sz w:val="16"/>
          <w:szCs w:val="16"/>
          <w:color w:val="auto"/>
        </w:rPr>
        <w:t>All other schedules are omitted because they are not applicable, or the required information is included in the consolidated financial statements or notes thereto.</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(a)(3) Exhibits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Exhibit Index attached hereto is incorporated by reference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DigitalBridge Group, Inc.</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6"/>
          <w:szCs w:val="16"/>
          <w:color w:val="333333"/>
        </w:rPr>
        <w:t>We have audited the accompanying consolidated balance sheets of DigitalBridge Group, Inc. (the Company) as of December 31, 2021 and 2020, the related consolidated statements of operations, comprehensive income (loss), equity and cash flows for each of the three years in the period ended December 31, 2021,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94"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333333"/>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w:t>
      </w:r>
    </w:p>
    <w:p>
      <w:pPr>
        <w:spacing w:after="0"/>
        <w:rPr>
          <w:sz w:val="20"/>
          <w:szCs w:val="20"/>
          <w:color w:val="auto"/>
        </w:rPr>
      </w:pPr>
      <w:r>
        <w:rPr>
          <w:rFonts w:ascii="Arial" w:cs="Arial" w:eastAsia="Arial" w:hAnsi="Arial"/>
          <w:sz w:val="16"/>
          <w:szCs w:val="16"/>
          <w:color w:val="333333"/>
        </w:rPr>
        <w:t>Sponsoring Organizations of the Treadway Commission (2013 framework) and our report dated February 28, 2022 expressed an unqualified opinion thereon.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15"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w:t>
      </w:r>
    </w:p>
    <w:p>
      <w:pPr>
        <w:ind w:right="60"/>
        <w:spacing w:after="0" w:line="246" w:lineRule="auto"/>
        <w:rPr>
          <w:sz w:val="20"/>
          <w:szCs w:val="20"/>
          <w:color w:val="auto"/>
        </w:rPr>
      </w:pPr>
      <w:r>
        <w:rPr>
          <w:rFonts w:ascii="Arial" w:cs="Arial" w:eastAsia="Arial" w:hAnsi="Arial"/>
          <w:sz w:val="16"/>
          <w:szCs w:val="16"/>
          <w:color w:val="333333"/>
        </w:rPr>
        <w:t>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54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9680" w:type="dxa"/>
            <w:vAlign w:val="bottom"/>
          </w:tcPr>
          <w:p>
            <w:pPr>
              <w:spacing w:after="0"/>
              <w:rPr>
                <w:sz w:val="16"/>
                <w:szCs w:val="16"/>
                <w:color w:val="auto"/>
              </w:rPr>
            </w:pPr>
          </w:p>
        </w:tc>
      </w:tr>
      <w:tr>
        <w:trPr>
          <w:trHeight w:val="845"/>
        </w:trPr>
        <w:tc>
          <w:tcPr>
            <w:tcW w:w="12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Assets Held for Disposition and Related Losses and Impairments</w:t>
            </w:r>
          </w:p>
        </w:tc>
      </w:tr>
      <w:tr>
        <w:trPr>
          <w:trHeight w:val="195"/>
        </w:trPr>
        <w:tc>
          <w:tcPr>
            <w:tcW w:w="1540" w:type="dxa"/>
            <w:vAlign w:val="bottom"/>
            <w:gridSpan w:val="2"/>
          </w:tcPr>
          <w:p>
            <w:pPr>
              <w:ind w:left="20"/>
              <w:spacing w:after="0"/>
              <w:rPr>
                <w:sz w:val="20"/>
                <w:szCs w:val="20"/>
                <w:color w:val="auto"/>
              </w:rPr>
            </w:pPr>
            <w:r>
              <w:rPr>
                <w:rFonts w:ascii="Arial" w:cs="Arial" w:eastAsia="Arial" w:hAnsi="Arial"/>
                <w:sz w:val="16"/>
                <w:szCs w:val="16"/>
                <w:i w:val="1"/>
                <w:iCs w:val="1"/>
                <w:color w:val="auto"/>
              </w:rPr>
              <w:t>Description of the</w:t>
            </w:r>
          </w:p>
        </w:tc>
        <w:tc>
          <w:tcPr>
            <w:tcW w:w="9680" w:type="dxa"/>
            <w:vAlign w:val="bottom"/>
          </w:tcPr>
          <w:p>
            <w:pPr>
              <w:ind w:left="140"/>
              <w:spacing w:after="0"/>
              <w:rPr>
                <w:sz w:val="20"/>
                <w:szCs w:val="20"/>
                <w:color w:val="auto"/>
              </w:rPr>
            </w:pPr>
            <w:r>
              <w:rPr>
                <w:rFonts w:ascii="Arial" w:cs="Arial" w:eastAsia="Arial" w:hAnsi="Arial"/>
                <w:sz w:val="16"/>
                <w:szCs w:val="16"/>
                <w:color w:val="auto"/>
              </w:rPr>
              <w:t>As more fully disclosed in Notes 1, 11 and 12 to the consolidated financial statements, during the year ended December 31, 2021, the</w:t>
            </w:r>
          </w:p>
        </w:tc>
      </w:tr>
      <w:tr>
        <w:trPr>
          <w:trHeight w:val="203"/>
        </w:trPr>
        <w:tc>
          <w:tcPr>
            <w:tcW w:w="1540" w:type="dxa"/>
            <w:vAlign w:val="bottom"/>
            <w:gridSpan w:val="2"/>
          </w:tcPr>
          <w:p>
            <w:pPr>
              <w:ind w:left="20"/>
              <w:spacing w:after="0"/>
              <w:rPr>
                <w:sz w:val="20"/>
                <w:szCs w:val="20"/>
                <w:color w:val="auto"/>
              </w:rPr>
            </w:pPr>
            <w:r>
              <w:rPr>
                <w:rFonts w:ascii="Arial" w:cs="Arial" w:eastAsia="Arial" w:hAnsi="Arial"/>
                <w:sz w:val="16"/>
                <w:szCs w:val="16"/>
                <w:i w:val="1"/>
                <w:iCs w:val="1"/>
                <w:color w:val="auto"/>
              </w:rPr>
              <w:t>Matter</w:t>
            </w:r>
          </w:p>
        </w:tc>
        <w:tc>
          <w:tcPr>
            <w:tcW w:w="9680" w:type="dxa"/>
            <w:vAlign w:val="bottom"/>
          </w:tcPr>
          <w:p>
            <w:pPr>
              <w:ind w:left="140"/>
              <w:spacing w:after="0"/>
              <w:rPr>
                <w:sz w:val="20"/>
                <w:szCs w:val="20"/>
                <w:color w:val="auto"/>
              </w:rPr>
            </w:pPr>
            <w:r>
              <w:rPr>
                <w:rFonts w:ascii="Arial" w:cs="Arial" w:eastAsia="Arial" w:hAnsi="Arial"/>
                <w:sz w:val="16"/>
                <w:szCs w:val="16"/>
                <w:color w:val="auto"/>
                <w:w w:val="98"/>
              </w:rPr>
              <w:t>Company disposed of a substantial majority of its other equity and debt investments and its non-digital investment management business</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and executed agreements to sell its Wellness Infrastructure segment. As a result of these strategic shifts, the Company classified the</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related assets and liabilities as held for disposition on its consolidated balance sheets and recorded impairments and other losses of</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w w:val="99"/>
              </w:rPr>
              <w:t>$625.3 million related to held for sale real estate assets, held for sale equity method investments, and held for sale loans receivable, all</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included as a component of loss from discontinued operations.</w:t>
            </w:r>
          </w:p>
        </w:tc>
      </w:tr>
      <w:tr>
        <w:trPr>
          <w:trHeight w:val="281"/>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w w:val="99"/>
              </w:rPr>
              <w:t>Auditing the Company’s calculation and allocation of impairment and other losses related to the strategic dispositions is complex due to</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w w:val="97"/>
              </w:rPr>
              <w:t>subjectivity in allocating the aggregate loss on sale to individual assets within the disposal group and, for sales that have not yet closed, in</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estimating the aggregate fair value and costs to sell of the disposal group. The inputs and assumptions utilized in the calculation and</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allocation of impairment and other losses included, but were not limited to, the estimated sales price based on actual or indicative</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w w:val="99"/>
              </w:rPr>
              <w:t>transaction values, estimated closing adjustments, and the estimated fair values for certain individual assets which are measured at fair</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value on a recurring basis. Changes to these inputs or assumptions could have a material effect on the amount of impairment or other</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losses recognized as a component of loss from discontinued operations.</w:t>
            </w:r>
          </w:p>
        </w:tc>
      </w:tr>
      <w:tr>
        <w:trPr>
          <w:trHeight w:val="358"/>
        </w:trPr>
        <w:tc>
          <w:tcPr>
            <w:tcW w:w="1540" w:type="dxa"/>
            <w:vAlign w:val="bottom"/>
            <w:gridSpan w:val="2"/>
          </w:tcPr>
          <w:p>
            <w:pPr>
              <w:ind w:left="20"/>
              <w:spacing w:after="0"/>
              <w:rPr>
                <w:sz w:val="20"/>
                <w:szCs w:val="20"/>
                <w:color w:val="auto"/>
              </w:rPr>
            </w:pPr>
            <w:r>
              <w:rPr>
                <w:rFonts w:ascii="Arial" w:cs="Arial" w:eastAsia="Arial" w:hAnsi="Arial"/>
                <w:sz w:val="16"/>
                <w:szCs w:val="16"/>
                <w:i w:val="1"/>
                <w:iCs w:val="1"/>
                <w:color w:val="auto"/>
              </w:rPr>
              <w:t>How We Addressed</w:t>
            </w:r>
          </w:p>
        </w:tc>
        <w:tc>
          <w:tcPr>
            <w:tcW w:w="9680" w:type="dxa"/>
            <w:vAlign w:val="bottom"/>
          </w:tcPr>
          <w:p>
            <w:pPr>
              <w:ind w:left="140"/>
              <w:spacing w:after="0"/>
              <w:rPr>
                <w:sz w:val="20"/>
                <w:szCs w:val="20"/>
                <w:color w:val="auto"/>
              </w:rPr>
            </w:pPr>
            <w:r>
              <w:rPr>
                <w:rFonts w:ascii="Arial" w:cs="Arial" w:eastAsia="Arial" w:hAnsi="Arial"/>
                <w:sz w:val="16"/>
                <w:szCs w:val="16"/>
                <w:color w:val="auto"/>
                <w:w w:val="99"/>
              </w:rPr>
              <w:t>We obtained an understanding, evaluated the design and tested the operating effectiveness of controls over the Company’s process to</w:t>
            </w:r>
          </w:p>
        </w:tc>
      </w:tr>
      <w:tr>
        <w:trPr>
          <w:trHeight w:val="187"/>
        </w:trPr>
        <w:tc>
          <w:tcPr>
            <w:tcW w:w="1540" w:type="dxa"/>
            <w:vAlign w:val="bottom"/>
            <w:gridSpan w:val="2"/>
          </w:tcPr>
          <w:p>
            <w:pPr>
              <w:ind w:left="20"/>
              <w:spacing w:after="0"/>
              <w:rPr>
                <w:sz w:val="20"/>
                <w:szCs w:val="20"/>
                <w:color w:val="auto"/>
              </w:rPr>
            </w:pPr>
            <w:r>
              <w:rPr>
                <w:rFonts w:ascii="Arial" w:cs="Arial" w:eastAsia="Arial" w:hAnsi="Arial"/>
                <w:sz w:val="16"/>
                <w:szCs w:val="16"/>
                <w:i w:val="1"/>
                <w:iCs w:val="1"/>
                <w:color w:val="auto"/>
              </w:rPr>
              <w:t>the Matter in Our</w:t>
            </w:r>
          </w:p>
        </w:tc>
        <w:tc>
          <w:tcPr>
            <w:tcW w:w="9680" w:type="dxa"/>
            <w:vAlign w:val="bottom"/>
          </w:tcPr>
          <w:p>
            <w:pPr>
              <w:ind w:left="140"/>
              <w:spacing w:after="0"/>
              <w:rPr>
                <w:sz w:val="20"/>
                <w:szCs w:val="20"/>
                <w:color w:val="auto"/>
              </w:rPr>
            </w:pPr>
            <w:r>
              <w:rPr>
                <w:rFonts w:ascii="Arial" w:cs="Arial" w:eastAsia="Arial" w:hAnsi="Arial"/>
                <w:sz w:val="16"/>
                <w:szCs w:val="16"/>
                <w:color w:val="auto"/>
              </w:rPr>
              <w:t>calculate and record the impairment and other losses related to assets held for disposition, including controls over management’s</w:t>
            </w:r>
          </w:p>
        </w:tc>
      </w:tr>
      <w:tr>
        <w:trPr>
          <w:trHeight w:val="203"/>
        </w:trPr>
        <w:tc>
          <w:tcPr>
            <w:tcW w:w="1540" w:type="dxa"/>
            <w:vAlign w:val="bottom"/>
            <w:gridSpan w:val="2"/>
          </w:tcPr>
          <w:p>
            <w:pPr>
              <w:ind w:left="20"/>
              <w:spacing w:after="0"/>
              <w:rPr>
                <w:sz w:val="20"/>
                <w:szCs w:val="20"/>
                <w:color w:val="auto"/>
              </w:rPr>
            </w:pPr>
            <w:r>
              <w:rPr>
                <w:rFonts w:ascii="Arial" w:cs="Arial" w:eastAsia="Arial" w:hAnsi="Arial"/>
                <w:sz w:val="16"/>
                <w:szCs w:val="16"/>
                <w:i w:val="1"/>
                <w:iCs w:val="1"/>
                <w:color w:val="auto"/>
              </w:rPr>
              <w:t>Audit</w:t>
            </w:r>
          </w:p>
        </w:tc>
        <w:tc>
          <w:tcPr>
            <w:tcW w:w="9680" w:type="dxa"/>
            <w:vAlign w:val="bottom"/>
          </w:tcPr>
          <w:p>
            <w:pPr>
              <w:ind w:left="140"/>
              <w:spacing w:after="0"/>
              <w:rPr>
                <w:sz w:val="20"/>
                <w:szCs w:val="20"/>
                <w:color w:val="auto"/>
              </w:rPr>
            </w:pPr>
            <w:r>
              <w:rPr>
                <w:rFonts w:ascii="Arial" w:cs="Arial" w:eastAsia="Arial" w:hAnsi="Arial"/>
                <w:sz w:val="16"/>
                <w:szCs w:val="16"/>
                <w:color w:val="auto"/>
              </w:rPr>
              <w:t>development and review of the significant inputs and assumptions used in the calculations.</w:t>
            </w:r>
          </w:p>
        </w:tc>
      </w:tr>
      <w:tr>
        <w:trPr>
          <w:trHeight w:val="281"/>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To test management’s calculations of impairments and other losses related to assets held for disposition, we obtained the supporting</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calculations and agreed key terms to the executed contracts and agreements and performed audit procedures over the calculation and</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w w:val="97"/>
              </w:rPr>
              <w:t>allocation of impairment and other losses in each disposal group. These procedures included, but were not limited to, obtaining supporting</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w w:val="99"/>
              </w:rPr>
              <w:t>documentation to substantiate key inputs used in the analysis, comparing estimated future cash flows to actual or indicative transaction</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values, evaluating the methodology used to allocate the aggregate sales price to individual assets included in each disposal group and</w:t>
            </w:r>
          </w:p>
        </w:tc>
      </w:tr>
      <w:tr>
        <w:trPr>
          <w:trHeight w:val="187"/>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Pr>
          <w:p>
            <w:pPr>
              <w:ind w:left="140"/>
              <w:spacing w:after="0"/>
              <w:rPr>
                <w:sz w:val="20"/>
                <w:szCs w:val="20"/>
                <w:color w:val="auto"/>
              </w:rPr>
            </w:pPr>
            <w:r>
              <w:rPr>
                <w:rFonts w:ascii="Arial" w:cs="Arial" w:eastAsia="Arial" w:hAnsi="Arial"/>
                <w:sz w:val="16"/>
                <w:szCs w:val="16"/>
                <w:color w:val="auto"/>
              </w:rPr>
              <w:t>testing the mathematical accuracy of management’s calculations.</w:t>
            </w: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60" w:type="dxa"/>
            <w:vAlign w:val="bottom"/>
          </w:tcPr>
          <w:p>
            <w:pPr>
              <w:spacing w:after="0"/>
              <w:rPr>
                <w:sz w:val="17"/>
                <w:szCs w:val="17"/>
                <w:color w:val="auto"/>
              </w:rPr>
            </w:pPr>
          </w:p>
        </w:tc>
        <w:tc>
          <w:tcPr>
            <w:tcW w:w="980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Asset Acquisitions—Recognition of acquired assets</w:t>
            </w:r>
          </w:p>
        </w:tc>
      </w:tr>
      <w:tr>
        <w:trPr>
          <w:trHeight w:val="195"/>
        </w:trPr>
        <w:tc>
          <w:tcPr>
            <w:tcW w:w="1460" w:type="dxa"/>
            <w:vAlign w:val="bottom"/>
          </w:tcPr>
          <w:p>
            <w:pPr>
              <w:ind w:left="20"/>
              <w:spacing w:after="0"/>
              <w:rPr>
                <w:sz w:val="20"/>
                <w:szCs w:val="20"/>
                <w:color w:val="auto"/>
              </w:rPr>
            </w:pPr>
            <w:r>
              <w:rPr>
                <w:rFonts w:ascii="Arial" w:cs="Arial" w:eastAsia="Arial" w:hAnsi="Arial"/>
                <w:sz w:val="16"/>
                <w:szCs w:val="16"/>
                <w:i w:val="1"/>
                <w:iCs w:val="1"/>
                <w:color w:val="auto"/>
              </w:rPr>
              <w:t>Description of the</w:t>
            </w:r>
          </w:p>
        </w:tc>
        <w:tc>
          <w:tcPr>
            <w:tcW w:w="9800" w:type="dxa"/>
            <w:vAlign w:val="bottom"/>
          </w:tcPr>
          <w:p>
            <w:pPr>
              <w:ind w:left="220"/>
              <w:spacing w:after="0"/>
              <w:rPr>
                <w:sz w:val="20"/>
                <w:szCs w:val="20"/>
                <w:color w:val="auto"/>
              </w:rPr>
            </w:pPr>
            <w:r>
              <w:rPr>
                <w:rFonts w:ascii="Arial" w:cs="Arial" w:eastAsia="Arial" w:hAnsi="Arial"/>
                <w:sz w:val="16"/>
                <w:szCs w:val="16"/>
                <w:color w:val="auto"/>
              </w:rPr>
              <w:t>As more fully discussed in Note 3 to the consolidated financial statements, during the year ended December 31, 2021, the Company</w:t>
            </w:r>
          </w:p>
        </w:tc>
      </w:tr>
      <w:tr>
        <w:trPr>
          <w:trHeight w:val="203"/>
        </w:trPr>
        <w:tc>
          <w:tcPr>
            <w:tcW w:w="1460" w:type="dxa"/>
            <w:vAlign w:val="bottom"/>
          </w:tcPr>
          <w:p>
            <w:pPr>
              <w:ind w:left="20"/>
              <w:spacing w:after="0"/>
              <w:rPr>
                <w:sz w:val="20"/>
                <w:szCs w:val="20"/>
                <w:color w:val="auto"/>
              </w:rPr>
            </w:pPr>
            <w:r>
              <w:rPr>
                <w:rFonts w:ascii="Arial" w:cs="Arial" w:eastAsia="Arial" w:hAnsi="Arial"/>
                <w:sz w:val="16"/>
                <w:szCs w:val="16"/>
                <w:i w:val="1"/>
                <w:iCs w:val="1"/>
                <w:color w:val="auto"/>
              </w:rPr>
              <w:t>Matter</w:t>
            </w:r>
          </w:p>
        </w:tc>
        <w:tc>
          <w:tcPr>
            <w:tcW w:w="9800" w:type="dxa"/>
            <w:vAlign w:val="bottom"/>
          </w:tcPr>
          <w:p>
            <w:pPr>
              <w:ind w:left="220"/>
              <w:spacing w:after="0"/>
              <w:rPr>
                <w:sz w:val="20"/>
                <w:szCs w:val="20"/>
                <w:color w:val="auto"/>
              </w:rPr>
            </w:pPr>
            <w:r>
              <w:rPr>
                <w:rFonts w:ascii="Arial" w:cs="Arial" w:eastAsia="Arial" w:hAnsi="Arial"/>
                <w:sz w:val="16"/>
                <w:szCs w:val="16"/>
                <w:color w:val="auto"/>
                <w:w w:val="99"/>
              </w:rPr>
              <w:t>completed the acquisition of approximately $576.8 million of real estate and related intangible assets in its digital operating segment. As</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rPr>
              <w:t>explained in Notes 2 and 3 to the consolidated financial statements, the transactions were accounted for as asset acquisitions, and as</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rPr>
              <w:t>such, the transaction price was allocated to the acquired assets based upon their estimated fair values.</w:t>
            </w:r>
          </w:p>
        </w:tc>
      </w:tr>
      <w:tr>
        <w:trPr>
          <w:trHeight w:val="281"/>
        </w:trPr>
        <w:tc>
          <w:tcPr>
            <w:tcW w:w="1460" w:type="dxa"/>
            <w:vAlign w:val="bottom"/>
          </w:tcPr>
          <w:p>
            <w:pPr>
              <w:spacing w:after="0"/>
              <w:rPr>
                <w:sz w:val="24"/>
                <w:szCs w:val="24"/>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rPr>
              <w:t>Auditing the Company’s accounting for the acquisitions was complex due to the significant estimation required by management in</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rPr>
              <w:t>determining the relative fair values of the acquired tangible and intangible assets. The significant estimation was primarily due to the</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w w:val="98"/>
              </w:rPr>
              <w:t>judgmental nature of the inputs to the valuation models used to measure the fair value of the tangible and intangible assets as well as the</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w w:val="97"/>
              </w:rPr>
              <w:t>sensitivity of the respective fair values to the underlying assumptions. The Company utilized discounted cash flows, sales comparison, and</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w w:val="98"/>
              </w:rPr>
              <w:t>direct cost approaches to measure the fair value of the acquired tangible and intangible assets. The more significant assumptions utilized</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rPr>
              <w:t>included, but were not limited to, market revenues and discount rates. These significant assumptions are forward looking and could be</w:t>
            </w:r>
          </w:p>
        </w:tc>
      </w:tr>
      <w:tr>
        <w:trPr>
          <w:trHeight w:val="187"/>
        </w:trPr>
        <w:tc>
          <w:tcPr>
            <w:tcW w:w="1460" w:type="dxa"/>
            <w:vAlign w:val="bottom"/>
          </w:tcPr>
          <w:p>
            <w:pPr>
              <w:spacing w:after="0"/>
              <w:rPr>
                <w:sz w:val="16"/>
                <w:szCs w:val="16"/>
                <w:color w:val="auto"/>
              </w:rPr>
            </w:pPr>
          </w:p>
        </w:tc>
        <w:tc>
          <w:tcPr>
            <w:tcW w:w="9800" w:type="dxa"/>
            <w:vAlign w:val="bottom"/>
          </w:tcPr>
          <w:p>
            <w:pPr>
              <w:ind w:left="220"/>
              <w:spacing w:after="0"/>
              <w:rPr>
                <w:sz w:val="20"/>
                <w:szCs w:val="20"/>
                <w:color w:val="auto"/>
              </w:rPr>
            </w:pPr>
            <w:r>
              <w:rPr>
                <w:rFonts w:ascii="Arial" w:cs="Arial" w:eastAsia="Arial" w:hAnsi="Arial"/>
                <w:sz w:val="16"/>
                <w:szCs w:val="16"/>
                <w:color w:val="auto"/>
              </w:rPr>
              <w:t>affected by future economic and market conditions.</w:t>
            </w:r>
          </w:p>
        </w:tc>
      </w:tr>
      <w:tr>
        <w:trPr>
          <w:trHeight w:val="947"/>
        </w:trPr>
        <w:tc>
          <w:tcPr>
            <w:tcW w:w="1460" w:type="dxa"/>
            <w:vAlign w:val="bottom"/>
          </w:tcPr>
          <w:p>
            <w:pPr>
              <w:spacing w:after="0"/>
              <w:rPr>
                <w:sz w:val="24"/>
                <w:szCs w:val="24"/>
                <w:color w:val="auto"/>
              </w:rPr>
            </w:pPr>
          </w:p>
        </w:tc>
        <w:tc>
          <w:tcPr>
            <w:tcW w:w="9800" w:type="dxa"/>
            <w:vAlign w:val="bottom"/>
          </w:tcPr>
          <w:p>
            <w:pPr>
              <w:ind w:left="4040"/>
              <w:spacing w:after="0"/>
              <w:rPr>
                <w:sz w:val="20"/>
                <w:szCs w:val="20"/>
                <w:color w:val="auto"/>
              </w:rPr>
            </w:pPr>
            <w:r>
              <w:rPr>
                <w:rFonts w:ascii="Arial" w:cs="Arial" w:eastAsia="Arial" w:hAnsi="Arial"/>
                <w:sz w:val="16"/>
                <w:szCs w:val="16"/>
                <w:color w:val="auto"/>
              </w:rPr>
              <w:t>F-3</w:t>
            </w:r>
          </w:p>
        </w:tc>
      </w:tr>
      <w:tr>
        <w:trPr>
          <w:trHeight w:val="191"/>
        </w:trPr>
        <w:tc>
          <w:tcPr>
            <w:tcW w:w="1460" w:type="dxa"/>
            <w:vAlign w:val="bottom"/>
            <w:tcBorders>
              <w:bottom w:val="single" w:sz="8" w:color="9A9A9A"/>
            </w:tcBorders>
          </w:tcPr>
          <w:p>
            <w:pPr>
              <w:spacing w:after="0"/>
              <w:rPr>
                <w:sz w:val="16"/>
                <w:szCs w:val="16"/>
                <w:color w:val="auto"/>
              </w:rPr>
            </w:pPr>
          </w:p>
        </w:tc>
        <w:tc>
          <w:tcPr>
            <w:tcW w:w="98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7" w:right="31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6"/>
          <w:szCs w:val="16"/>
          <w:i w:val="1"/>
          <w:iCs w:val="1"/>
          <w:color w:val="auto"/>
        </w:rPr>
        <w:t>How We Addressed</w:t>
      </w:r>
      <w:r>
        <w:rPr>
          <w:sz w:val="20"/>
          <w:szCs w:val="20"/>
          <w:color w:val="auto"/>
        </w:rPr>
        <w:tab/>
      </w:r>
      <w:r>
        <w:rPr>
          <w:rFonts w:ascii="Arial" w:cs="Arial" w:eastAsia="Arial" w:hAnsi="Arial"/>
          <w:sz w:val="14"/>
          <w:szCs w:val="14"/>
          <w:color w:val="auto"/>
        </w:rPr>
        <w:t>We obtained an understanding, evaluated the design and tested the operating effectiveness of controls over the Company’s process for</w:t>
      </w:r>
    </w:p>
    <w:p>
      <w:pPr>
        <w:spacing w:after="0" w:line="19"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6"/>
          <w:szCs w:val="16"/>
          <w:i w:val="1"/>
          <w:iCs w:val="1"/>
          <w:color w:val="auto"/>
        </w:rPr>
        <w:t>the Matter in Our</w:t>
      </w:r>
      <w:r>
        <w:rPr>
          <w:sz w:val="20"/>
          <w:szCs w:val="20"/>
          <w:color w:val="auto"/>
        </w:rPr>
        <w:tab/>
      </w:r>
      <w:r>
        <w:rPr>
          <w:rFonts w:ascii="Arial" w:cs="Arial" w:eastAsia="Arial" w:hAnsi="Arial"/>
          <w:sz w:val="14"/>
          <w:szCs w:val="14"/>
          <w:color w:val="auto"/>
        </w:rPr>
        <w:t>determining and reviewing the key inputs and assumptions used in estimating the fair values of acquired tangible and intangible assets,</w:t>
      </w:r>
    </w:p>
    <w:p>
      <w:pPr>
        <w:spacing w:after="0" w:line="3" w:lineRule="exact"/>
        <w:rPr>
          <w:sz w:val="20"/>
          <w:szCs w:val="20"/>
          <w:color w:val="auto"/>
        </w:rPr>
      </w:pPr>
    </w:p>
    <w:p>
      <w:pPr>
        <w:jc w:val="both"/>
        <w:ind w:left="1680" w:right="260" w:hanging="1659"/>
        <w:spacing w:after="0" w:line="246" w:lineRule="auto"/>
        <w:tabs>
          <w:tab w:leader="none" w:pos="166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including controls over the Company’s review of the assumptions underlying the fair value analysis, the cash flow projections, and the accuracy of the underlying data used. For example, we tested controls over the determination of the fair value of acquired tangible and intangible assets, including the valuation models and underlying assumptions used to develop such estimates.</w:t>
      </w:r>
    </w:p>
    <w:p>
      <w:pPr>
        <w:spacing w:after="0" w:line="89" w:lineRule="exact"/>
        <w:rPr>
          <w:sz w:val="20"/>
          <w:szCs w:val="20"/>
          <w:color w:val="auto"/>
        </w:rPr>
      </w:pPr>
    </w:p>
    <w:p>
      <w:pPr>
        <w:ind w:left="1680"/>
        <w:spacing w:after="0" w:line="244" w:lineRule="auto"/>
        <w:rPr>
          <w:sz w:val="20"/>
          <w:szCs w:val="20"/>
          <w:color w:val="auto"/>
        </w:rPr>
      </w:pPr>
      <w:r>
        <w:rPr>
          <w:rFonts w:ascii="Arial" w:cs="Arial" w:eastAsia="Arial" w:hAnsi="Arial"/>
          <w:sz w:val="16"/>
          <w:szCs w:val="16"/>
          <w:color w:val="auto"/>
        </w:rPr>
        <w:t>To test the fair values of acquired tangible and intangible assets used in the purchase price allocation, we performed audit procedures that included, among others, evaluating the valuation methods and significant assumptions used by management, testing the completeness and accuracy of the underlying data supporting the determination of the various inputs, and testing its clerical accuracy. We also involved our valuation specialists to assist in evaluating the methodologies used by the Company, perform procedures to corroborate the reasonableness of the significant assumptions utilized in developing the fair value estimates, and perform corroborative calculations to assess the reasonableness of the acquired tangible and intangible assets.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3"/>
                <w:szCs w:val="13"/>
                <w:color w:val="auto"/>
              </w:rPr>
            </w:pPr>
          </w:p>
        </w:tc>
        <w:tc>
          <w:tcPr>
            <w:tcW w:w="1380" w:type="dxa"/>
            <w:vAlign w:val="bottom"/>
          </w:tcPr>
          <w:p>
            <w:pPr>
              <w:jc w:val="right"/>
              <w:ind w:right="230"/>
              <w:spacing w:after="0"/>
              <w:rPr>
                <w:sz w:val="20"/>
                <w:szCs w:val="20"/>
                <w:color w:val="auto"/>
              </w:rPr>
            </w:pPr>
            <w:r>
              <w:rPr>
                <w:rFonts w:ascii="Arial" w:cs="Arial" w:eastAsia="Arial" w:hAnsi="Arial"/>
                <w:sz w:val="11"/>
                <w:szCs w:val="11"/>
                <w:b w:val="1"/>
                <w:bCs w:val="1"/>
                <w:color w:val="auto"/>
              </w:rPr>
              <w:t>December 31, 2020</w:t>
            </w:r>
          </w:p>
        </w:tc>
      </w:tr>
      <w:tr>
        <w:trPr>
          <w:trHeight w:val="174"/>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208"/>
        </w:trPr>
        <w:tc>
          <w:tcPr>
            <w:tcW w:w="800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1,602,102</w:t>
            </w:r>
          </w:p>
        </w:tc>
        <w:tc>
          <w:tcPr>
            <w:tcW w:w="8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703,544</w:t>
            </w:r>
          </w:p>
        </w:tc>
      </w:tr>
      <w:tr>
        <w:trPr>
          <w:trHeight w:val="189"/>
        </w:trPr>
        <w:tc>
          <w:tcPr>
            <w:tcW w:w="8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99,121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67,772</w:t>
            </w:r>
          </w:p>
        </w:tc>
      </w:tr>
      <w:tr>
        <w:trPr>
          <w:trHeight w:val="185"/>
        </w:trPr>
        <w:tc>
          <w:tcPr>
            <w:tcW w:w="8000" w:type="dxa"/>
            <w:vAlign w:val="bottom"/>
          </w:tcPr>
          <w:p>
            <w:pPr>
              <w:ind w:left="200"/>
              <w:spacing w:after="0"/>
              <w:rPr>
                <w:sz w:val="20"/>
                <w:szCs w:val="20"/>
                <w:color w:val="auto"/>
              </w:rPr>
            </w:pPr>
            <w:r>
              <w:rPr>
                <w:rFonts w:ascii="Arial" w:cs="Arial" w:eastAsia="Arial" w:hAnsi="Arial"/>
                <w:sz w:val="14"/>
                <w:szCs w:val="14"/>
                <w:color w:val="auto"/>
              </w:rPr>
              <w:t>Real estate, net</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4,972,284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4,451,864</w:t>
            </w:r>
          </w:p>
        </w:tc>
      </w:tr>
      <w:tr>
        <w:trPr>
          <w:trHeight w:val="189"/>
        </w:trPr>
        <w:tc>
          <w:tcPr>
            <w:tcW w:w="8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receivable (at fair value)</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173,921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36,798</w:t>
            </w:r>
          </w:p>
        </w:tc>
      </w:tr>
      <w:tr>
        <w:trPr>
          <w:trHeight w:val="185"/>
        </w:trPr>
        <w:tc>
          <w:tcPr>
            <w:tcW w:w="8000" w:type="dxa"/>
            <w:vAlign w:val="bottom"/>
          </w:tcPr>
          <w:p>
            <w:pPr>
              <w:ind w:left="200"/>
              <w:spacing w:after="0"/>
              <w:rPr>
                <w:sz w:val="20"/>
                <w:szCs w:val="20"/>
                <w:color w:val="auto"/>
              </w:rPr>
            </w:pPr>
            <w:r>
              <w:rPr>
                <w:rFonts w:ascii="Arial" w:cs="Arial" w:eastAsia="Arial" w:hAnsi="Arial"/>
                <w:sz w:val="14"/>
                <w:szCs w:val="14"/>
                <w:color w:val="auto"/>
              </w:rPr>
              <w:t>Equity investments ($201,912 and $247,025 at fair value)</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935,153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792,996</w:t>
            </w:r>
          </w:p>
        </w:tc>
      </w:tr>
      <w:tr>
        <w:trPr>
          <w:trHeight w:val="189"/>
        </w:trPr>
        <w:tc>
          <w:tcPr>
            <w:tcW w:w="8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761,368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761,368</w:t>
            </w:r>
          </w:p>
        </w:tc>
      </w:tr>
      <w:tr>
        <w:trPr>
          <w:trHeight w:val="185"/>
        </w:trPr>
        <w:tc>
          <w:tcPr>
            <w:tcW w:w="8000" w:type="dxa"/>
            <w:vAlign w:val="bottom"/>
          </w:tcPr>
          <w:p>
            <w:pPr>
              <w:ind w:left="200"/>
              <w:spacing w:after="0"/>
              <w:rPr>
                <w:sz w:val="20"/>
                <w:szCs w:val="20"/>
                <w:color w:val="auto"/>
              </w:rPr>
            </w:pPr>
            <w:r>
              <w:rPr>
                <w:rFonts w:ascii="Arial" w:cs="Arial" w:eastAsia="Arial" w:hAnsi="Arial"/>
                <w:sz w:val="14"/>
                <w:szCs w:val="14"/>
                <w:color w:val="auto"/>
              </w:rPr>
              <w:t>Deferred leasing costs and intangible assets, net</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1,187,627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1,340,760</w:t>
            </w:r>
          </w:p>
        </w:tc>
      </w:tr>
      <w:tr>
        <w:trPr>
          <w:trHeight w:val="18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 for disposition</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3,676,615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11,237,319</w:t>
            </w:r>
          </w:p>
        </w:tc>
      </w:tr>
      <w:tr>
        <w:trPr>
          <w:trHeight w:val="185"/>
        </w:trPr>
        <w:tc>
          <w:tcPr>
            <w:tcW w:w="8000" w:type="dxa"/>
            <w:vAlign w:val="bottom"/>
          </w:tcPr>
          <w:p>
            <w:pPr>
              <w:ind w:left="180"/>
              <w:spacing w:after="0"/>
              <w:rPr>
                <w:sz w:val="20"/>
                <w:szCs w:val="20"/>
                <w:color w:val="auto"/>
              </w:rPr>
            </w:pPr>
            <w:r>
              <w:rPr>
                <w:rFonts w:ascii="Arial" w:cs="Arial" w:eastAsia="Arial" w:hAnsi="Arial"/>
                <w:sz w:val="14"/>
                <w:szCs w:val="14"/>
                <w:color w:val="auto"/>
              </w:rPr>
              <w:t>Other assets ($944 and $99 at fair value)</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740,395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784,912</w:t>
            </w:r>
          </w:p>
        </w:tc>
      </w:tr>
      <w:tr>
        <w:trPr>
          <w:trHeight w:val="189"/>
        </w:trPr>
        <w:tc>
          <w:tcPr>
            <w:tcW w:w="8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affiliates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49,230</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23,227</w:t>
            </w:r>
          </w:p>
        </w:tc>
      </w:tr>
      <w:tr>
        <w:trPr>
          <w:trHeight w:val="176"/>
        </w:trPr>
        <w:tc>
          <w:tcPr>
            <w:tcW w:w="80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14,197,816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20,200,560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3"/>
        </w:trPr>
        <w:tc>
          <w:tcPr>
            <w:tcW w:w="800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85"/>
        </w:trPr>
        <w:tc>
          <w:tcPr>
            <w:tcW w:w="8000" w:type="dxa"/>
            <w:vAlign w:val="bottom"/>
          </w:tcPr>
          <w:p>
            <w:pPr>
              <w:ind w:left="180"/>
              <w:spacing w:after="0"/>
              <w:rPr>
                <w:sz w:val="20"/>
                <w:szCs w:val="20"/>
                <w:color w:val="auto"/>
              </w:rPr>
            </w:pPr>
            <w:r>
              <w:rPr>
                <w:rFonts w:ascii="Arial" w:cs="Arial" w:eastAsia="Arial" w:hAnsi="Arial"/>
                <w:sz w:val="14"/>
                <w:szCs w:val="14"/>
                <w:color w:val="auto"/>
              </w:rPr>
              <w:t>Debt, net</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4,860,402</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3,930,989</w:t>
            </w:r>
          </w:p>
        </w:tc>
      </w:tr>
      <w:tr>
        <w:trPr>
          <w:trHeight w:val="189"/>
        </w:trPr>
        <w:tc>
          <w:tcPr>
            <w:tcW w:w="8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and other liabilities ($0 and $128,057 at fair value)</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928,042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1,034,883</w:t>
            </w:r>
          </w:p>
        </w:tc>
      </w:tr>
      <w:tr>
        <w:trPr>
          <w:trHeight w:val="185"/>
        </w:trPr>
        <w:tc>
          <w:tcPr>
            <w:tcW w:w="8000" w:type="dxa"/>
            <w:vAlign w:val="bottom"/>
          </w:tcPr>
          <w:p>
            <w:pPr>
              <w:ind w:left="180"/>
              <w:spacing w:after="0"/>
              <w:rPr>
                <w:sz w:val="20"/>
                <w:szCs w:val="20"/>
                <w:color w:val="auto"/>
              </w:rPr>
            </w:pPr>
            <w:r>
              <w:rPr>
                <w:rFonts w:ascii="Arial" w:cs="Arial" w:eastAsia="Arial" w:hAnsi="Arial"/>
                <w:sz w:val="14"/>
                <w:szCs w:val="14"/>
                <w:color w:val="auto"/>
              </w:rPr>
              <w:t>Intangible liabilities, net</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33,301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39,788</w:t>
            </w:r>
          </w:p>
        </w:tc>
      </w:tr>
      <w:tr>
        <w:trPr>
          <w:trHeight w:val="18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 related to assets held for disposition</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3,088,699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7,886,516</w:t>
            </w:r>
          </w:p>
        </w:tc>
      </w:tr>
      <w:tr>
        <w:trPr>
          <w:trHeight w:val="185"/>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Dividends and distributions payable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15,759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18,516</w:t>
            </w:r>
          </w:p>
        </w:tc>
      </w:tr>
      <w:tr>
        <w:trPr>
          <w:trHeight w:val="181"/>
        </w:trPr>
        <w:tc>
          <w:tcPr>
            <w:tcW w:w="8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8,926,203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12,910,692</w:t>
            </w:r>
          </w:p>
        </w:tc>
      </w:tr>
      <w:tr>
        <w:trPr>
          <w:trHeight w:val="165"/>
        </w:trPr>
        <w:tc>
          <w:tcPr>
            <w:tcW w:w="8000" w:type="dxa"/>
            <w:vAlign w:val="bottom"/>
          </w:tcPr>
          <w:p>
            <w:pPr>
              <w:spacing w:after="0"/>
              <w:rPr>
                <w:sz w:val="20"/>
                <w:szCs w:val="20"/>
                <w:color w:val="auto"/>
              </w:rPr>
            </w:pPr>
            <w:r>
              <w:rPr>
                <w:rFonts w:ascii="Arial" w:cs="Arial" w:eastAsia="Arial" w:hAnsi="Arial"/>
                <w:sz w:val="14"/>
                <w:szCs w:val="14"/>
                <w:color w:val="auto"/>
              </w:rPr>
              <w:t>Commitments and contingencies (Note 21)</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Redeemable noncontrolling interests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359,223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305,278</w:t>
            </w:r>
          </w:p>
        </w:tc>
      </w:tr>
      <w:tr>
        <w:trPr>
          <w:trHeight w:val="186"/>
        </w:trPr>
        <w:tc>
          <w:tcPr>
            <w:tcW w:w="800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54"/>
        </w:trPr>
        <w:tc>
          <w:tcPr>
            <w:tcW w:w="8000" w:type="dxa"/>
            <w:vAlign w:val="bottom"/>
          </w:tcPr>
          <w:p>
            <w:pPr>
              <w:ind w:left="140"/>
              <w:spacing w:after="0" w:line="154" w:lineRule="exact"/>
              <w:rPr>
                <w:sz w:val="20"/>
                <w:szCs w:val="20"/>
                <w:color w:val="auto"/>
              </w:rPr>
            </w:pPr>
            <w:r>
              <w:rPr>
                <w:rFonts w:ascii="Arial" w:cs="Arial" w:eastAsia="Arial" w:hAnsi="Arial"/>
                <w:sz w:val="14"/>
                <w:szCs w:val="14"/>
                <w:color w:val="auto"/>
              </w:rPr>
              <w:t>Preferred stock, $0.01 par value per share; $883,500 and $1,033,750 liquidation preference; 250,000 shares authorized;</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1"/>
        </w:trPr>
        <w:tc>
          <w:tcPr>
            <w:tcW w:w="8000" w:type="dxa"/>
            <w:vAlign w:val="bottom"/>
          </w:tcPr>
          <w:p>
            <w:pPr>
              <w:ind w:left="220"/>
              <w:spacing w:after="0"/>
              <w:rPr>
                <w:sz w:val="20"/>
                <w:szCs w:val="20"/>
                <w:color w:val="auto"/>
              </w:rPr>
            </w:pPr>
            <w:r>
              <w:rPr>
                <w:rFonts w:ascii="Arial" w:cs="Arial" w:eastAsia="Arial" w:hAnsi="Arial"/>
                <w:sz w:val="14"/>
                <w:szCs w:val="14"/>
                <w:color w:val="auto"/>
              </w:rPr>
              <w:t>35,340 and 41,350 shares issued and outstanding</w:t>
            </w:r>
          </w:p>
        </w:tc>
        <w:tc>
          <w:tcPr>
            <w:tcW w:w="200" w:type="dxa"/>
            <w:vAlign w:val="bottom"/>
          </w:tcPr>
          <w:p>
            <w:pPr>
              <w:spacing w:after="0"/>
              <w:rPr>
                <w:sz w:val="14"/>
                <w:szCs w:val="14"/>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854,232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999,490</w:t>
            </w:r>
          </w:p>
        </w:tc>
      </w:tr>
      <w:tr>
        <w:trPr>
          <w:trHeight w:val="18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$0.01 par value per share</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5"/>
        </w:trPr>
        <w:tc>
          <w:tcPr>
            <w:tcW w:w="8000" w:type="dxa"/>
            <w:vAlign w:val="bottom"/>
          </w:tcPr>
          <w:p>
            <w:pPr>
              <w:ind w:left="280"/>
              <w:spacing w:after="0"/>
              <w:rPr>
                <w:sz w:val="20"/>
                <w:szCs w:val="20"/>
                <w:color w:val="auto"/>
              </w:rPr>
            </w:pPr>
            <w:r>
              <w:rPr>
                <w:rFonts w:ascii="Arial" w:cs="Arial" w:eastAsia="Arial" w:hAnsi="Arial"/>
                <w:sz w:val="14"/>
                <w:szCs w:val="14"/>
                <w:color w:val="auto"/>
              </w:rPr>
              <w:t>Class A, 949,000 shares authorized; 568,577 and 483,406 shares issued and outstanding</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4,834</w:t>
            </w:r>
          </w:p>
        </w:tc>
      </w:tr>
      <w:tr>
        <w:trPr>
          <w:trHeight w:val="189"/>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Class B, 1,000 shares authorized; 666 and 734 shares issued and outstanding</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r>
      <w:tr>
        <w:trPr>
          <w:trHeight w:val="185"/>
        </w:trPr>
        <w:tc>
          <w:tcPr>
            <w:tcW w:w="80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7,820,807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7,570,473</w:t>
            </w:r>
          </w:p>
        </w:tc>
      </w:tr>
      <w:tr>
        <w:trPr>
          <w:trHeight w:val="18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(6,576,180)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(6,195,456)</w:t>
            </w:r>
          </w:p>
        </w:tc>
      </w:tr>
      <w:tr>
        <w:trPr>
          <w:trHeight w:val="185"/>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42,383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122,123</w:t>
            </w:r>
          </w:p>
        </w:tc>
      </w:tr>
      <w:tr>
        <w:trPr>
          <w:trHeight w:val="181"/>
        </w:trPr>
        <w:tc>
          <w:tcPr>
            <w:tcW w:w="80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stockholders’ equity</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2,146,934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2,501,471</w:t>
            </w:r>
          </w:p>
        </w:tc>
      </w:tr>
      <w:tr>
        <w:trPr>
          <w:trHeight w:val="185"/>
        </w:trPr>
        <w:tc>
          <w:tcPr>
            <w:tcW w:w="8000" w:type="dxa"/>
            <w:vAlign w:val="bottom"/>
          </w:tcPr>
          <w:p>
            <w:pPr>
              <w:ind w:left="200"/>
              <w:spacing w:after="0"/>
              <w:rPr>
                <w:sz w:val="20"/>
                <w:szCs w:val="20"/>
                <w:color w:val="auto"/>
              </w:rPr>
            </w:pPr>
            <w:r>
              <w:rPr>
                <w:rFonts w:ascii="Arial" w:cs="Arial" w:eastAsia="Arial" w:hAnsi="Arial"/>
                <w:sz w:val="14"/>
                <w:szCs w:val="14"/>
                <w:color w:val="auto"/>
              </w:rPr>
              <w:t>Noncontrolling interests in investment entities</w:t>
            </w: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2,653,173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4,327,372</w:t>
            </w:r>
          </w:p>
        </w:tc>
      </w:tr>
      <w:tr>
        <w:trPr>
          <w:trHeight w:val="189"/>
        </w:trPr>
        <w:tc>
          <w:tcPr>
            <w:tcW w:w="8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Noncontrolling interests in Operating Company</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112,283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155,747</w:t>
            </w:r>
          </w:p>
        </w:tc>
      </w:tr>
      <w:tr>
        <w:trPr>
          <w:trHeight w:val="176"/>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4,912,390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6,984,590</w:t>
            </w:r>
          </w:p>
        </w:tc>
      </w:tr>
      <w:tr>
        <w:trPr>
          <w:trHeight w:val="204"/>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 redeemable noncontrolling interests and equity</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14,197,816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20,200,560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0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2"/>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Property operating income</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762,750</w:t>
            </w:r>
          </w:p>
        </w:tc>
        <w:tc>
          <w:tcPr>
            <w:tcW w:w="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312,928</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6,038</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Fee income (from affiliates)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180,826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83,355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33,523</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($10,185, $8,828 and $13,245 from affiliates)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18,127</w:t>
            </w:r>
          </w:p>
        </w:tc>
        <w:tc>
          <w:tcPr>
            <w:tcW w:w="0" w:type="dxa"/>
            <w:vAlign w:val="bottom"/>
          </w:tcPr>
          <w:p>
            <w:pPr>
              <w:spacing w:after="0"/>
              <w:rPr>
                <w:sz w:val="1"/>
                <w:szCs w:val="1"/>
                <w:color w:val="auto"/>
              </w:rPr>
            </w:pPr>
          </w:p>
        </w:tc>
      </w:tr>
      <w:tr>
        <w:trPr>
          <w:trHeight w:val="176"/>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965,799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416,430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61,033</w:t>
            </w: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Property operating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316,178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119,834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186,949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41,191</w:t>
            </w: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Investment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11,187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Transaction-related costs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539,695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18,251</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loss</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Compensation expense—cash and equity-based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235,985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176,152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85,476</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expense—incentive fee and carried interest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Administrative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109,490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78,766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65,151</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loss</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1,488,225</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787,509</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228,073</w:t>
            </w: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(loss)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Other loss,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(175,910)</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method earnings (losses)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127,270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(217,153)</w:t>
            </w:r>
          </w:p>
        </w:tc>
        <w:tc>
          <w:tcPr>
            <w:tcW w:w="0" w:type="dxa"/>
            <w:vAlign w:val="bottom"/>
          </w:tcPr>
          <w:p>
            <w:pPr>
              <w:spacing w:after="0"/>
              <w:rPr>
                <w:sz w:val="1"/>
                <w:szCs w:val="1"/>
                <w:color w:val="auto"/>
              </w:rPr>
            </w:pPr>
          </w:p>
        </w:tc>
      </w:tr>
      <w:tr>
        <w:trPr>
          <w:trHeight w:val="185"/>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Equity method earnings—carried interest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99,207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(560,103)</w:t>
            </w:r>
          </w:p>
        </w:tc>
        <w:tc>
          <w:tcPr>
            <w:tcW w:w="0" w:type="dxa"/>
            <w:vAlign w:val="bottom"/>
          </w:tcPr>
          <w:p>
            <w:pPr>
              <w:spacing w:after="0"/>
              <w:rPr>
                <w:sz w:val="1"/>
                <w:szCs w:val="1"/>
                <w:color w:val="auto"/>
              </w:rPr>
            </w:pPr>
          </w:p>
        </w:tc>
      </w:tr>
      <w:tr>
        <w:trPr>
          <w:trHeight w:val="185"/>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benefit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100,538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181"/>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continuing operations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(549,488)</w:t>
            </w:r>
          </w:p>
        </w:tc>
        <w:tc>
          <w:tcPr>
            <w:tcW w:w="0" w:type="dxa"/>
            <w:vAlign w:val="bottom"/>
          </w:tcPr>
          <w:p>
            <w:pPr>
              <w:spacing w:after="0"/>
              <w:rPr>
                <w:sz w:val="1"/>
                <w:szCs w:val="1"/>
                <w:color w:val="auto"/>
              </w:rPr>
            </w:pPr>
          </w:p>
        </w:tc>
      </w:tr>
      <w:tr>
        <w:trPr>
          <w:trHeight w:val="185"/>
        </w:trPr>
        <w:tc>
          <w:tcPr>
            <w:tcW w:w="7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(loss) from discontinued operations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(600,088)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(3,199,322)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400,573</w:t>
            </w:r>
          </w:p>
        </w:tc>
        <w:tc>
          <w:tcPr>
            <w:tcW w:w="0" w:type="dxa"/>
            <w:vAlign w:val="bottom"/>
          </w:tcPr>
          <w:p>
            <w:pPr>
              <w:spacing w:after="0"/>
              <w:rPr>
                <w:sz w:val="1"/>
                <w:szCs w:val="1"/>
                <w:color w:val="auto"/>
              </w:rPr>
            </w:pPr>
          </w:p>
        </w:tc>
      </w:tr>
      <w:tr>
        <w:trPr>
          <w:trHeight w:val="181"/>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(816,911)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(3,790,410)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(148,915)</w:t>
            </w:r>
          </w:p>
        </w:tc>
        <w:tc>
          <w:tcPr>
            <w:tcW w:w="0" w:type="dxa"/>
            <w:vAlign w:val="bottom"/>
          </w:tcPr>
          <w:p>
            <w:pPr>
              <w:spacing w:after="0"/>
              <w:rPr>
                <w:sz w:val="1"/>
                <w:szCs w:val="1"/>
                <w:color w:val="auto"/>
              </w:rPr>
            </w:pPr>
          </w:p>
        </w:tc>
      </w:tr>
      <w:tr>
        <w:trPr>
          <w:trHeight w:val="185"/>
        </w:trPr>
        <w:tc>
          <w:tcPr>
            <w:tcW w:w="70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noncontrolling interests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Investment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(500,980)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(812,547)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990,360</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Company</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(40,511)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(302,720)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(93,027)</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Arial" w:cs="Arial" w:eastAsia="Arial" w:hAnsi="Arial"/>
                <w:sz w:val="14"/>
                <w:szCs w:val="14"/>
                <w:b w:val="1"/>
                <w:bCs w:val="1"/>
                <w:color w:val="auto"/>
              </w:rPr>
              <w:t>Net loss attributable to DigitalBridge Group, Inc.</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(310,097)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(2,675,759)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(1,048,807)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redemption (Note 9)</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85"/>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Preferred stock dividends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70,627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108,550</w:t>
            </w:r>
          </w:p>
        </w:tc>
        <w:tc>
          <w:tcPr>
            <w:tcW w:w="0" w:type="dxa"/>
            <w:vAlign w:val="bottom"/>
          </w:tcPr>
          <w:p>
            <w:pPr>
              <w:spacing w:after="0"/>
              <w:rPr>
                <w:sz w:val="1"/>
                <w:szCs w:val="1"/>
                <w:color w:val="auto"/>
              </w:rPr>
            </w:pPr>
          </w:p>
        </w:tc>
      </w:tr>
      <w:tr>
        <w:trPr>
          <w:trHeight w:val="204"/>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common stockholders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(385,716)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(2,750,782)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(1,152,207)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Loss per share—basic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from continuing operations per common share—basic</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Net loss attributable to common stockholders per common share—basic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000" w:type="dxa"/>
            <w:vAlign w:val="bottom"/>
            <w:vMerge w:val="continue"/>
          </w:tcPr>
          <w:p>
            <w:pPr>
              <w:spacing w:after="0"/>
              <w:rPr>
                <w:sz w:val="13"/>
                <w:szCs w:val="13"/>
                <w:color w:val="auto"/>
              </w:rPr>
            </w:pPr>
          </w:p>
        </w:tc>
        <w:tc>
          <w:tcPr>
            <w:tcW w:w="320" w:type="dxa"/>
            <w:vAlign w:val="bottom"/>
            <w:tcBorders>
              <w:bottom w:val="single" w:sz="8" w:color="auto"/>
            </w:tcBorders>
          </w:tcPr>
          <w:p>
            <w:pPr>
              <w:jc w:val="right"/>
              <w:ind w:right="150"/>
              <w:spacing w:after="0" w:line="154"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(0.78)</w:t>
            </w:r>
          </w:p>
        </w:tc>
        <w:tc>
          <w:tcPr>
            <w:tcW w:w="80" w:type="dxa"/>
            <w:vAlign w:val="bottom"/>
          </w:tcPr>
          <w:p>
            <w:pPr>
              <w:spacing w:after="0"/>
              <w:rPr>
                <w:sz w:val="13"/>
                <w:szCs w:val="13"/>
                <w:color w:val="auto"/>
              </w:rPr>
            </w:pPr>
          </w:p>
        </w:tc>
        <w:tc>
          <w:tcPr>
            <w:tcW w:w="340" w:type="dxa"/>
            <w:vAlign w:val="bottom"/>
            <w:tcBorders>
              <w:bottom w:val="single" w:sz="8" w:color="auto"/>
            </w:tcBorders>
          </w:tcPr>
          <w:p>
            <w:pPr>
              <w:ind w:left="20"/>
              <w:spacing w:after="0" w:line="154"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(5.81)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50"/>
              <w:spacing w:after="0" w:line="154"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Loss per share—diluted</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Loss from continuing operations per common share—diluted</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00" w:type="dxa"/>
            <w:vAlign w:val="bottom"/>
            <w:tcBorders>
              <w:bottom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Net loss attributable to common stockholders per common share—diluted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Weighted average number of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491,456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473,558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479,588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00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491,456</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473,558</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479,588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46"/>
        </w:trPr>
        <w:tc>
          <w:tcPr>
            <w:tcW w:w="70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2019</w:t>
            </w:r>
          </w:p>
        </w:tc>
      </w:tr>
      <w:tr>
        <w:trPr>
          <w:trHeight w:val="183"/>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(816,911)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(3,790,410)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(148,915)</w:t>
            </w:r>
          </w:p>
        </w:tc>
      </w:tr>
      <w:tr>
        <w:trPr>
          <w:trHeight w:val="185"/>
        </w:trPr>
        <w:tc>
          <w:tcPr>
            <w:tcW w:w="7000" w:type="dxa"/>
            <w:vAlign w:val="bottom"/>
          </w:tcPr>
          <w:p>
            <w:pPr>
              <w:spacing w:after="0"/>
              <w:rPr>
                <w:sz w:val="20"/>
                <w:szCs w:val="20"/>
                <w:color w:val="auto"/>
              </w:rPr>
            </w:pPr>
            <w:r>
              <w:rPr>
                <w:rFonts w:ascii="Arial" w:cs="Arial" w:eastAsia="Arial" w:hAnsi="Arial"/>
                <w:sz w:val="14"/>
                <w:szCs w:val="14"/>
                <w:color w:val="auto"/>
              </w:rPr>
              <w:t>Changes in accumulated other comprehensive income (loss) related to:</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method investments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6,366</w:t>
            </w: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Available-for-sale debt securities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12,052</w:t>
            </w: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 hedges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Foreign currency translation</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(94,560)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160,008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(24,234)</w:t>
            </w: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investment hedges</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(57,291)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27,541</w:t>
            </w:r>
          </w:p>
        </w:tc>
      </w:tr>
      <w:tr>
        <w:trPr>
          <w:trHeight w:val="176"/>
        </w:trPr>
        <w:tc>
          <w:tcPr>
            <w:tcW w:w="7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(167,945)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188,307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20,958</w:t>
            </w:r>
          </w:p>
        </w:tc>
      </w:tr>
      <w:tr>
        <w:trPr>
          <w:trHeight w:val="181"/>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(984,856)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(3,602,103)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(127,957)</w:t>
            </w:r>
          </w:p>
        </w:tc>
      </w:tr>
      <w:tr>
        <w:trPr>
          <w:trHeight w:val="165"/>
        </w:trPr>
        <w:tc>
          <w:tcPr>
            <w:tcW w:w="7000" w:type="dxa"/>
            <w:vAlign w:val="bottom"/>
          </w:tcPr>
          <w:p>
            <w:pPr>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noncontrolling interests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r>
      <w:tr>
        <w:trPr>
          <w:trHeight w:val="185"/>
        </w:trPr>
        <w:tc>
          <w:tcPr>
            <w:tcW w:w="7000" w:type="dxa"/>
            <w:vAlign w:val="bottom"/>
          </w:tcPr>
          <w:p>
            <w:pPr>
              <w:ind w:left="140"/>
              <w:spacing w:after="0"/>
              <w:rPr>
                <w:sz w:val="20"/>
                <w:szCs w:val="20"/>
                <w:color w:val="auto"/>
              </w:rPr>
            </w:pPr>
            <w:r>
              <w:rPr>
                <w:rFonts w:ascii="Arial" w:cs="Arial" w:eastAsia="Arial" w:hAnsi="Arial"/>
                <w:sz w:val="14"/>
                <w:szCs w:val="14"/>
                <w:color w:val="auto"/>
              </w:rPr>
              <w:t>Investment entities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(581,540)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(706,374)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973,447</w:t>
            </w: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Company</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(48,783)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(294,577)</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(89,793)</w:t>
            </w:r>
          </w:p>
        </w:tc>
      </w:tr>
      <w:tr>
        <w:trPr>
          <w:trHeight w:val="176"/>
        </w:trPr>
        <w:tc>
          <w:tcPr>
            <w:tcW w:w="7000" w:type="dxa"/>
            <w:vAlign w:val="bottom"/>
          </w:tcPr>
          <w:p>
            <w:pPr>
              <w:spacing w:after="0"/>
              <w:rPr>
                <w:sz w:val="20"/>
                <w:szCs w:val="20"/>
                <w:color w:val="auto"/>
              </w:rPr>
            </w:pPr>
            <w:r>
              <w:rPr>
                <w:rFonts w:ascii="Arial" w:cs="Arial" w:eastAsia="Arial" w:hAnsi="Arial"/>
                <w:sz w:val="14"/>
                <w:szCs w:val="14"/>
                <w:color w:val="auto"/>
              </w:rPr>
              <w:t>Comprehensive loss attributable to stockholders</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(389,210)</w:t>
            </w:r>
          </w:p>
        </w:tc>
        <w:tc>
          <w:tcPr>
            <w:tcW w:w="100" w:type="dxa"/>
            <w:vAlign w:val="bottom"/>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(2,601,768)</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(1,014,170)</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05"/>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right w:val="single" w:sz="8" w:color="auto"/>
            </w:tcBorders>
            <w:vMerge w:val="restart"/>
          </w:tcPr>
          <w:p>
            <w:pPr>
              <w:jc w:val="center"/>
              <w:ind w:right="78"/>
              <w:spacing w:after="0"/>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9"/>
                <w:szCs w:val="9"/>
                <w:color w:val="auto"/>
              </w:rPr>
            </w:pPr>
          </w:p>
        </w:tc>
        <w:tc>
          <w:tcPr>
            <w:tcW w:w="100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Noncontrolling</w:t>
            </w:r>
          </w:p>
        </w:tc>
        <w:tc>
          <w:tcPr>
            <w:tcW w:w="1000" w:type="dxa"/>
            <w:vAlign w:val="bottom"/>
            <w:tcBorders>
              <w:right w:val="single" w:sz="8" w:color="auto"/>
            </w:tcBorders>
            <w:gridSpan w:val="3"/>
          </w:tcPr>
          <w:p>
            <w:pPr>
              <w:jc w:val="center"/>
              <w:ind w:right="140"/>
              <w:spacing w:after="0" w:line="105" w:lineRule="exact"/>
              <w:rPr>
                <w:sz w:val="20"/>
                <w:szCs w:val="20"/>
                <w:color w:val="auto"/>
              </w:rPr>
            </w:pPr>
            <w:r>
              <w:rPr>
                <w:rFonts w:ascii="Arial" w:cs="Arial" w:eastAsia="Arial" w:hAnsi="Arial"/>
                <w:sz w:val="11"/>
                <w:szCs w:val="11"/>
                <w:b w:val="1"/>
                <w:bCs w:val="1"/>
                <w:color w:val="auto"/>
                <w:w w:val="99"/>
              </w:rPr>
              <w:t>Noncontrolling</w:t>
            </w: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Preferred</w:t>
            </w: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9"/>
                <w:szCs w:val="9"/>
                <w:color w:val="auto"/>
              </w:rPr>
            </w:pPr>
          </w:p>
        </w:tc>
        <w:tc>
          <w:tcPr>
            <w:tcW w:w="94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8"/>
              </w:rPr>
              <w:t>Interests in</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98"/>
              </w:rPr>
              <w:t>Interests in</w:t>
            </w:r>
          </w:p>
        </w:tc>
        <w:tc>
          <w:tcPr>
            <w:tcW w:w="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40" w:type="dxa"/>
            <w:vAlign w:val="bottom"/>
            <w:tcBorders>
              <w:right w:val="single" w:sz="8" w:color="auto"/>
            </w:tcBorders>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Comprehensive</w:t>
            </w:r>
          </w:p>
        </w:tc>
        <w:tc>
          <w:tcPr>
            <w:tcW w:w="800" w:type="dxa"/>
            <w:vAlign w:val="bottom"/>
            <w:tcBorders>
              <w:right w:val="single" w:sz="8" w:color="auto"/>
            </w:tcBorders>
            <w:gridSpan w:val="2"/>
          </w:tcPr>
          <w:p>
            <w:pPr>
              <w:jc w:val="center"/>
              <w:spacing w:after="0" w:line="105" w:lineRule="exact"/>
              <w:rPr>
                <w:sz w:val="20"/>
                <w:szCs w:val="20"/>
                <w:color w:val="auto"/>
              </w:rPr>
            </w:pPr>
            <w:r>
              <w:rPr>
                <w:rFonts w:ascii="Arial" w:cs="Arial" w:eastAsia="Arial" w:hAnsi="Arial"/>
                <w:sz w:val="11"/>
                <w:szCs w:val="11"/>
                <w:b w:val="1"/>
                <w:bCs w:val="1"/>
                <w:color w:val="auto"/>
                <w:w w:val="98"/>
              </w:rPr>
              <w:t>Stockholders’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Investment</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Operating</w:t>
            </w:r>
          </w:p>
        </w:tc>
        <w:tc>
          <w:tcPr>
            <w:tcW w:w="60" w:type="dxa"/>
            <w:vAlign w:val="bottom"/>
          </w:tcPr>
          <w:p>
            <w:pPr>
              <w:spacing w:after="0"/>
              <w:rPr>
                <w:sz w:val="9"/>
                <w:szCs w:val="9"/>
                <w:color w:val="auto"/>
              </w:rPr>
            </w:pP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Stock</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2"/>
                <w:szCs w:val="12"/>
                <w:color w:val="auto"/>
              </w:rPr>
            </w:pPr>
          </w:p>
        </w:tc>
        <w:tc>
          <w:tcPr>
            <w:tcW w:w="700" w:type="dxa"/>
            <w:vAlign w:val="bottom"/>
            <w:tcBorders>
              <w:right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5"/>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Entities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9"/>
              </w:rPr>
              <w:t>Company</w:t>
            </w: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9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1,407,495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7,598,019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(2,018,302)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13,999</w:t>
            </w: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7,006,052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3,779,728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360,590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11,146,370</w:t>
            </w:r>
          </w:p>
        </w:tc>
        <w:tc>
          <w:tcPr>
            <w:tcW w:w="0" w:type="dxa"/>
            <w:vAlign w:val="bottom"/>
          </w:tcPr>
          <w:p>
            <w:pPr>
              <w:spacing w:after="0"/>
              <w:rPr>
                <w:sz w:val="1"/>
                <w:szCs w:val="1"/>
                <w:color w:val="auto"/>
              </w:rPr>
            </w:pPr>
          </w:p>
        </w:tc>
      </w:tr>
      <w:tr>
        <w:trPr>
          <w:trHeight w:val="133"/>
        </w:trPr>
        <w:tc>
          <w:tcPr>
            <w:tcW w:w="2960" w:type="dxa"/>
            <w:vAlign w:val="bottom"/>
          </w:tcPr>
          <w:p>
            <w:pPr>
              <w:ind w:left="80"/>
              <w:spacing w:after="0" w:line="133" w:lineRule="exact"/>
              <w:rPr>
                <w:sz w:val="20"/>
                <w:szCs w:val="20"/>
                <w:color w:val="auto"/>
              </w:rPr>
            </w:pPr>
            <w:r>
              <w:rPr>
                <w:rFonts w:ascii="Arial" w:cs="Arial" w:eastAsia="Arial" w:hAnsi="Arial"/>
                <w:sz w:val="12"/>
                <w:szCs w:val="12"/>
                <w:color w:val="auto"/>
              </w:rPr>
              <w:t>Cumulative effect of adoption of new accounting</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(2,905)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(2,905)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(1,378)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(4,468)</w:t>
            </w:r>
          </w:p>
        </w:tc>
        <w:tc>
          <w:tcPr>
            <w:tcW w:w="0" w:type="dxa"/>
            <w:vAlign w:val="bottom"/>
          </w:tcPr>
          <w:p>
            <w:pPr>
              <w:spacing w:after="0"/>
              <w:rPr>
                <w:sz w:val="1"/>
                <w:szCs w:val="1"/>
                <w:color w:val="auto"/>
              </w:rPr>
            </w:pPr>
          </w:p>
        </w:tc>
      </w:tr>
      <w:tr>
        <w:trPr>
          <w:trHeight w:val="148"/>
        </w:trPr>
        <w:tc>
          <w:tcPr>
            <w:tcW w:w="2960" w:type="dxa"/>
            <w:vAlign w:val="bottom"/>
          </w:tcPr>
          <w:p>
            <w:pPr>
              <w:ind w:left="160"/>
              <w:spacing w:after="0"/>
              <w:rPr>
                <w:sz w:val="20"/>
                <w:szCs w:val="20"/>
                <w:color w:val="auto"/>
              </w:rPr>
            </w:pPr>
            <w:r>
              <w:rPr>
                <w:rFonts w:ascii="Arial" w:cs="Arial" w:eastAsia="Arial" w:hAnsi="Arial"/>
                <w:sz w:val="12"/>
                <w:szCs w:val="12"/>
                <w:color w:val="auto"/>
              </w:rPr>
              <w:t>guidance (Note 2)</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income (loss)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(1,048,807)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(1,048,807)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990,360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(93,027)</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(151,474)</w:t>
            </w:r>
          </w:p>
        </w:tc>
        <w:tc>
          <w:tcPr>
            <w:tcW w:w="0" w:type="dxa"/>
            <w:vAlign w:val="bottom"/>
          </w:tcPr>
          <w:p>
            <w:pPr>
              <w:spacing w:after="0"/>
              <w:rPr>
                <w:sz w:val="1"/>
                <w:szCs w:val="1"/>
                <w:color w:val="auto"/>
              </w:rPr>
            </w:pPr>
          </w:p>
        </w:tc>
      </w:tr>
      <w:tr>
        <w:trPr>
          <w:trHeight w:val="164"/>
        </w:trPr>
        <w:tc>
          <w:tcPr>
            <w:tcW w:w="2960" w:type="dxa"/>
            <w:vAlign w:val="bottom"/>
          </w:tcPr>
          <w:p>
            <w:pPr>
              <w:ind w:left="80"/>
              <w:spacing w:after="0"/>
              <w:rPr>
                <w:sz w:val="20"/>
                <w:szCs w:val="20"/>
                <w:color w:val="auto"/>
              </w:rPr>
            </w:pPr>
            <w:r>
              <w:rPr>
                <w:rFonts w:ascii="Arial" w:cs="Arial" w:eastAsia="Arial" w:hAnsi="Arial"/>
                <w:sz w:val="12"/>
                <w:szCs w:val="12"/>
                <w:color w:val="auto"/>
              </w:rPr>
              <w:t>Other comprehensive income (loss)</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34,637</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34,637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(16,913)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3,234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20,958</w:t>
            </w:r>
          </w:p>
        </w:tc>
        <w:tc>
          <w:tcPr>
            <w:tcW w:w="0" w:type="dxa"/>
            <w:vAlign w:val="bottom"/>
          </w:tcPr>
          <w:p>
            <w:pPr>
              <w:spacing w:after="0"/>
              <w:rPr>
                <w:sz w:val="1"/>
                <w:szCs w:val="1"/>
                <w:color w:val="auto"/>
              </w:rPr>
            </w:pPr>
          </w:p>
        </w:tc>
      </w:tr>
      <w:tr>
        <w:trPr>
          <w:trHeight w:val="133"/>
        </w:trPr>
        <w:tc>
          <w:tcPr>
            <w:tcW w:w="296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Fair value of noncontrolling interests assumed in</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tcBorders>
              <w:right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789,367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789,367</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acquisitions</w:t>
            </w: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80"/>
              <w:spacing w:after="0"/>
              <w:rPr>
                <w:sz w:val="20"/>
                <w:szCs w:val="20"/>
                <w:color w:val="auto"/>
              </w:rPr>
            </w:pPr>
            <w:r>
              <w:rPr>
                <w:rFonts w:ascii="Arial" w:cs="Arial" w:eastAsia="Arial" w:hAnsi="Arial"/>
                <w:sz w:val="12"/>
                <w:szCs w:val="12"/>
                <w:color w:val="auto"/>
              </w:rPr>
              <w:t>Deconsolidation of investment entities</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(6,235)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(6,235)</w:t>
            </w: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Redemption of preferred stock (Note 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(408,005)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5,150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(402,855)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(402,855)</w:t>
            </w:r>
          </w:p>
        </w:tc>
        <w:tc>
          <w:tcPr>
            <w:tcW w:w="0" w:type="dxa"/>
            <w:vAlign w:val="bottom"/>
          </w:tcPr>
          <w:p>
            <w:pPr>
              <w:spacing w:after="0"/>
              <w:rPr>
                <w:sz w:val="1"/>
                <w:szCs w:val="1"/>
                <w:color w:val="auto"/>
              </w:rPr>
            </w:pPr>
          </w:p>
        </w:tc>
      </w:tr>
      <w:tr>
        <w:trPr>
          <w:trHeight w:val="164"/>
        </w:trPr>
        <w:tc>
          <w:tcPr>
            <w:tcW w:w="2960" w:type="dxa"/>
            <w:vAlign w:val="bottom"/>
          </w:tcPr>
          <w:p>
            <w:pPr>
              <w:ind w:left="80"/>
              <w:spacing w:after="0"/>
              <w:rPr>
                <w:sz w:val="20"/>
                <w:szCs w:val="20"/>
                <w:color w:val="auto"/>
              </w:rPr>
            </w:pPr>
            <w:r>
              <w:rPr>
                <w:rFonts w:ascii="Arial" w:cs="Arial" w:eastAsia="Arial" w:hAnsi="Arial"/>
                <w:sz w:val="12"/>
                <w:szCs w:val="12"/>
                <w:color w:val="auto"/>
              </w:rPr>
              <w:t>Common stock repurchases</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(3,160)</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(3,167)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(3,167)</w:t>
            </w: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Redemption of OP Units for common stock</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2,102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2,104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960" w:type="dxa"/>
            <w:vAlign w:val="bottom"/>
          </w:tcPr>
          <w:p>
            <w:pPr>
              <w:ind w:left="80"/>
              <w:spacing w:after="0"/>
              <w:rPr>
                <w:sz w:val="20"/>
                <w:szCs w:val="20"/>
                <w:color w:val="auto"/>
              </w:rPr>
            </w:pPr>
            <w:r>
              <w:rPr>
                <w:rFonts w:ascii="Arial" w:cs="Arial" w:eastAsia="Arial" w:hAnsi="Arial"/>
                <w:sz w:val="12"/>
                <w:szCs w:val="12"/>
                <w:color w:val="auto"/>
              </w:rPr>
              <w:t>Equity awards issued, net of forfeitures</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35,524</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35,573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1,020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39,112</w:t>
            </w:r>
          </w:p>
        </w:tc>
        <w:tc>
          <w:tcPr>
            <w:tcW w:w="0" w:type="dxa"/>
            <w:vAlign w:val="bottom"/>
          </w:tcPr>
          <w:p>
            <w:pPr>
              <w:spacing w:after="0"/>
              <w:rPr>
                <w:sz w:val="1"/>
                <w:szCs w:val="1"/>
                <w:color w:val="auto"/>
              </w:rPr>
            </w:pPr>
          </w:p>
        </w:tc>
      </w:tr>
      <w:tr>
        <w:trPr>
          <w:trHeight w:val="133"/>
        </w:trPr>
        <w:tc>
          <w:tcPr>
            <w:tcW w:w="296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Shares canceled for tax withholding on vested</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(3,620)</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(3,627)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(3,627)</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equity awards</w:t>
            </w: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60" w:type="dxa"/>
            <w:vAlign w:val="bottom"/>
          </w:tcPr>
          <w:p>
            <w:pPr>
              <w:ind w:left="80"/>
              <w:spacing w:after="0" w:line="133" w:lineRule="exact"/>
              <w:rPr>
                <w:sz w:val="20"/>
                <w:szCs w:val="20"/>
                <w:color w:val="auto"/>
              </w:rPr>
            </w:pPr>
            <w:r>
              <w:rPr>
                <w:rFonts w:ascii="Arial" w:cs="Arial" w:eastAsia="Arial" w:hAnsi="Arial"/>
                <w:sz w:val="12"/>
                <w:szCs w:val="12"/>
                <w:color w:val="auto"/>
              </w:rPr>
              <w:t>Issuance of OP Units as consideration for</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2"/>
                <w:szCs w:val="12"/>
                <w:color w:val="auto"/>
              </w:rPr>
              <w:t>114,865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12"/>
                <w:szCs w:val="12"/>
                <w:color w:val="auto"/>
              </w:rPr>
              <w:t>114,865</w:t>
            </w:r>
          </w:p>
        </w:tc>
        <w:tc>
          <w:tcPr>
            <w:tcW w:w="0" w:type="dxa"/>
            <w:vAlign w:val="bottom"/>
          </w:tcPr>
          <w:p>
            <w:pPr>
              <w:spacing w:after="0"/>
              <w:rPr>
                <w:sz w:val="1"/>
                <w:szCs w:val="1"/>
                <w:color w:val="auto"/>
              </w:rPr>
            </w:pPr>
          </w:p>
        </w:tc>
      </w:tr>
      <w:tr>
        <w:trPr>
          <w:trHeight w:val="148"/>
        </w:trPr>
        <w:tc>
          <w:tcPr>
            <w:tcW w:w="2960" w:type="dxa"/>
            <w:vAlign w:val="bottom"/>
          </w:tcPr>
          <w:p>
            <w:pPr>
              <w:ind w:left="160"/>
              <w:spacing w:after="0"/>
              <w:rPr>
                <w:sz w:val="20"/>
                <w:szCs w:val="20"/>
                <w:color w:val="auto"/>
              </w:rPr>
            </w:pPr>
            <w:r>
              <w:rPr>
                <w:rFonts w:ascii="Arial" w:cs="Arial" w:eastAsia="Arial" w:hAnsi="Arial"/>
                <w:sz w:val="12"/>
                <w:szCs w:val="12"/>
                <w:color w:val="auto"/>
              </w:rPr>
              <w:t>acquisition (Note 3)</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Contributions from noncontrolling interests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536,235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536,235</w:t>
            </w:r>
          </w:p>
        </w:tc>
        <w:tc>
          <w:tcPr>
            <w:tcW w:w="0" w:type="dxa"/>
            <w:vAlign w:val="bottom"/>
          </w:tcPr>
          <w:p>
            <w:pPr>
              <w:spacing w:after="0"/>
              <w:rPr>
                <w:sz w:val="1"/>
                <w:szCs w:val="1"/>
                <w:color w:val="auto"/>
              </w:rPr>
            </w:pPr>
          </w:p>
        </w:tc>
      </w:tr>
      <w:tr>
        <w:trPr>
          <w:trHeight w:val="164"/>
        </w:trPr>
        <w:tc>
          <w:tcPr>
            <w:tcW w:w="2960" w:type="dxa"/>
            <w:vAlign w:val="bottom"/>
          </w:tcPr>
          <w:p>
            <w:pPr>
              <w:ind w:left="80"/>
              <w:spacing w:after="0"/>
              <w:rPr>
                <w:sz w:val="20"/>
                <w:szCs w:val="20"/>
                <w:color w:val="auto"/>
              </w:rPr>
            </w:pPr>
            <w:r>
              <w:rPr>
                <w:rFonts w:ascii="Arial" w:cs="Arial" w:eastAsia="Arial" w:hAnsi="Arial"/>
                <w:sz w:val="12"/>
                <w:szCs w:val="12"/>
                <w:color w:val="auto"/>
              </w:rPr>
              <w:t>Distributions to noncontrolling interests</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(2,810,560)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(18,528)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(2,829,088)</w:t>
            </w: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 dividends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(105,198)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(105,198)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(105,198)</w:t>
            </w:r>
          </w:p>
        </w:tc>
        <w:tc>
          <w:tcPr>
            <w:tcW w:w="0" w:type="dxa"/>
            <w:vAlign w:val="bottom"/>
          </w:tcPr>
          <w:p>
            <w:pPr>
              <w:spacing w:after="0"/>
              <w:rPr>
                <w:sz w:val="1"/>
                <w:szCs w:val="1"/>
                <w:color w:val="auto"/>
              </w:rPr>
            </w:pPr>
          </w:p>
        </w:tc>
      </w:tr>
      <w:tr>
        <w:trPr>
          <w:trHeight w:val="133"/>
        </w:trPr>
        <w:tc>
          <w:tcPr>
            <w:tcW w:w="2960" w:type="dxa"/>
            <w:vAlign w:val="bottom"/>
          </w:tcPr>
          <w:p>
            <w:pPr>
              <w:ind w:left="80"/>
              <w:spacing w:after="0" w:line="133" w:lineRule="exact"/>
              <w:rPr>
                <w:sz w:val="20"/>
                <w:szCs w:val="20"/>
                <w:color w:val="auto"/>
              </w:rPr>
            </w:pPr>
            <w:r>
              <w:rPr>
                <w:rFonts w:ascii="Arial" w:cs="Arial" w:eastAsia="Arial" w:hAnsi="Arial"/>
                <w:sz w:val="12"/>
                <w:szCs w:val="12"/>
                <w:color w:val="auto"/>
              </w:rPr>
              <w:t>Common stock dividends declared ($0.44 per</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(214,380)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(214,380)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(214,380)</w:t>
            </w:r>
          </w:p>
        </w:tc>
        <w:tc>
          <w:tcPr>
            <w:tcW w:w="0" w:type="dxa"/>
            <w:vAlign w:val="bottom"/>
          </w:tcPr>
          <w:p>
            <w:pPr>
              <w:spacing w:after="0"/>
              <w:rPr>
                <w:sz w:val="1"/>
                <w:szCs w:val="1"/>
                <w:color w:val="auto"/>
              </w:rPr>
            </w:pPr>
          </w:p>
        </w:tc>
      </w:tr>
      <w:tr>
        <w:trPr>
          <w:trHeight w:val="148"/>
        </w:trPr>
        <w:tc>
          <w:tcPr>
            <w:tcW w:w="2960" w:type="dxa"/>
            <w:vAlign w:val="bottom"/>
          </w:tcPr>
          <w:p>
            <w:pPr>
              <w:ind w:left="160"/>
              <w:spacing w:after="0"/>
              <w:rPr>
                <w:sz w:val="20"/>
                <w:szCs w:val="20"/>
                <w:color w:val="auto"/>
              </w:rPr>
            </w:pPr>
            <w:r>
              <w:rPr>
                <w:rFonts w:ascii="Arial" w:cs="Arial" w:eastAsia="Arial" w:hAnsi="Arial"/>
                <w:sz w:val="12"/>
                <w:szCs w:val="12"/>
                <w:color w:val="auto"/>
              </w:rPr>
              <w:t>share)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Reallocation of equity (Note 2 and 10)</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(80,416)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w:t>
            </w: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(81,384)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90,319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999,490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4,878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7,553,599</w:t>
            </w: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(3,389,592)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47,668</w:t>
            </w:r>
          </w:p>
        </w:tc>
        <w:tc>
          <w:tcPr>
            <w:tcW w:w="100" w:type="dxa"/>
            <w:vAlign w:val="bottom"/>
            <w:tcBorders>
              <w:right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right w:val="single" w:sz="8" w:color="auto"/>
            </w:tcBorders>
          </w:tcPr>
          <w:p>
            <w:pPr>
              <w:jc w:val="right"/>
              <w:ind w:right="18"/>
              <w:spacing w:after="0"/>
              <w:rPr>
                <w:sz w:val="20"/>
                <w:szCs w:val="20"/>
                <w:color w:val="auto"/>
              </w:rPr>
            </w:pPr>
            <w:r>
              <w:rPr>
                <w:rFonts w:ascii="Arial" w:cs="Arial" w:eastAsia="Arial" w:hAnsi="Arial"/>
                <w:sz w:val="12"/>
                <w:szCs w:val="12"/>
                <w:color w:val="auto"/>
              </w:rPr>
              <w:t>5,216,043</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3,254,188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456,184</w:t>
            </w:r>
          </w:p>
        </w:tc>
        <w:tc>
          <w:tcPr>
            <w:tcW w:w="100" w:type="dxa"/>
            <w:vAlign w:val="bottom"/>
            <w:tcBorders>
              <w:right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right w:val="single" w:sz="8" w:color="auto"/>
            </w:tcBorders>
          </w:tcPr>
          <w:p>
            <w:pPr>
              <w:jc w:val="right"/>
              <w:ind w:right="18"/>
              <w:spacing w:after="0"/>
              <w:rPr>
                <w:sz w:val="20"/>
                <w:szCs w:val="20"/>
                <w:color w:val="auto"/>
              </w:rPr>
            </w:pPr>
            <w:r>
              <w:rPr>
                <w:rFonts w:ascii="Arial" w:cs="Arial" w:eastAsia="Arial" w:hAnsi="Arial"/>
                <w:sz w:val="12"/>
                <w:szCs w:val="12"/>
                <w:color w:val="auto"/>
              </w:rPr>
              <w:t>8,926,415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05"/>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right w:val="single" w:sz="8" w:color="auto"/>
            </w:tcBorders>
            <w:vMerge w:val="restart"/>
          </w:tcPr>
          <w:p>
            <w:pPr>
              <w:jc w:val="center"/>
              <w:ind w:right="78"/>
              <w:spacing w:after="0"/>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9"/>
                <w:szCs w:val="9"/>
                <w:color w:val="auto"/>
              </w:rPr>
            </w:pPr>
          </w:p>
        </w:tc>
        <w:tc>
          <w:tcPr>
            <w:tcW w:w="100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Noncontrolling</w:t>
            </w:r>
          </w:p>
        </w:tc>
        <w:tc>
          <w:tcPr>
            <w:tcW w:w="1000" w:type="dxa"/>
            <w:vAlign w:val="bottom"/>
            <w:tcBorders>
              <w:right w:val="single" w:sz="8" w:color="auto"/>
            </w:tcBorders>
            <w:gridSpan w:val="3"/>
          </w:tcPr>
          <w:p>
            <w:pPr>
              <w:jc w:val="center"/>
              <w:ind w:right="140"/>
              <w:spacing w:after="0" w:line="105" w:lineRule="exact"/>
              <w:rPr>
                <w:sz w:val="20"/>
                <w:szCs w:val="20"/>
                <w:color w:val="auto"/>
              </w:rPr>
            </w:pPr>
            <w:r>
              <w:rPr>
                <w:rFonts w:ascii="Arial" w:cs="Arial" w:eastAsia="Arial" w:hAnsi="Arial"/>
                <w:sz w:val="11"/>
                <w:szCs w:val="11"/>
                <w:b w:val="1"/>
                <w:bCs w:val="1"/>
                <w:color w:val="auto"/>
                <w:w w:val="99"/>
              </w:rPr>
              <w:t>Noncontrolling</w:t>
            </w: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Preferred</w:t>
            </w: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9"/>
                <w:szCs w:val="9"/>
                <w:color w:val="auto"/>
              </w:rPr>
            </w:pPr>
          </w:p>
        </w:tc>
        <w:tc>
          <w:tcPr>
            <w:tcW w:w="94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8"/>
              </w:rPr>
              <w:t>Interests in</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98"/>
              </w:rPr>
              <w:t>Interests in</w:t>
            </w:r>
          </w:p>
        </w:tc>
        <w:tc>
          <w:tcPr>
            <w:tcW w:w="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40" w:type="dxa"/>
            <w:vAlign w:val="bottom"/>
            <w:tcBorders>
              <w:right w:val="single" w:sz="8" w:color="auto"/>
            </w:tcBorders>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Comprehensive</w:t>
            </w:r>
          </w:p>
        </w:tc>
        <w:tc>
          <w:tcPr>
            <w:tcW w:w="800" w:type="dxa"/>
            <w:vAlign w:val="bottom"/>
            <w:tcBorders>
              <w:right w:val="single" w:sz="8" w:color="auto"/>
            </w:tcBorders>
            <w:gridSpan w:val="2"/>
          </w:tcPr>
          <w:p>
            <w:pPr>
              <w:jc w:val="center"/>
              <w:spacing w:after="0" w:line="105" w:lineRule="exact"/>
              <w:rPr>
                <w:sz w:val="20"/>
                <w:szCs w:val="20"/>
                <w:color w:val="auto"/>
              </w:rPr>
            </w:pPr>
            <w:r>
              <w:rPr>
                <w:rFonts w:ascii="Arial" w:cs="Arial" w:eastAsia="Arial" w:hAnsi="Arial"/>
                <w:sz w:val="11"/>
                <w:szCs w:val="11"/>
                <w:b w:val="1"/>
                <w:bCs w:val="1"/>
                <w:color w:val="auto"/>
                <w:w w:val="98"/>
              </w:rPr>
              <w:t>Stockholders’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Investment</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Operating</w:t>
            </w:r>
          </w:p>
        </w:tc>
        <w:tc>
          <w:tcPr>
            <w:tcW w:w="60" w:type="dxa"/>
            <w:vAlign w:val="bottom"/>
          </w:tcPr>
          <w:p>
            <w:pPr>
              <w:spacing w:after="0"/>
              <w:rPr>
                <w:sz w:val="9"/>
                <w:szCs w:val="9"/>
                <w:color w:val="auto"/>
              </w:rPr>
            </w:pP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Stock</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2"/>
                <w:szCs w:val="12"/>
                <w:color w:val="auto"/>
              </w:rPr>
            </w:pPr>
          </w:p>
        </w:tc>
        <w:tc>
          <w:tcPr>
            <w:tcW w:w="700" w:type="dxa"/>
            <w:vAlign w:val="bottom"/>
            <w:tcBorders>
              <w:right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5"/>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Entities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9"/>
              </w:rPr>
              <w:t>Company</w:t>
            </w: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9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999,490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7,553,599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(3,389,592)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47,668</w:t>
            </w: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5,216,043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3,254,188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456,184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8,926,415</w:t>
            </w:r>
          </w:p>
        </w:tc>
        <w:tc>
          <w:tcPr>
            <w:tcW w:w="0" w:type="dxa"/>
            <w:vAlign w:val="bottom"/>
          </w:tcPr>
          <w:p>
            <w:pPr>
              <w:spacing w:after="0"/>
              <w:rPr>
                <w:sz w:val="1"/>
                <w:szCs w:val="1"/>
                <w:color w:val="auto"/>
              </w:rPr>
            </w:pPr>
          </w:p>
        </w:tc>
      </w:tr>
      <w:tr>
        <w:trPr>
          <w:trHeight w:val="133"/>
        </w:trPr>
        <w:tc>
          <w:tcPr>
            <w:tcW w:w="2980" w:type="dxa"/>
            <w:vAlign w:val="bottom"/>
          </w:tcPr>
          <w:p>
            <w:pPr>
              <w:ind w:left="80"/>
              <w:spacing w:after="0" w:line="133" w:lineRule="exact"/>
              <w:rPr>
                <w:sz w:val="20"/>
                <w:szCs w:val="20"/>
                <w:color w:val="auto"/>
              </w:rPr>
            </w:pPr>
            <w:r>
              <w:rPr>
                <w:rFonts w:ascii="Arial" w:cs="Arial" w:eastAsia="Arial" w:hAnsi="Arial"/>
                <w:sz w:val="12"/>
                <w:szCs w:val="12"/>
                <w:color w:val="auto"/>
              </w:rPr>
              <w:t>Cumulative effect of adoption of new accounting</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(3,187)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(3,187)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(1,577)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(349)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(5,113)</w:t>
            </w:r>
          </w:p>
        </w:tc>
        <w:tc>
          <w:tcPr>
            <w:tcW w:w="0" w:type="dxa"/>
            <w:vAlign w:val="bottom"/>
          </w:tcPr>
          <w:p>
            <w:pPr>
              <w:spacing w:after="0"/>
              <w:rPr>
                <w:sz w:val="1"/>
                <w:szCs w:val="1"/>
                <w:color w:val="auto"/>
              </w:rPr>
            </w:pPr>
          </w:p>
        </w:tc>
      </w:tr>
      <w:tr>
        <w:trPr>
          <w:trHeight w:val="148"/>
        </w:trPr>
        <w:tc>
          <w:tcPr>
            <w:tcW w:w="2980" w:type="dxa"/>
            <w:vAlign w:val="bottom"/>
          </w:tcPr>
          <w:p>
            <w:pPr>
              <w:ind w:left="160"/>
              <w:spacing w:after="0"/>
              <w:rPr>
                <w:sz w:val="20"/>
                <w:szCs w:val="20"/>
                <w:color w:val="auto"/>
              </w:rPr>
            </w:pPr>
            <w:r>
              <w:rPr>
                <w:rFonts w:ascii="Arial" w:cs="Arial" w:eastAsia="Arial" w:hAnsi="Arial"/>
                <w:sz w:val="12"/>
                <w:szCs w:val="12"/>
                <w:color w:val="auto"/>
              </w:rPr>
              <w:t>guidance (Note 2)</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income (loss)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(2,675,759)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(2,675,759)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(812,547)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(302,720)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(3,791,026)</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Other comprehensive income (loss)</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73,991</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73,991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106,173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8,143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188,307</w:t>
            </w:r>
          </w:p>
        </w:tc>
        <w:tc>
          <w:tcPr>
            <w:tcW w:w="0" w:type="dxa"/>
            <w:vAlign w:val="bottom"/>
          </w:tcPr>
          <w:p>
            <w:pPr>
              <w:spacing w:after="0"/>
              <w:rPr>
                <w:sz w:val="1"/>
                <w:szCs w:val="1"/>
                <w:color w:val="auto"/>
              </w:rPr>
            </w:pPr>
          </w:p>
        </w:tc>
      </w:tr>
      <w:tr>
        <w:trPr>
          <w:trHeight w:val="133"/>
        </w:trPr>
        <w:tc>
          <w:tcPr>
            <w:tcW w:w="29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Fair value of noncontrolling interests assumed in</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tcBorders>
              <w:right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366,136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366,136</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acquisition (Note 3)</w:t>
            </w: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Deconsolidation of investment entities (Note 11)</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(80,921)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(80,921)</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 repurchases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(24,622)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(24,749)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(24,749)</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Warrant issuance (Note 10)</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20,240</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20,240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20,240</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Redemption of OP Units for common stock</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7,735</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7,757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(7,757)</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Equity awards issued, net of forfeitures</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35,265</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35,361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2,673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39,206</w:t>
            </w:r>
          </w:p>
        </w:tc>
        <w:tc>
          <w:tcPr>
            <w:tcW w:w="0" w:type="dxa"/>
            <w:vAlign w:val="bottom"/>
          </w:tcPr>
          <w:p>
            <w:pPr>
              <w:spacing w:after="0"/>
              <w:rPr>
                <w:sz w:val="1"/>
                <w:szCs w:val="1"/>
                <w:color w:val="auto"/>
              </w:rPr>
            </w:pPr>
          </w:p>
        </w:tc>
      </w:tr>
      <w:tr>
        <w:trPr>
          <w:trHeight w:val="133"/>
        </w:trPr>
        <w:tc>
          <w:tcPr>
            <w:tcW w:w="29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Shares canceled for tax withholding on vested</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(7,721)</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(7,749)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(7,749)</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equity awards</w:t>
            </w: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Costs of noncontrolling interests</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(6,707)</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(6,707)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(6,707)</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Contributions from noncontrolling interests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1,832,740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1,832,740</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Distributions to noncontrolling interests</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(339,414)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(5,857)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(345,271)</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 dividends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(74,064)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(74,064)</w:t>
            </w:r>
          </w:p>
        </w:tc>
        <w:tc>
          <w:tcPr>
            <w:tcW w:w="0" w:type="dxa"/>
            <w:vAlign w:val="bottom"/>
          </w:tcPr>
          <w:p>
            <w:pPr>
              <w:spacing w:after="0"/>
              <w:rPr>
                <w:sz w:val="1"/>
                <w:szCs w:val="1"/>
                <w:color w:val="auto"/>
              </w:rPr>
            </w:pPr>
          </w:p>
        </w:tc>
      </w:tr>
      <w:tr>
        <w:trPr>
          <w:trHeight w:val="133"/>
        </w:trPr>
        <w:tc>
          <w:tcPr>
            <w:tcW w:w="2980" w:type="dxa"/>
            <w:vAlign w:val="bottom"/>
          </w:tcPr>
          <w:p>
            <w:pPr>
              <w:ind w:left="80"/>
              <w:spacing w:after="0" w:line="133" w:lineRule="exact"/>
              <w:rPr>
                <w:sz w:val="20"/>
                <w:szCs w:val="20"/>
                <w:color w:val="auto"/>
              </w:rPr>
            </w:pPr>
            <w:r>
              <w:rPr>
                <w:rFonts w:ascii="Arial" w:cs="Arial" w:eastAsia="Arial" w:hAnsi="Arial"/>
                <w:sz w:val="12"/>
                <w:szCs w:val="12"/>
                <w:color w:val="auto"/>
              </w:rPr>
              <w:t>Common stock dividends declared ($0.11 per</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(52,854)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(52,854)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(52,854)</w:t>
            </w:r>
          </w:p>
        </w:tc>
        <w:tc>
          <w:tcPr>
            <w:tcW w:w="0" w:type="dxa"/>
            <w:vAlign w:val="bottom"/>
          </w:tcPr>
          <w:p>
            <w:pPr>
              <w:spacing w:after="0"/>
              <w:rPr>
                <w:sz w:val="1"/>
                <w:szCs w:val="1"/>
                <w:color w:val="auto"/>
              </w:rPr>
            </w:pPr>
          </w:p>
        </w:tc>
      </w:tr>
      <w:tr>
        <w:trPr>
          <w:trHeight w:val="148"/>
        </w:trPr>
        <w:tc>
          <w:tcPr>
            <w:tcW w:w="2980" w:type="dxa"/>
            <w:vAlign w:val="bottom"/>
          </w:tcPr>
          <w:p>
            <w:pPr>
              <w:ind w:left="160"/>
              <w:spacing w:after="0"/>
              <w:rPr>
                <w:sz w:val="20"/>
                <w:szCs w:val="20"/>
                <w:color w:val="auto"/>
              </w:rPr>
            </w:pPr>
            <w:r>
              <w:rPr>
                <w:rFonts w:ascii="Arial" w:cs="Arial" w:eastAsia="Arial" w:hAnsi="Arial"/>
                <w:sz w:val="12"/>
                <w:szCs w:val="12"/>
                <w:color w:val="auto"/>
              </w:rPr>
              <w:t>share)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Reallocation of equity (Note 2)</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5,430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999,490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4,841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7,570,473</w:t>
            </w: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(6,195,456)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122,123</w:t>
            </w:r>
          </w:p>
        </w:tc>
        <w:tc>
          <w:tcPr>
            <w:tcW w:w="100" w:type="dxa"/>
            <w:vAlign w:val="bottom"/>
            <w:tcBorders>
              <w:right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right w:val="single" w:sz="8" w:color="auto"/>
            </w:tcBorders>
          </w:tcPr>
          <w:p>
            <w:pPr>
              <w:jc w:val="right"/>
              <w:ind w:right="18"/>
              <w:spacing w:after="0"/>
              <w:rPr>
                <w:sz w:val="20"/>
                <w:szCs w:val="20"/>
                <w:color w:val="auto"/>
              </w:rPr>
            </w:pPr>
            <w:r>
              <w:rPr>
                <w:rFonts w:ascii="Arial" w:cs="Arial" w:eastAsia="Arial" w:hAnsi="Arial"/>
                <w:sz w:val="12"/>
                <w:szCs w:val="12"/>
                <w:color w:val="auto"/>
              </w:rPr>
              <w:t>2,501,471</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4,327,372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155,747</w:t>
            </w:r>
          </w:p>
        </w:tc>
        <w:tc>
          <w:tcPr>
            <w:tcW w:w="100" w:type="dxa"/>
            <w:vAlign w:val="bottom"/>
            <w:tcBorders>
              <w:right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right w:val="single" w:sz="8" w:color="auto"/>
            </w:tcBorders>
          </w:tcPr>
          <w:p>
            <w:pPr>
              <w:jc w:val="right"/>
              <w:ind w:right="18"/>
              <w:spacing w:after="0"/>
              <w:rPr>
                <w:sz w:val="20"/>
                <w:szCs w:val="20"/>
                <w:color w:val="auto"/>
              </w:rPr>
            </w:pPr>
            <w:r>
              <w:rPr>
                <w:rFonts w:ascii="Arial" w:cs="Arial" w:eastAsia="Arial" w:hAnsi="Arial"/>
                <w:sz w:val="12"/>
                <w:szCs w:val="12"/>
                <w:color w:val="auto"/>
              </w:rPr>
              <w:t>6,984,590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05"/>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right w:val="single" w:sz="8" w:color="auto"/>
            </w:tcBorders>
            <w:gridSpan w:val="2"/>
          </w:tcPr>
          <w:p>
            <w:pPr>
              <w:jc w:val="center"/>
              <w:ind w:right="200"/>
              <w:spacing w:after="0" w:line="105"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right w:val="single" w:sz="8" w:color="auto"/>
            </w:tcBorders>
            <w:vMerge w:val="restart"/>
          </w:tcPr>
          <w:p>
            <w:pPr>
              <w:jc w:val="center"/>
              <w:ind w:right="99"/>
              <w:spacing w:after="0"/>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9"/>
                <w:szCs w:val="9"/>
                <w:color w:val="auto"/>
              </w:rPr>
            </w:pPr>
          </w:p>
        </w:tc>
        <w:tc>
          <w:tcPr>
            <w:tcW w:w="100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Noncontrolling</w:t>
            </w:r>
          </w:p>
        </w:tc>
        <w:tc>
          <w:tcPr>
            <w:tcW w:w="1000" w:type="dxa"/>
            <w:vAlign w:val="bottom"/>
            <w:tcBorders>
              <w:right w:val="single" w:sz="8" w:color="auto"/>
            </w:tcBorders>
            <w:gridSpan w:val="3"/>
          </w:tcPr>
          <w:p>
            <w:pPr>
              <w:jc w:val="center"/>
              <w:ind w:right="140"/>
              <w:spacing w:after="0" w:line="105" w:lineRule="exact"/>
              <w:rPr>
                <w:sz w:val="20"/>
                <w:szCs w:val="20"/>
                <w:color w:val="auto"/>
              </w:rPr>
            </w:pPr>
            <w:r>
              <w:rPr>
                <w:rFonts w:ascii="Arial" w:cs="Arial" w:eastAsia="Arial" w:hAnsi="Arial"/>
                <w:sz w:val="11"/>
                <w:szCs w:val="11"/>
                <w:b w:val="1"/>
                <w:bCs w:val="1"/>
                <w:color w:val="auto"/>
                <w:w w:val="99"/>
              </w:rPr>
              <w:t>Noncontrolling</w:t>
            </w: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Preferred</w:t>
            </w: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9"/>
                <w:szCs w:val="9"/>
                <w:color w:val="auto"/>
              </w:rPr>
            </w:pPr>
          </w:p>
        </w:tc>
        <w:tc>
          <w:tcPr>
            <w:tcW w:w="960" w:type="dxa"/>
            <w:vAlign w:val="bottom"/>
            <w:tcBorders>
              <w:right w:val="single" w:sz="8" w:color="auto"/>
            </w:tcBorders>
            <w:gridSpan w:val="2"/>
          </w:tcPr>
          <w:p>
            <w:pPr>
              <w:jc w:val="center"/>
              <w:ind w:right="200"/>
              <w:spacing w:after="0" w:line="105"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8"/>
              </w:rPr>
              <w:t>Interests in</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98"/>
              </w:rPr>
              <w:t>Interests in</w:t>
            </w:r>
          </w:p>
        </w:tc>
        <w:tc>
          <w:tcPr>
            <w:tcW w:w="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40" w:type="dxa"/>
            <w:vAlign w:val="bottom"/>
            <w:tcBorders>
              <w:right w:val="single" w:sz="8" w:color="auto"/>
            </w:tcBorders>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Comprehensive</w:t>
            </w:r>
          </w:p>
        </w:tc>
        <w:tc>
          <w:tcPr>
            <w:tcW w:w="800" w:type="dxa"/>
            <w:vAlign w:val="bottom"/>
            <w:tcBorders>
              <w:right w:val="single" w:sz="8" w:color="auto"/>
            </w:tcBorders>
            <w:gridSpan w:val="2"/>
          </w:tcPr>
          <w:p>
            <w:pPr>
              <w:jc w:val="center"/>
              <w:spacing w:after="0" w:line="105" w:lineRule="exact"/>
              <w:rPr>
                <w:sz w:val="20"/>
                <w:szCs w:val="20"/>
                <w:color w:val="auto"/>
              </w:rPr>
            </w:pPr>
            <w:r>
              <w:rPr>
                <w:rFonts w:ascii="Arial" w:cs="Arial" w:eastAsia="Arial" w:hAnsi="Arial"/>
                <w:sz w:val="11"/>
                <w:szCs w:val="11"/>
                <w:b w:val="1"/>
                <w:bCs w:val="1"/>
                <w:color w:val="auto"/>
                <w:w w:val="98"/>
              </w:rPr>
              <w:t>Stockholders’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Investment</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Operating</w:t>
            </w:r>
          </w:p>
        </w:tc>
        <w:tc>
          <w:tcPr>
            <w:tcW w:w="60" w:type="dxa"/>
            <w:vAlign w:val="bottom"/>
          </w:tcPr>
          <w:p>
            <w:pPr>
              <w:spacing w:after="0"/>
              <w:rPr>
                <w:sz w:val="9"/>
                <w:szCs w:val="9"/>
                <w:color w:val="auto"/>
              </w:rPr>
            </w:pP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Stock</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2"/>
                <w:szCs w:val="12"/>
                <w:color w:val="auto"/>
              </w:rPr>
            </w:pPr>
          </w:p>
        </w:tc>
        <w:tc>
          <w:tcPr>
            <w:tcW w:w="680" w:type="dxa"/>
            <w:vAlign w:val="bottom"/>
            <w:tcBorders>
              <w:right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95"/>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Entities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9"/>
              </w:rPr>
              <w:t>Company</w:t>
            </w: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9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999,490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7,570,473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(6,195,456)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122,123</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2,501,471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4,327,372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155,747</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6,984,590</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(310,097)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(310,097)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(500,980)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(40,511)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(851,588)</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comprehensive income (loss)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(79,113)</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(79,113)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(167,945)</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Redemption of preferred stock (Note 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(145,258)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(4,992)</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(150,250)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(150,250)</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Exchange of notes for common stock (Note 8)</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181,473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182,207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182,207</w:t>
            </w:r>
          </w:p>
        </w:tc>
        <w:tc>
          <w:tcPr>
            <w:tcW w:w="0" w:type="dxa"/>
            <w:vAlign w:val="bottom"/>
          </w:tcPr>
          <w:p>
            <w:pPr>
              <w:spacing w:after="0"/>
              <w:rPr>
                <w:sz w:val="1"/>
                <w:szCs w:val="1"/>
                <w:color w:val="auto"/>
              </w:rPr>
            </w:pPr>
          </w:p>
        </w:tc>
      </w:tr>
      <w:tr>
        <w:trPr>
          <w:trHeight w:val="133"/>
        </w:trPr>
        <w:tc>
          <w:tcPr>
            <w:tcW w:w="2980" w:type="dxa"/>
            <w:vAlign w:val="bottom"/>
          </w:tcPr>
          <w:p>
            <w:pPr>
              <w:ind w:left="80"/>
              <w:spacing w:after="0" w:line="133" w:lineRule="exact"/>
              <w:rPr>
                <w:sz w:val="20"/>
                <w:szCs w:val="20"/>
                <w:color w:val="auto"/>
              </w:rPr>
            </w:pPr>
            <w:r>
              <w:rPr>
                <w:rFonts w:ascii="Arial" w:cs="Arial" w:eastAsia="Arial" w:hAnsi="Arial"/>
                <w:sz w:val="12"/>
                <w:szCs w:val="12"/>
                <w:color w:val="auto"/>
              </w:rPr>
              <w:t>Shares issued pursuant to settlement liability</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8"/>
              <w:spacing w:after="0"/>
              <w:rPr>
                <w:sz w:val="20"/>
                <w:szCs w:val="20"/>
                <w:color w:val="auto"/>
              </w:rPr>
            </w:pPr>
            <w:r>
              <w:rPr>
                <w:rFonts w:ascii="Arial" w:cs="Arial" w:eastAsia="Arial" w:hAnsi="Arial"/>
                <w:sz w:val="12"/>
                <w:szCs w:val="12"/>
                <w:color w:val="auto"/>
              </w:rPr>
              <w:t>46,982</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2"/>
                <w:szCs w:val="12"/>
                <w:color w:val="auto"/>
              </w:rPr>
              <w:t>47,042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12"/>
                <w:szCs w:val="12"/>
                <w:color w:val="auto"/>
              </w:rPr>
              <w:t>47,042</w:t>
            </w:r>
          </w:p>
        </w:tc>
        <w:tc>
          <w:tcPr>
            <w:tcW w:w="0" w:type="dxa"/>
            <w:vAlign w:val="bottom"/>
          </w:tcPr>
          <w:p>
            <w:pPr>
              <w:spacing w:after="0"/>
              <w:rPr>
                <w:sz w:val="1"/>
                <w:szCs w:val="1"/>
                <w:color w:val="auto"/>
              </w:rPr>
            </w:pPr>
          </w:p>
        </w:tc>
      </w:tr>
      <w:tr>
        <w:trPr>
          <w:trHeight w:val="148"/>
        </w:trPr>
        <w:tc>
          <w:tcPr>
            <w:tcW w:w="2980" w:type="dxa"/>
            <w:vAlign w:val="bottom"/>
          </w:tcPr>
          <w:p>
            <w:pPr>
              <w:ind w:left="160"/>
              <w:spacing w:after="0"/>
              <w:rPr>
                <w:sz w:val="20"/>
                <w:szCs w:val="20"/>
                <w:color w:val="auto"/>
              </w:rPr>
            </w:pPr>
            <w:r>
              <w:rPr>
                <w:rFonts w:ascii="Arial" w:cs="Arial" w:eastAsia="Arial" w:hAnsi="Arial"/>
                <w:sz w:val="12"/>
                <w:szCs w:val="12"/>
                <w:color w:val="auto"/>
              </w:rPr>
              <w:t>(Note 13)</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Deconsolidation of investment entities (Note 22)</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1,956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(1,482)</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474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(1,080,134)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(1,079,660)</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Redemption of OP Units for common stock</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4,627</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4,647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(4,647)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Equity awards issued, net of forfeitures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51,224</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51,290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3,898</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58,029</w:t>
            </w:r>
          </w:p>
        </w:tc>
        <w:tc>
          <w:tcPr>
            <w:tcW w:w="0" w:type="dxa"/>
            <w:vAlign w:val="bottom"/>
          </w:tcPr>
          <w:p>
            <w:pPr>
              <w:spacing w:after="0"/>
              <w:rPr>
                <w:sz w:val="1"/>
                <w:szCs w:val="1"/>
                <w:color w:val="auto"/>
              </w:rPr>
            </w:pPr>
          </w:p>
        </w:tc>
      </w:tr>
      <w:tr>
        <w:trPr>
          <w:trHeight w:val="133"/>
        </w:trPr>
        <w:tc>
          <w:tcPr>
            <w:tcW w:w="2980" w:type="dxa"/>
            <w:vAlign w:val="bottom"/>
          </w:tcPr>
          <w:p>
            <w:pPr>
              <w:ind w:left="80"/>
              <w:spacing w:after="0" w:line="133" w:lineRule="exact"/>
              <w:rPr>
                <w:sz w:val="20"/>
                <w:szCs w:val="20"/>
                <w:color w:val="auto"/>
              </w:rPr>
            </w:pPr>
            <w:r>
              <w:rPr>
                <w:rFonts w:ascii="Arial" w:cs="Arial" w:eastAsia="Arial" w:hAnsi="Arial"/>
                <w:sz w:val="12"/>
                <w:szCs w:val="12"/>
                <w:color w:val="auto"/>
              </w:rPr>
              <w:t>Shares canceled for tax withholding on vested</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(19,331)</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(19,360)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(19,360)</w:t>
            </w:r>
          </w:p>
        </w:tc>
        <w:tc>
          <w:tcPr>
            <w:tcW w:w="0" w:type="dxa"/>
            <w:vAlign w:val="bottom"/>
          </w:tcPr>
          <w:p>
            <w:pPr>
              <w:spacing w:after="0"/>
              <w:rPr>
                <w:sz w:val="1"/>
                <w:szCs w:val="1"/>
                <w:color w:val="auto"/>
              </w:rPr>
            </w:pPr>
          </w:p>
        </w:tc>
      </w:tr>
      <w:tr>
        <w:trPr>
          <w:trHeight w:val="148"/>
        </w:trPr>
        <w:tc>
          <w:tcPr>
            <w:tcW w:w="2980" w:type="dxa"/>
            <w:vAlign w:val="bottom"/>
          </w:tcPr>
          <w:p>
            <w:pPr>
              <w:ind w:left="160"/>
              <w:spacing w:after="0"/>
              <w:rPr>
                <w:sz w:val="20"/>
                <w:szCs w:val="20"/>
                <w:color w:val="auto"/>
              </w:rPr>
            </w:pPr>
            <w:r>
              <w:rPr>
                <w:rFonts w:ascii="Arial" w:cs="Arial" w:eastAsia="Arial" w:hAnsi="Arial"/>
                <w:sz w:val="12"/>
                <w:szCs w:val="12"/>
                <w:color w:val="auto"/>
              </w:rPr>
              <w:t>equity awards</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Contributions from noncontrolling interests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202,471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202,471</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Distributions to noncontrolling interests</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(222,519)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(222,519)</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 dividends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(70,627)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(70,627)</w:t>
            </w:r>
          </w:p>
        </w:tc>
        <w:tc>
          <w:tcPr>
            <w:tcW w:w="0" w:type="dxa"/>
            <w:vAlign w:val="bottom"/>
          </w:tcPr>
          <w:p>
            <w:pPr>
              <w:spacing w:after="0"/>
              <w:rPr>
                <w:sz w:val="1"/>
                <w:szCs w:val="1"/>
                <w:color w:val="auto"/>
              </w:rPr>
            </w:pPr>
          </w:p>
        </w:tc>
      </w:tr>
      <w:tr>
        <w:trPr>
          <w:trHeight w:val="164"/>
        </w:trPr>
        <w:tc>
          <w:tcPr>
            <w:tcW w:w="2980" w:type="dxa"/>
            <w:vAlign w:val="bottom"/>
          </w:tcPr>
          <w:p>
            <w:pPr>
              <w:ind w:left="80"/>
              <w:spacing w:after="0"/>
              <w:rPr>
                <w:sz w:val="20"/>
                <w:szCs w:val="20"/>
                <w:color w:val="auto"/>
              </w:rPr>
            </w:pPr>
            <w:r>
              <w:rPr>
                <w:rFonts w:ascii="Arial" w:cs="Arial" w:eastAsia="Arial" w:hAnsi="Arial"/>
                <w:sz w:val="12"/>
                <w:szCs w:val="12"/>
                <w:color w:val="auto"/>
              </w:rPr>
              <w:t>Reallocation of equity (Note 2)</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(11,605)</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855</w:t>
            </w: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(10,750)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6,068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854,232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7,820,807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(6,576,180)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42,383</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2,146,934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2,653,173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112,283</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4,912,390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6"/>
        </w:trPr>
        <w:tc>
          <w:tcPr>
            <w:tcW w:w="7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2019</w:t>
            </w:r>
          </w:p>
        </w:tc>
      </w:tr>
      <w:tr>
        <w:trPr>
          <w:trHeight w:val="172"/>
        </w:trPr>
        <w:tc>
          <w:tcPr>
            <w:tcW w:w="7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5"/>
        </w:trPr>
        <w:tc>
          <w:tcPr>
            <w:tcW w:w="732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(816,911)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(3,790,410)</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(148,915)</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Amortization of discount and net origination fees on loans receivable and debt securities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(19,602)</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Paid-in-kind interest added to loan principal, net of interest received</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(62,464)</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Straight-line rent income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(20,741)</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above- and below-market lease values, net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(19,813)</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Amortization of deferred financing costs and debt discount and premium,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65,129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103,537</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method (gains) losses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463,866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87,444</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Distributions of income from equity method investments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102,612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143,417</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loan losses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35,880</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6,793</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of real estate and related intangibles and right-of-use asset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1,987,130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358,443</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594,000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788,000</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596,262</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59,416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39,573</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Unrealized settlement loss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Gain on sales of real estate,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(49,429)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(41,922)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(1,520,808)</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forward starting interest rate swap</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(365,111)</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Deferred income tax benefit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(68,454)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(9,602)</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induced conversion of exchangeable debt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Other loss,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60,231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211,967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190,638</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other assets and due from affiliates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w:t>
            </w:r>
          </w:p>
        </w:tc>
      </w:tr>
      <w:tr>
        <w:trPr>
          <w:trHeight w:val="185"/>
        </w:trPr>
        <w:tc>
          <w:tcPr>
            <w:tcW w:w="7320" w:type="dxa"/>
            <w:vAlign w:val="bottom"/>
          </w:tcPr>
          <w:p>
            <w:pPr>
              <w:ind w:left="140"/>
              <w:spacing w:after="0"/>
              <w:rPr>
                <w:sz w:val="20"/>
                <w:szCs w:val="20"/>
                <w:color w:val="auto"/>
              </w:rPr>
            </w:pPr>
            <w:r>
              <w:rPr>
                <w:rFonts w:ascii="Arial" w:cs="Arial" w:eastAsia="Arial" w:hAnsi="Arial"/>
                <w:sz w:val="14"/>
                <w:szCs w:val="14"/>
                <w:color w:val="auto"/>
              </w:rPr>
              <w:t>Increase (decrease) in accrued and other liabilities and due to affiliates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60,378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19,985</w:t>
            </w:r>
          </w:p>
        </w:tc>
      </w:tr>
      <w:tr>
        <w:trPr>
          <w:trHeight w:val="189"/>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adjustments, net</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(8,111)</w:t>
            </w:r>
          </w:p>
        </w:tc>
      </w:tr>
      <w:tr>
        <w:trPr>
          <w:trHeight w:val="176"/>
        </w:trPr>
        <w:tc>
          <w:tcPr>
            <w:tcW w:w="7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248,237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89,893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170,868</w:t>
            </w:r>
          </w:p>
        </w:tc>
      </w:tr>
      <w:tr>
        <w:trPr>
          <w:trHeight w:val="169"/>
        </w:trPr>
        <w:tc>
          <w:tcPr>
            <w:tcW w:w="7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Contributions to and acquisition of equity investments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(549,621)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(430,548)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(247,357)</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Return of capital from equity method investments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224,169</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Acquisition of loans receivable and debt securities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(147,498)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disbursements on originated loans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(168,960)</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Repayments of loans receivable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485,613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227,831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229,970</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sales of loans receivable and debt securities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66,249</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Cash receipts in excess of accretion on purchased credit-impaired loans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31,128</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Acquisition of and additions to real estate, related intangibles and leasing commissions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(828,361)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(2,559,343)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(1,918,317)</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Proceeds from sales of real estate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443,489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431,198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6,108,153</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paydown and maturity of debt securities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11,205</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Cash and restricted cash assumed by buyer upon sale of hotel portfolio in receivership</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sale of equity investments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287,899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165,657</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Investment deposits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(14,928)</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sale of corporate fixed assets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Net receipts on settlement of derivatives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46,466</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Acquisition of DBH, net of cash acquired, and payment of deferred purchase price</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(184,167)</w:t>
            </w:r>
          </w:p>
        </w:tc>
      </w:tr>
      <w:tr>
        <w:trPr>
          <w:trHeight w:val="185"/>
        </w:trPr>
        <w:tc>
          <w:tcPr>
            <w:tcW w:w="7320" w:type="dxa"/>
            <w:vAlign w:val="bottom"/>
          </w:tcPr>
          <w:p>
            <w:pPr>
              <w:ind w:left="80"/>
              <w:spacing w:after="0"/>
              <w:rPr>
                <w:sz w:val="20"/>
                <w:szCs w:val="20"/>
                <w:color w:val="auto"/>
              </w:rPr>
            </w:pPr>
            <w:r>
              <w:rPr>
                <w:rFonts w:ascii="Arial" w:cs="Arial" w:eastAsia="Arial" w:hAnsi="Arial"/>
                <w:sz w:val="14"/>
                <w:szCs w:val="14"/>
                <w:color w:val="auto"/>
              </w:rPr>
              <w:t>Acquisition of DataBank, net of cash acquired (Note 3)</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(172,365)</w:t>
            </w:r>
          </w:p>
        </w:tc>
      </w:tr>
      <w:tr>
        <w:trPr>
          <w:trHeight w:val="189"/>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investing activities, net</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22,806</w:t>
            </w:r>
          </w:p>
        </w:tc>
      </w:tr>
      <w:tr>
        <w:trPr>
          <w:trHeight w:val="176"/>
        </w:trPr>
        <w:tc>
          <w:tcPr>
            <w:tcW w:w="7320" w:type="dxa"/>
            <w:vAlign w:val="bottom"/>
          </w:tcPr>
          <w:p>
            <w:pPr>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146,565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(1,931,980)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Year Ended December 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31"/>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2"/>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Dividends paid to preferred stockholders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(73,384)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(79,333)</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(108,548)</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Dividends paid to common stockholders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(214,149)</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(10,734)</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Proceeds from issuance of exchangeable senior notes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Repayment of senior notes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(370,998)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Borrowings from corporate credit facility and securitized financing facility</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Repayment of borrowings from corporate credit facility</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(810,200)</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Borrowings from secured debt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2,094,722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2,016,833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4,664,450</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Repayments of secured debt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(1,643,900)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(1,684,001)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(5,745,509)</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Payment of deferred financing costs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(82,202)</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Contributions from noncontrolling interests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232,144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1,906,250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578,706</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Distributions to and redemptions by noncontrolling interests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(249,083)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(2,847,830)</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Contribution from Wafra</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253,575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Redemption of preferred stock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Shares canceled for tax withholdings on vested equity awards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(3,627)</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(10,143)</w:t>
            </w:r>
          </w:p>
        </w:tc>
        <w:tc>
          <w:tcPr>
            <w:tcW w:w="0" w:type="dxa"/>
            <w:vAlign w:val="bottom"/>
          </w:tcPr>
          <w:p>
            <w:pPr>
              <w:spacing w:after="0"/>
              <w:rPr>
                <w:sz w:val="1"/>
                <w:szCs w:val="1"/>
                <w:color w:val="auto"/>
              </w:rPr>
            </w:pPr>
          </w:p>
        </w:tc>
      </w:tr>
      <w:tr>
        <w:trPr>
          <w:trHeight w:val="176"/>
        </w:trPr>
        <w:tc>
          <w:tcPr>
            <w:tcW w:w="73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411,260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1,373,027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(3,779,586)</w:t>
            </w:r>
          </w:p>
        </w:tc>
        <w:tc>
          <w:tcPr>
            <w:tcW w:w="0" w:type="dxa"/>
            <w:vAlign w:val="bottom"/>
          </w:tcPr>
          <w:p>
            <w:pPr>
              <w:spacing w:after="0"/>
              <w:rPr>
                <w:sz w:val="1"/>
                <w:szCs w:val="1"/>
                <w:color w:val="auto"/>
              </w:rPr>
            </w:pPr>
          </w:p>
        </w:tc>
      </w:tr>
      <w:tr>
        <w:trPr>
          <w:trHeight w:val="179"/>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Effect of exchange rates on cash, cash equivalents and restricted cash</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79"/>
        </w:trPr>
        <w:tc>
          <w:tcPr>
            <w:tcW w:w="7320" w:type="dxa"/>
            <w:vAlign w:val="bottom"/>
            <w:gridSpan w:val="3"/>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803,237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(461,690)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591,968</w:t>
            </w:r>
          </w:p>
        </w:tc>
        <w:tc>
          <w:tcPr>
            <w:tcW w:w="0" w:type="dxa"/>
            <w:vAlign w:val="bottom"/>
          </w:tcPr>
          <w:p>
            <w:pPr>
              <w:spacing w:after="0"/>
              <w:rPr>
                <w:sz w:val="1"/>
                <w:szCs w:val="1"/>
                <w:color w:val="auto"/>
              </w:rPr>
            </w:pPr>
          </w:p>
        </w:tc>
      </w:tr>
      <w:tr>
        <w:trPr>
          <w:trHeight w:val="187"/>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963,008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1,424,698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832,730</w:t>
            </w:r>
          </w:p>
        </w:tc>
        <w:tc>
          <w:tcPr>
            <w:tcW w:w="0" w:type="dxa"/>
            <w:vAlign w:val="bottom"/>
          </w:tcPr>
          <w:p>
            <w:pPr>
              <w:spacing w:after="0"/>
              <w:rPr>
                <w:sz w:val="1"/>
                <w:szCs w:val="1"/>
                <w:color w:val="auto"/>
              </w:rPr>
            </w:pPr>
          </w:p>
        </w:tc>
      </w:tr>
      <w:tr>
        <w:trPr>
          <w:trHeight w:val="181"/>
        </w:trPr>
        <w:tc>
          <w:tcPr>
            <w:tcW w:w="7320" w:type="dxa"/>
            <w:vAlign w:val="bottom"/>
            <w:gridSpan w:val="3"/>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1,766,245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963,008</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1,424,698</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Reconciliation of cash, cash equivalents and restricted cash to consolidated balance sheets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3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Year Ended December 31,</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0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31"/>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52"/>
        </w:trPr>
        <w:tc>
          <w:tcPr>
            <w:tcW w:w="1460" w:type="dxa"/>
            <w:vAlign w:val="bottom"/>
            <w:tcBorders>
              <w:bottom w:val="single" w:sz="8" w:color="auto"/>
            </w:tcBorders>
            <w:gridSpan w:val="2"/>
            <w:shd w:val="clear" w:color="auto" w:fill="CCEEFF"/>
          </w:tcPr>
          <w:p>
            <w:pPr>
              <w:spacing w:after="0" w:line="137" w:lineRule="exact"/>
              <w:rPr>
                <w:sz w:val="20"/>
                <w:szCs w:val="20"/>
                <w:color w:val="auto"/>
              </w:rPr>
            </w:pPr>
            <w:r>
              <w:rPr>
                <w:rFonts w:ascii="Arial" w:cs="Arial" w:eastAsia="Arial" w:hAnsi="Arial"/>
                <w:sz w:val="14"/>
                <w:szCs w:val="14"/>
                <w:color w:val="auto"/>
                <w:w w:val="99"/>
              </w:rPr>
              <w:t>Beginning of the period</w:t>
            </w:r>
          </w:p>
        </w:tc>
        <w:tc>
          <w:tcPr>
            <w:tcW w:w="58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703,544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1,205,190</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461,912</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5"/>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Restricted cash included in assets held for disposition</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218,834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370,371</w:t>
            </w:r>
          </w:p>
        </w:tc>
        <w:tc>
          <w:tcPr>
            <w:tcW w:w="0" w:type="dxa"/>
            <w:vAlign w:val="bottom"/>
          </w:tcPr>
          <w:p>
            <w:pPr>
              <w:spacing w:after="0"/>
              <w:rPr>
                <w:sz w:val="1"/>
                <w:szCs w:val="1"/>
                <w:color w:val="auto"/>
              </w:rPr>
            </w:pPr>
          </w:p>
        </w:tc>
      </w:tr>
      <w:tr>
        <w:trPr>
          <w:trHeight w:val="20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cash, cash equivalents and restricted cash, beginning of period</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963,008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1,424,698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832,730</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color w:val="auto"/>
                <w:w w:val="99"/>
              </w:rPr>
              <w:t>End of the period</w:t>
            </w:r>
          </w:p>
        </w:tc>
        <w:tc>
          <w:tcPr>
            <w:tcW w:w="6240" w:type="dxa"/>
            <w:vAlign w:val="bottom"/>
            <w:tcBorders>
              <w:bottom w:val="single" w:sz="8" w:color="CCEEFF"/>
            </w:tcBorders>
            <w:gridSpan w:val="2"/>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1,602,102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703,544</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1,205,190</w:t>
            </w: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85"/>
        </w:trPr>
        <w:tc>
          <w:tcPr>
            <w:tcW w:w="732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Restricted cash included in assets held for disposition</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218,834</w:t>
            </w:r>
          </w:p>
        </w:tc>
        <w:tc>
          <w:tcPr>
            <w:tcW w:w="0" w:type="dxa"/>
            <w:vAlign w:val="bottom"/>
          </w:tcPr>
          <w:p>
            <w:pPr>
              <w:spacing w:after="0"/>
              <w:rPr>
                <w:sz w:val="1"/>
                <w:szCs w:val="1"/>
                <w:color w:val="auto"/>
              </w:rPr>
            </w:pPr>
          </w:p>
        </w:tc>
      </w:tr>
      <w:tr>
        <w:trPr>
          <w:trHeight w:val="20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cash, cash equivalents and restricted cash, end of period</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1,766,245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963,008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1,424,698</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Business and Organization</w:t>
      </w:r>
    </w:p>
    <w:p>
      <w:pPr>
        <w:spacing w:after="0" w:line="115" w:lineRule="exact"/>
        <w:rPr>
          <w:sz w:val="20"/>
          <w:szCs w:val="20"/>
          <w:color w:val="auto"/>
        </w:rPr>
      </w:pPr>
    </w:p>
    <w:p>
      <w:pPr>
        <w:ind w:right="60" w:firstLine="351"/>
        <w:spacing w:after="0" w:line="248" w:lineRule="auto"/>
        <w:rPr>
          <w:sz w:val="20"/>
          <w:szCs w:val="20"/>
          <w:color w:val="auto"/>
        </w:rPr>
      </w:pPr>
      <w:r>
        <w:rPr>
          <w:rFonts w:ascii="Arial" w:cs="Arial" w:eastAsia="Arial" w:hAnsi="Arial"/>
          <w:sz w:val="16"/>
          <w:szCs w:val="16"/>
          <w:color w:val="auto"/>
        </w:rPr>
        <w:t>DigitalBridge Group, Inc. or DBRG (together with its consolidated subsidiaries, the "Company") is a leading global-scale digital infrastructure firm that invests, directly and through its portfolio companies, across five key verticals: data centers, cell towers, fiber networks, small cells, and edge infrastructure.</w:t>
      </w:r>
    </w:p>
    <w:p>
      <w:pPr>
        <w:spacing w:after="0" w:line="88" w:lineRule="exact"/>
        <w:rPr>
          <w:sz w:val="20"/>
          <w:szCs w:val="20"/>
          <w:color w:val="auto"/>
        </w:rPr>
      </w:pPr>
    </w:p>
    <w:p>
      <w:pPr>
        <w:ind w:right="460" w:firstLine="351"/>
        <w:spacing w:after="0" w:line="236" w:lineRule="auto"/>
        <w:rPr>
          <w:sz w:val="20"/>
          <w:szCs w:val="20"/>
          <w:color w:val="auto"/>
        </w:rPr>
      </w:pPr>
      <w:r>
        <w:rPr>
          <w:rFonts w:ascii="Arial" w:cs="Arial" w:eastAsia="Arial" w:hAnsi="Arial"/>
          <w:sz w:val="16"/>
          <w:szCs w:val="16"/>
          <w:color w:val="auto"/>
        </w:rPr>
        <w:t>Effective June 22, 2021, the Company changed its name to DigitalBridge Group, Inc. (formerly Colony Capital, Inc.) and trades under the ticker symbol, DBRG, signifying the Company's transformation to digital infrastructure.</w:t>
      </w:r>
    </w:p>
    <w:p>
      <w:pPr>
        <w:spacing w:after="0" w:line="83" w:lineRule="exact"/>
        <w:rPr>
          <w:sz w:val="20"/>
          <w:szCs w:val="20"/>
          <w:color w:val="auto"/>
        </w:rPr>
      </w:pPr>
    </w:p>
    <w:p>
      <w:pPr>
        <w:ind w:right="140" w:firstLine="351"/>
        <w:spacing w:after="0" w:line="388" w:lineRule="auto"/>
        <w:rPr>
          <w:sz w:val="20"/>
          <w:szCs w:val="20"/>
          <w:color w:val="auto"/>
        </w:rPr>
      </w:pPr>
      <w:r>
        <w:rPr>
          <w:rFonts w:ascii="Arial" w:cs="Arial" w:eastAsia="Arial" w:hAnsi="Arial"/>
          <w:sz w:val="16"/>
          <w:szCs w:val="16"/>
          <w:color w:val="auto"/>
        </w:rPr>
        <w:t xml:space="preserve">At December 31, 2021, the Company has $45 billion of total assets under management, including both third party capital and the Company's balance sheet. </w:t>
      </w:r>
      <w:r>
        <w:rPr>
          <w:rFonts w:ascii="Arial" w:cs="Arial" w:eastAsia="Arial" w:hAnsi="Arial"/>
          <w:sz w:val="16"/>
          <w:szCs w:val="16"/>
          <w:b w:val="1"/>
          <w:bCs w:val="1"/>
          <w:color w:val="auto"/>
        </w:rPr>
        <w:t>Organization</w:t>
      </w:r>
    </w:p>
    <w:p>
      <w:pPr>
        <w:spacing w:after="0" w:line="1" w:lineRule="exact"/>
        <w:rPr>
          <w:sz w:val="20"/>
          <w:szCs w:val="20"/>
          <w:color w:val="auto"/>
        </w:rPr>
      </w:pPr>
    </w:p>
    <w:p>
      <w:pPr>
        <w:ind w:right="60" w:firstLine="351"/>
        <w:spacing w:after="0" w:line="246" w:lineRule="auto"/>
        <w:rPr>
          <w:sz w:val="20"/>
          <w:szCs w:val="20"/>
          <w:color w:val="auto"/>
        </w:rPr>
      </w:pPr>
      <w:r>
        <w:rPr>
          <w:rFonts w:ascii="Arial" w:cs="Arial" w:eastAsia="Arial" w:hAnsi="Arial"/>
          <w:sz w:val="16"/>
          <w:szCs w:val="16"/>
          <w:color w:val="auto"/>
        </w:rPr>
        <w:t>The Company conducts all of its activities and holds substantially all of its assets and liabilities through its operating subsidiary, DigitalBridge Operating Company, LLC (the "Operating Company" or the "OP"). At December 31, 2021, the Company owned 92% of the OP, as its sole managing member. The remaining 8% is owned primarily by certain current and former employees of the Company as noncontrolling interests.</w:t>
      </w:r>
    </w:p>
    <w:p>
      <w:pPr>
        <w:spacing w:after="0" w:line="89" w:lineRule="exact"/>
        <w:rPr>
          <w:sz w:val="20"/>
          <w:szCs w:val="20"/>
          <w:color w:val="auto"/>
        </w:rPr>
      </w:pPr>
    </w:p>
    <w:p>
      <w:pPr>
        <w:ind w:right="700" w:firstLine="351"/>
        <w:spacing w:after="0" w:line="396" w:lineRule="auto"/>
        <w:rPr>
          <w:sz w:val="20"/>
          <w:szCs w:val="20"/>
          <w:color w:val="auto"/>
        </w:rPr>
      </w:pPr>
      <w:r>
        <w:rPr>
          <w:rFonts w:ascii="Arial" w:cs="Arial" w:eastAsia="Arial" w:hAnsi="Arial"/>
          <w:sz w:val="16"/>
          <w:szCs w:val="16"/>
          <w:color w:val="auto"/>
        </w:rPr>
        <w:t xml:space="preserve">The Company elected to be taxed as a real estate investment trust ("REIT") under the Internal Revenue Code for U.S. federal income tax purposes. </w:t>
      </w:r>
      <w:r>
        <w:rPr>
          <w:rFonts w:ascii="Arial" w:cs="Arial" w:eastAsia="Arial" w:hAnsi="Arial"/>
          <w:sz w:val="16"/>
          <w:szCs w:val="16"/>
          <w:b w:val="1"/>
          <w:bCs w:val="1"/>
          <w:color w:val="auto"/>
        </w:rPr>
        <w:t>Digital Transformation</w:t>
      </w:r>
    </w:p>
    <w:p>
      <w:pPr>
        <w:spacing w:after="0" w:line="1" w:lineRule="exact"/>
        <w:rPr>
          <w:sz w:val="20"/>
          <w:szCs w:val="20"/>
          <w:color w:val="auto"/>
        </w:rPr>
      </w:pPr>
    </w:p>
    <w:p>
      <w:pPr>
        <w:ind w:right="480" w:firstLine="351"/>
        <w:spacing w:after="0" w:line="245" w:lineRule="auto"/>
        <w:rPr>
          <w:sz w:val="20"/>
          <w:szCs w:val="20"/>
          <w:color w:val="auto"/>
        </w:rPr>
      </w:pPr>
      <w:r>
        <w:rPr>
          <w:rFonts w:ascii="Arial" w:cs="Arial" w:eastAsia="Arial" w:hAnsi="Arial"/>
          <w:sz w:val="16"/>
          <w:szCs w:val="16"/>
          <w:color w:val="auto"/>
        </w:rPr>
        <w:t>Significant healthcare and economic challenges arising from the coronavirus disease 2019 pandemic, or COVID-19, reinforced the critical role and the resilience of the digital infrastructure sector in a global economy that is increasingly reliant on telecommunications and data transmission. Accordingly, in the second quarter of 2020, the Company determined to accelerate its previously announced shift to a digitally-focused strategy in order to better position the Company for growth, which required a rotation of the Company's non-digital assets into digital-focused investments.</w:t>
      </w:r>
    </w:p>
    <w:p>
      <w:pPr>
        <w:spacing w:after="0" w:line="91" w:lineRule="exact"/>
        <w:rPr>
          <w:sz w:val="20"/>
          <w:szCs w:val="20"/>
          <w:color w:val="auto"/>
        </w:rPr>
      </w:pPr>
    </w:p>
    <w:p>
      <w:pPr>
        <w:ind w:right="60" w:firstLine="351"/>
        <w:spacing w:after="0" w:line="231" w:lineRule="auto"/>
        <w:rPr>
          <w:sz w:val="20"/>
          <w:szCs w:val="20"/>
          <w:color w:val="auto"/>
        </w:rPr>
      </w:pPr>
      <w:r>
        <w:rPr>
          <w:rFonts w:ascii="Arial" w:cs="Arial" w:eastAsia="Arial" w:hAnsi="Arial"/>
          <w:sz w:val="16"/>
          <w:szCs w:val="16"/>
          <w:color w:val="auto"/>
        </w:rPr>
        <w:t>The Company has now completed its digital transformation. The Company's completed disposition of its hotel business, OED investments and Other IM business in 2021, and its Wellness Infrastructure segment in 2022 each represents a strategic shift in the Company's business that has or is expected to have a significant effect on the Company’s operations and financial results, and accordingly, each has met the criteria as discontinued operations. For all current and prior periods presented, the related assets and liabilities, to the extent they have not been disposed at the respective balance sheet dates, are presented as assets and liabilities held for disposition on the consolidated balance sheets (Note 11) and the related operating results are presented as discontinued operations on the consolidated statements of operations (Note 12).</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Accelerating the Monetization of Wellness Infrastructure and Other Segments</w:t>
      </w:r>
    </w:p>
    <w:p>
      <w:pPr>
        <w:spacing w:after="0" w:line="115" w:lineRule="exact"/>
        <w:rPr>
          <w:sz w:val="20"/>
          <w:szCs w:val="20"/>
          <w:color w:val="auto"/>
        </w:rPr>
      </w:pPr>
    </w:p>
    <w:p>
      <w:pPr>
        <w:ind w:right="80" w:firstLine="351"/>
        <w:spacing w:after="0" w:line="246" w:lineRule="auto"/>
        <w:rPr>
          <w:sz w:val="20"/>
          <w:szCs w:val="20"/>
          <w:color w:val="auto"/>
        </w:rPr>
      </w:pPr>
      <w:r>
        <w:rPr>
          <w:rFonts w:ascii="Arial" w:cs="Arial" w:eastAsia="Arial" w:hAnsi="Arial"/>
          <w:sz w:val="16"/>
          <w:szCs w:val="16"/>
          <w:color w:val="auto"/>
        </w:rPr>
        <w:t>The Company successfully completed the sale of its equity interests in (i) NRF Holdco, LLC ("NRF Holdco"), which holds its Wellness Infrastructure business along with other non-core assets, in February 2022; and (ii) a substantial majority of its OED investments and Other IM business in December 2021, pursuant to agreements entered into in September 2021 (as amended in February 2022) and June 2021, respectively.</w:t>
      </w:r>
    </w:p>
    <w:p>
      <w:pPr>
        <w:spacing w:after="0" w:line="89" w:lineRule="exact"/>
        <w:rPr>
          <w:sz w:val="20"/>
          <w:szCs w:val="20"/>
          <w:color w:val="auto"/>
        </w:rPr>
      </w:pPr>
    </w:p>
    <w:p>
      <w:pPr>
        <w:ind w:right="240" w:firstLine="351"/>
        <w:spacing w:after="0" w:line="245" w:lineRule="auto"/>
        <w:rPr>
          <w:sz w:val="20"/>
          <w:szCs w:val="20"/>
          <w:color w:val="auto"/>
        </w:rPr>
      </w:pPr>
      <w:r>
        <w:rPr>
          <w:rFonts w:ascii="Arial" w:cs="Arial" w:eastAsia="Arial" w:hAnsi="Arial"/>
          <w:sz w:val="16"/>
          <w:szCs w:val="16"/>
          <w:color w:val="auto"/>
        </w:rPr>
        <w:t>In assessing the recoverability of assets classified as held for disposition and discontinued operations, in particular considering the sales price for the OED investments and Other IM business, and the Wellness Infrastructure assets, the Company wrote down the carrying value of these assets by $625.3 million in aggregate, of which $265.4 million was attributable to the OP. This was recorded within impairment loss, equity method loss and other loss in discontinued operations, as discussed further in Note 11.</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OED and Other IM</w:t>
      </w:r>
    </w:p>
    <w:p>
      <w:pPr>
        <w:spacing w:after="0" w:line="113"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disposed OED investments and Other IM business were composed of the Company's interests in various non-digital real estate, real estate-related equity and debt investments, and the Company's general partner interests and management rights with respect to these assets. The Company received cash consideration of $443.4 million, net of closing adjustments of $31.2 million, representing net cash already received by the Company, largely for asset monetizations realized prior to closing. Disposition of the Company's equity interests in its OED subsidiaries resulted in assumption by the acquirer of $509.5 million of consolidated investment-level debt and subsequent deconsolidation of these subsidiaries.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Wellness Infrastructure</w:t>
      </w:r>
    </w:p>
    <w:p>
      <w:pPr>
        <w:spacing w:after="0" w:line="113" w:lineRule="exact"/>
        <w:rPr>
          <w:sz w:val="20"/>
          <w:szCs w:val="20"/>
          <w:color w:val="auto"/>
        </w:rPr>
      </w:pPr>
    </w:p>
    <w:p>
      <w:pPr>
        <w:ind w:right="260" w:firstLine="351"/>
        <w:spacing w:after="0" w:line="245" w:lineRule="auto"/>
        <w:rPr>
          <w:sz w:val="20"/>
          <w:szCs w:val="20"/>
          <w:color w:val="auto"/>
        </w:rPr>
      </w:pPr>
      <w:r>
        <w:rPr>
          <w:rFonts w:ascii="Arial" w:cs="Arial" w:eastAsia="Arial" w:hAnsi="Arial"/>
          <w:sz w:val="16"/>
          <w:szCs w:val="16"/>
          <w:color w:val="auto"/>
        </w:rPr>
        <w:t>The Wellness Infrastructure business is composed of senior housing, skilled nursing facilities, medical office buildings, and hospitals. Other assets and obligations held by NRF Holdco include primarily: (i) the Company's equity interest in and management of its sponsored non-traded REIT, NorthStar Healthcare Income, Inc. ("NorthStar Healthcare"), debt securities collateralized largely by certain debt and preferred equity within the capital structure of the Wellness Infrastructure portfolio, limited partner interests in private equity real estate funds; and (ii) the 5.375% exchangeable senior notes, trust preferred securities and corresponding junior subordinated debt, all of which were issued by NRF Holdco and its subsidiaries.</w:t>
      </w:r>
    </w:p>
    <w:p>
      <w:pPr>
        <w:spacing w:after="0" w:line="90"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The sales price for 100% of the equity of NRF Holdco was $281 million, composed of $126 million in cash and $155 million unsecured promissory note (the "Seller Note"). In addition, NRF Holdco distributed approximately $35 million of cash to the Company prior to closing. The Seller Note matures five years from closing of the sale, accruing paid-in-kind interest at 5.35% per annum. The sale included the acquirer's assumption of $2.57 billion of consolidated investment level debt on various healthcare portfolios in which the Company owned between 69.6% and 81.3%, and $293.7 million of debt at NRF Holdco.</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Internalization of BrightSpire Capital, Inc. (NYSE: BRSP)</w:t>
      </w:r>
    </w:p>
    <w:p>
      <w:pPr>
        <w:spacing w:after="0" w:line="115" w:lineRule="exact"/>
        <w:rPr>
          <w:sz w:val="20"/>
          <w:szCs w:val="20"/>
          <w:color w:val="auto"/>
        </w:rPr>
      </w:pPr>
    </w:p>
    <w:p>
      <w:pPr>
        <w:ind w:right="80" w:firstLine="351"/>
        <w:spacing w:after="0" w:line="230" w:lineRule="auto"/>
        <w:rPr>
          <w:sz w:val="20"/>
          <w:szCs w:val="20"/>
          <w:color w:val="auto"/>
        </w:rPr>
      </w:pPr>
      <w:r>
        <w:rPr>
          <w:rFonts w:ascii="Arial" w:cs="Arial" w:eastAsia="Arial" w:hAnsi="Arial"/>
          <w:sz w:val="16"/>
          <w:szCs w:val="16"/>
          <w:color w:val="auto"/>
        </w:rPr>
        <w:t>In early April 2021, the Company and BRSP (formerly Colony Credit Real Estate, Inc. or CLNC) agreed to terminate the BRSP management agreement for a one-time termination payment of $102.3 million in cash. The transaction closed on April 30, 2021, resulting in the internalization of BRSP's management and operating functions (the "BRSP Internalization"), with certain of the Company's employees previously dedicated wholly or substantially to BRSP becoming employees of BRSP. In connection with the BRSP Internalization, BRSP's board of directors ceased to include Company-affiliated directors upon the expiration of such directors' terms in May 2021. The Company also entered into a stockholders agreement with BRSP, pursuant to which the Company agreed, for so long as the Company owns at least 10% of BRSP's outstanding common shares, to vote in BRSP director elections as recommended by BRSP’s board of directors at any stockholders' meeting that occurs prior to BRSP's 2023 annual stockholders' meeting. In addition, the Company is subject to customary standstill restrictions, including an obligation not to initiate or make stockholder proposals, nominate directors or participate in proxy solicitations, until the beginning of the advance notice window for BRSP's 2023 annual meeting. Except as aforementioned, the Company may vote its shares in its sole discretion in any votes of BRSP’s stockholders. The Company is prohibited from acquiring additional BRSP shares and currently holds a 29% equity ownership in BRSP following the sale of a portion of its BRSP shares in August 2021.</w:t>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Exit of the Hotel Business</w:t>
      </w:r>
    </w:p>
    <w:p>
      <w:pPr>
        <w:spacing w:after="0" w:line="115" w:lineRule="exact"/>
        <w:rPr>
          <w:sz w:val="20"/>
          <w:szCs w:val="20"/>
          <w:color w:val="auto"/>
        </w:rPr>
      </w:pPr>
    </w:p>
    <w:p>
      <w:pPr>
        <w:ind w:right="20" w:firstLine="351"/>
        <w:spacing w:after="0" w:line="230" w:lineRule="auto"/>
        <w:rPr>
          <w:sz w:val="20"/>
          <w:szCs w:val="20"/>
          <w:color w:val="auto"/>
        </w:rPr>
      </w:pPr>
      <w:r>
        <w:rPr>
          <w:rFonts w:ascii="Arial" w:cs="Arial" w:eastAsia="Arial" w:hAnsi="Arial"/>
          <w:sz w:val="16"/>
          <w:szCs w:val="16"/>
          <w:color w:val="auto"/>
        </w:rPr>
        <w:t>In March 2021, the Company completed the sale of its hotel business. Pursuant to an agreement entered into with a third party in September 2020 (as amended in October 2020, February 2021 and March 2021), the Company sold 100% of the equity in its hotel subsidiaries which held five of the six hotel portfolios in the Hospitality segment and its 55.6% equity interest in a portfolio of limited service hotels in the Other segment (the "THL Hotel Portfolio"), composed of 197 hotel properties in aggregate. Two of the hotel portfolios that were sold in the Hospitality segment were held through joint ventures in which the Company held a 90% and a 97.5% interest, respectively. The aggregate selling price of $67.5 million represented a transaction value of approximately $2.8 billion, with the acquirer's assumption of $2.7 billion of consolidated investment-level debt. In September 2021, the remaining interests in the THL Hotel Portfolio held by investment vehicles previously managed by the Company were sold to the same buyer. Also in September 2021, the remaining portfolio in the Hospitality segment that was in receivership was sold by the lender for no proceeds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61" w:lineRule="exact"/>
        <w:rPr>
          <w:sz w:val="20"/>
          <w:szCs w:val="20"/>
          <w:color w:val="auto"/>
        </w:rPr>
      </w:pPr>
    </w:p>
    <w:p>
      <w:pPr>
        <w:ind w:right="60" w:firstLine="351"/>
        <w:spacing w:after="0" w:line="248" w:lineRule="auto"/>
        <w:rPr>
          <w:sz w:val="20"/>
          <w:szCs w:val="20"/>
          <w:color w:val="auto"/>
        </w:rPr>
      </w:pPr>
      <w:r>
        <w:rPr>
          <w:rFonts w:ascii="Arial" w:cs="Arial" w:eastAsia="Arial" w:hAnsi="Arial"/>
          <w:sz w:val="16"/>
          <w:szCs w:val="16"/>
          <w:color w:val="auto"/>
        </w:rPr>
        <w:t>The significant accounting policies of the Company are described below. The accounting policies of the Company's unconsolidated ventures are substantially similar to those of the Company.</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5"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accompanying consolidated financial statements include the accounts of the Company and its controlled subsidiaries. All significant intercompany accounts and transactions have been eliminated. The portions of equity, net income and other comprehensive income of consolidated subsidiaries that are not attributable to the parent are presented separately as amounts attributable to noncontrolling interests in the consolidated financial statements. A substantial portion of noncontrolling interests represents interests held by private investment funds or other investment vehicles managed by the Company and which invest alongside the Company and membership interests in OP primarily held by certain employees of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firstLine="351"/>
        <w:spacing w:after="0" w:line="248" w:lineRule="auto"/>
        <w:rPr>
          <w:sz w:val="20"/>
          <w:szCs w:val="20"/>
          <w:color w:val="auto"/>
        </w:rPr>
      </w:pPr>
      <w:r>
        <w:rPr>
          <w:rFonts w:ascii="Arial" w:cs="Arial" w:eastAsia="Arial" w:hAnsi="Arial"/>
          <w:sz w:val="16"/>
          <w:szCs w:val="16"/>
          <w:color w:val="auto"/>
        </w:rPr>
        <w:t>To the extent the Company consolidates a subsidiary that is subject to industry-specific guidance, the Company retains the industry-specific guidance applied by that subsidiary in its consolidated financial statements.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5" w:lineRule="exact"/>
        <w:rPr>
          <w:sz w:val="20"/>
          <w:szCs w:val="20"/>
          <w:color w:val="auto"/>
        </w:rPr>
      </w:pPr>
    </w:p>
    <w:p>
      <w:pPr>
        <w:ind w:right="280" w:firstLine="351"/>
        <w:spacing w:after="0" w:line="23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("GAAP") requires management to make estimates and assumptions that affect the amounts reported in the financial statements and accompanying notes. Actual results could differ from those estimates and assumptions.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5" w:lineRule="exact"/>
        <w:rPr>
          <w:sz w:val="20"/>
          <w:szCs w:val="20"/>
          <w:color w:val="auto"/>
        </w:rPr>
      </w:pPr>
    </w:p>
    <w:p>
      <w:pPr>
        <w:jc w:val="both"/>
        <w:ind w:right="40" w:firstLine="351"/>
        <w:spacing w:after="0" w:line="246" w:lineRule="auto"/>
        <w:rPr>
          <w:sz w:val="20"/>
          <w:szCs w:val="20"/>
          <w:color w:val="auto"/>
        </w:rPr>
      </w:pPr>
      <w:r>
        <w:rPr>
          <w:rFonts w:ascii="Arial" w:cs="Arial" w:eastAsia="Arial" w:hAnsi="Arial"/>
          <w:sz w:val="16"/>
          <w:szCs w:val="16"/>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73" w:lineRule="exact"/>
        <w:rPr>
          <w:sz w:val="20"/>
          <w:szCs w:val="20"/>
          <w:color w:val="auto"/>
        </w:rPr>
      </w:pPr>
    </w:p>
    <w:p>
      <w:pPr>
        <w:ind w:right="20" w:firstLine="351"/>
        <w:spacing w:after="0" w:line="284" w:lineRule="auto"/>
        <w:rPr>
          <w:sz w:val="20"/>
          <w:szCs w:val="20"/>
          <w:color w:val="auto"/>
        </w:rPr>
      </w:pPr>
      <w:r>
        <w:rPr>
          <w:rFonts w:ascii="Arial" w:cs="Arial" w:eastAsia="Arial" w:hAnsi="Arial"/>
          <w:sz w:val="14"/>
          <w:szCs w:val="14"/>
          <w:i w:val="1"/>
          <w:iCs w:val="1"/>
          <w:color w:val="auto"/>
        </w:rPr>
        <w:t>Variable Interest Entities</w:t>
      </w:r>
      <w:r>
        <w:rPr>
          <w:rFonts w:ascii="Arial" w:cs="Arial" w:eastAsia="Arial" w:hAnsi="Arial"/>
          <w:sz w:val="14"/>
          <w:szCs w:val="14"/>
          <w:color w:val="auto"/>
        </w:rPr>
        <w:t>—A VIE is an entity that either (i) lacks sufficient equity to finance its activities without additional subordinated financial support from</w:t>
      </w:r>
      <w:r>
        <w:rPr>
          <w:rFonts w:ascii="Arial" w:cs="Arial" w:eastAsia="Arial" w:hAnsi="Arial"/>
          <w:sz w:val="14"/>
          <w:szCs w:val="14"/>
          <w:i w:val="1"/>
          <w:iCs w:val="1"/>
          <w:color w:val="auto"/>
        </w:rPr>
        <w:t xml:space="preserve"> </w:t>
      </w:r>
      <w:r>
        <w:rPr>
          <w:rFonts w:ascii="Arial" w:cs="Arial" w:eastAsia="Arial" w:hAnsi="Arial"/>
          <w:sz w:val="14"/>
          <w:szCs w:val="14"/>
          <w:color w:val="auto"/>
        </w:rPr>
        <w:t>other parties; (ii) whose equity holders lack the characteristics of a controlling financial interest; and/or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240" w:lineRule="exact"/>
        <w:rPr>
          <w:sz w:val="20"/>
          <w:szCs w:val="20"/>
          <w:color w:val="auto"/>
        </w:rPr>
      </w:pPr>
    </w:p>
    <w:p>
      <w:pPr>
        <w:ind w:right="60" w:firstLine="351"/>
        <w:spacing w:after="0" w:line="256" w:lineRule="auto"/>
        <w:rPr>
          <w:sz w:val="20"/>
          <w:szCs w:val="20"/>
          <w:color w:val="auto"/>
        </w:rPr>
      </w:pPr>
      <w:r>
        <w:rPr>
          <w:rFonts w:ascii="Arial" w:cs="Arial" w:eastAsia="Arial" w:hAnsi="Arial"/>
          <w:sz w:val="16"/>
          <w:szCs w:val="16"/>
          <w:i w:val="1"/>
          <w:iCs w:val="1"/>
          <w:color w:val="auto"/>
        </w:rPr>
        <w:t>Voting Interest Entities</w:t>
      </w:r>
      <w:r>
        <w:rPr>
          <w:rFonts w:ascii="Arial" w:cs="Arial" w:eastAsia="Arial" w:hAnsi="Arial"/>
          <w:sz w:val="16"/>
          <w:szCs w:val="16"/>
          <w:color w:val="auto"/>
        </w:rPr>
        <w:t>—Unlike VIEs, voting interest entities have sufficient equity to finance their activities and equity investors exhibit the characteristics of a</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financial interest through their voting rights. The Company consolidates such entities when it has the power to control these entities through ownership of a majority of the entities' voting interests or through other arrangements.</w:t>
      </w:r>
    </w:p>
    <w:p>
      <w:pPr>
        <w:spacing w:after="0" w:line="82"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At each reporting period, the Company reassesses whether changes in facts and circumstances cause a change in the status of an entity as a VIE or voting interest entity,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However, if the consolidation represents an asset acquisition of a voting interest entity, the Company's existing interest in the acquired assets, if any, is not remeasured to fair value but continues to be carried at historical cost.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99" w:lineRule="exact"/>
        <w:rPr>
          <w:sz w:val="20"/>
          <w:szCs w:val="20"/>
          <w:color w:val="auto"/>
        </w:rPr>
      </w:pPr>
    </w:p>
    <w:p>
      <w:pPr>
        <w:ind w:right="160" w:firstLine="386"/>
        <w:spacing w:after="0" w:line="310" w:lineRule="auto"/>
        <w:rPr>
          <w:sz w:val="20"/>
          <w:szCs w:val="20"/>
          <w:color w:val="auto"/>
        </w:rPr>
      </w:pPr>
      <w:r>
        <w:rPr>
          <w:rFonts w:ascii="Arial" w:cs="Arial" w:eastAsia="Arial" w:hAnsi="Arial"/>
          <w:sz w:val="14"/>
          <w:szCs w:val="14"/>
          <w:i w:val="1"/>
          <w:iCs w:val="1"/>
          <w:color w:val="auto"/>
        </w:rPr>
        <w:t>Redeemable Noncontrolling Interests</w:t>
      </w:r>
      <w:r>
        <w:rPr>
          <w:rFonts w:ascii="Arial" w:cs="Arial" w:eastAsia="Arial" w:hAnsi="Arial"/>
          <w:sz w:val="14"/>
          <w:szCs w:val="14"/>
          <w:color w:val="auto"/>
        </w:rPr>
        <w:t>—This represents noncontrolling interests in the Company's digital investment management business and in</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consolidated open-end funds sponsored by the Company. The noncontrolling interests either have redemption rights that will be triggered upon the occurrence of certain events (Note 10) or have the ability to withdraw all or a portion of their interests from the consolidated open-end funds in cash with advance notice.</w:t>
      </w:r>
    </w:p>
    <w:p>
      <w:pPr>
        <w:spacing w:after="0" w:line="47" w:lineRule="exact"/>
        <w:rPr>
          <w:sz w:val="20"/>
          <w:szCs w:val="20"/>
          <w:color w:val="auto"/>
        </w:rPr>
      </w:pPr>
    </w:p>
    <w:p>
      <w:pPr>
        <w:ind w:right="100" w:firstLine="386"/>
        <w:spacing w:after="0" w:line="245" w:lineRule="auto"/>
        <w:rPr>
          <w:sz w:val="20"/>
          <w:szCs w:val="20"/>
          <w:color w:val="auto"/>
        </w:rPr>
      </w:pPr>
      <w:r>
        <w:rPr>
          <w:rFonts w:ascii="Arial" w:cs="Arial" w:eastAsia="Arial" w:hAnsi="Arial"/>
          <w:sz w:val="16"/>
          <w:szCs w:val="16"/>
          <w:color w:val="auto"/>
        </w:rPr>
        <w:t>Redeemable noncontrolling interests is presented outside of permanent equity. Allocation of net income or loss to redeemable noncontrolling interests is based upon their ownership percentage during the period. The carrying amount of redeemable noncontrolling interests is adjusted to its redemption value at the end of each reporting period to an amount not less than its initial carrying value, except for amounts contingently redeemable which will be adjusted to redemption value only when redemption is probable. Such adjustments will be recognized in additional paid-in capital.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40" w:firstLine="386"/>
        <w:spacing w:after="0" w:line="299" w:lineRule="auto"/>
        <w:rPr>
          <w:sz w:val="20"/>
          <w:szCs w:val="20"/>
          <w:color w:val="auto"/>
        </w:rPr>
      </w:pPr>
      <w:r>
        <w:rPr>
          <w:rFonts w:ascii="Arial" w:cs="Arial" w:eastAsia="Arial" w:hAnsi="Arial"/>
          <w:sz w:val="14"/>
          <w:szCs w:val="14"/>
          <w:i w:val="1"/>
          <w:iCs w:val="1"/>
          <w:color w:val="auto"/>
        </w:rPr>
        <w:t>Noncontrolling Interests in Investment Entities</w:t>
      </w:r>
      <w:r>
        <w:rPr>
          <w:rFonts w:ascii="Arial" w:cs="Arial" w:eastAsia="Arial" w:hAnsi="Arial"/>
          <w:sz w:val="14"/>
          <w:szCs w:val="14"/>
          <w:color w:val="auto"/>
        </w:rPr>
        <w:t>—This represents predominantly interests in consolidated investment entities held by co-investors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 vehicles managed by the Company or held by third party joint venture partners. Allocation of net income or loss is generally based upon relative ownership interests held by equity owners in each investment entity, or based upon contractual arrangements that may provide for disproportionate allocation of economic returns among equity interests, including using a hypothetical liquidation at book value basis, where applicable and substantive.</w:t>
      </w:r>
    </w:p>
    <w:p>
      <w:pPr>
        <w:spacing w:after="0" w:line="40" w:lineRule="exact"/>
        <w:rPr>
          <w:sz w:val="20"/>
          <w:szCs w:val="20"/>
          <w:color w:val="auto"/>
        </w:rPr>
      </w:pPr>
    </w:p>
    <w:p>
      <w:pPr>
        <w:ind w:right="320" w:firstLine="351"/>
        <w:spacing w:after="0" w:line="248" w:lineRule="auto"/>
        <w:rPr>
          <w:sz w:val="20"/>
          <w:szCs w:val="20"/>
          <w:color w:val="auto"/>
        </w:rPr>
      </w:pPr>
      <w:r>
        <w:rPr>
          <w:rFonts w:ascii="Arial" w:cs="Arial" w:eastAsia="Arial" w:hAnsi="Arial"/>
          <w:sz w:val="16"/>
          <w:szCs w:val="16"/>
          <w:i w:val="1"/>
          <w:iCs w:val="1"/>
          <w:color w:val="auto"/>
        </w:rPr>
        <w:t>Noncontrolling Interests in Operating Company</w:t>
      </w:r>
      <w:r>
        <w:rPr>
          <w:rFonts w:ascii="Arial" w:cs="Arial" w:eastAsia="Arial" w:hAnsi="Arial"/>
          <w:sz w:val="16"/>
          <w:szCs w:val="16"/>
          <w:color w:val="auto"/>
        </w:rPr>
        <w:t>—This represents membership interests in OP held primarily by certain employees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interests in OP are allocated a share of net income or loss in OP based on their weighted average ownership interest in OP during the period. Noncontrolling interests in OP have the right to require OP to redeem part or all of such member’s membership units in OP ("OP Units") for cash based on the market value of an equivalent number of shares of class A common stock at the time of redemption, or at the Company's election as managing member of OP, through issuance of shares of class A common stock (registered or unregistered) on a one-for-one basis. At the end of each reporting period, noncontrolling interests in OP is adjusted to reflect their ownership percentage in OP at the end of the period, through a reallocation between controlling and noncontrolling interests in OP, as applicable.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15"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investment, or a proportionate share related to the portion of equity method investment sold, is reclassified from accumulated other comprehensive income or loss into earnings.</w:t>
      </w:r>
    </w:p>
    <w:p>
      <w:pPr>
        <w:spacing w:after="0" w:line="94"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Assets and liabilities denominated in a foreign currency for which the functional currency is the U.S. dollar are remeasured using the exchange rate in effect at the balance sheet date and the corresponding results of operations for such entities are remeasured using the average exchange rate in effect during the period. The resulting foreign currency remeasurement adjustments are recorded in other gain (loss) on the statements of operations. Disclosures of non-U.S. dollar amounts to be recorded in the future are translated using exchange rates in effect at the date of the most recent balance sheet presented.</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Fair Value Measurement</w:t>
      </w:r>
    </w:p>
    <w:p>
      <w:pPr>
        <w:spacing w:after="0" w:line="115" w:lineRule="exact"/>
        <w:rPr>
          <w:sz w:val="20"/>
          <w:szCs w:val="20"/>
          <w:color w:val="auto"/>
        </w:rPr>
      </w:pPr>
    </w:p>
    <w:p>
      <w:pPr>
        <w:ind w:right="80" w:firstLine="351"/>
        <w:spacing w:after="0" w:line="246" w:lineRule="auto"/>
        <w:rPr>
          <w:sz w:val="20"/>
          <w:szCs w:val="20"/>
          <w:color w:val="auto"/>
        </w:rPr>
      </w:pPr>
      <w:r>
        <w:rPr>
          <w:rFonts w:ascii="Arial" w:cs="Arial" w:eastAsia="Arial" w:hAnsi="Arial"/>
          <w:sz w:val="16"/>
          <w:szCs w:val="16"/>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pacing w:after="0" w:line="89" w:lineRule="exact"/>
        <w:rPr>
          <w:sz w:val="20"/>
          <w:szCs w:val="20"/>
          <w:color w:val="auto"/>
        </w:rPr>
      </w:pPr>
    </w:p>
    <w:p>
      <w:pPr>
        <w:ind w:right="160" w:firstLine="351"/>
        <w:spacing w:after="0" w:line="248" w:lineRule="auto"/>
        <w:rPr>
          <w:sz w:val="20"/>
          <w:szCs w:val="20"/>
          <w:color w:val="auto"/>
        </w:rPr>
      </w:pPr>
      <w:r>
        <w:rPr>
          <w:rFonts w:ascii="Arial" w:cs="Arial" w:eastAsia="Arial" w:hAnsi="Arial"/>
          <w:sz w:val="16"/>
          <w:szCs w:val="16"/>
          <w:color w:val="auto"/>
        </w:rPr>
        <w:t>The estimated fair value of financial assets and financial liabilities are categorized into a three tier hierarchy, prioritized based on the level of transparency in inputs used in the valuation techniques, as follows: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(unadjusted) in active markets for identical assets or liabilities.</w:t>
      </w:r>
    </w:p>
    <w:p>
      <w:pPr>
        <w:spacing w:after="0" w:line="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non-active markets, or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utilizing inputs that are derived principally from or corroborated by observable data directly or indirectly for substantially the full term of the financial instrument.</w:t>
      </w:r>
    </w:p>
    <w:p>
      <w:pPr>
        <w:spacing w:after="0" w:line="6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—At least one assumption or input is unobservable and it is significant to the fair value measurement, requiring significant management judgment or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w:t>
      </w:r>
    </w:p>
    <w:p>
      <w:pPr>
        <w:spacing w:after="0" w:line="73" w:lineRule="exact"/>
        <w:rPr>
          <w:sz w:val="20"/>
          <w:szCs w:val="20"/>
          <w:color w:val="auto"/>
        </w:rPr>
      </w:pPr>
    </w:p>
    <w:p>
      <w:pPr>
        <w:ind w:right="580" w:firstLine="351"/>
        <w:spacing w:after="0" w:line="248" w:lineRule="auto"/>
        <w:rPr>
          <w:sz w:val="20"/>
          <w:szCs w:val="20"/>
          <w:color w:val="auto"/>
        </w:rPr>
      </w:pPr>
      <w:r>
        <w:rPr>
          <w:rFonts w:ascii="Arial" w:cs="Arial" w:eastAsia="Arial" w:hAnsi="Arial"/>
          <w:sz w:val="16"/>
          <w:szCs w:val="16"/>
          <w:color w:val="auto"/>
        </w:rPr>
        <w:t>Where the inputs used to measure the fair value of a financial instrument falls into different levels of the fair value hierarchy, the financial instrument is categorized within the hierarchy based on the lowest level of input that is significant to its fair value measurement.</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Fair Value Option</w:t>
      </w:r>
    </w:p>
    <w:p>
      <w:pPr>
        <w:spacing w:after="0" w:line="115" w:lineRule="exact"/>
        <w:rPr>
          <w:sz w:val="20"/>
          <w:szCs w:val="20"/>
          <w:color w:val="auto"/>
        </w:rPr>
      </w:pPr>
    </w:p>
    <w:p>
      <w:pPr>
        <w:jc w:val="both"/>
        <w:ind w:right="440" w:firstLine="351"/>
        <w:spacing w:after="0" w:line="298" w:lineRule="auto"/>
        <w:rPr>
          <w:sz w:val="20"/>
          <w:szCs w:val="20"/>
          <w:color w:val="auto"/>
        </w:rPr>
      </w:pPr>
      <w:r>
        <w:rPr>
          <w:rFonts w:ascii="Arial" w:cs="Arial" w:eastAsia="Arial" w:hAnsi="Arial"/>
          <w:sz w:val="14"/>
          <w:szCs w:val="14"/>
          <w:color w:val="auto"/>
        </w:rPr>
        <w:t>The fair value option provides an option to elect fair value as a measurement alternative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elected to account for all of its loans receivable and certain equity method investments at fair value.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4"/>
          <w:szCs w:val="14"/>
          <w:i w:val="1"/>
          <w:iCs w:val="1"/>
          <w:color w:val="auto"/>
        </w:rPr>
        <w:t>Definition of a Business</w:t>
      </w:r>
      <w:r>
        <w:rPr>
          <w:rFonts w:ascii="Arial" w:cs="Arial" w:eastAsia="Arial" w:hAnsi="Arial"/>
          <w:sz w:val="14"/>
          <w:szCs w:val="14"/>
          <w:color w:val="auto"/>
        </w:rPr>
        <w:t>—The Company evaluates each purchase transaction to determine whether the acquired assets meet the definition of a business. If</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all of the fair value of gross assets acquired is concentrated in a single identifiable asset or a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to perform a substantive process.</w:t>
      </w:r>
    </w:p>
    <w:p>
      <w:pPr>
        <w:spacing w:after="0" w:line="45" w:lineRule="exact"/>
        <w:rPr>
          <w:sz w:val="20"/>
          <w:szCs w:val="20"/>
          <w:color w:val="auto"/>
        </w:rPr>
      </w:pPr>
    </w:p>
    <w:p>
      <w:pPr>
        <w:ind w:right="260" w:firstLine="351"/>
        <w:spacing w:after="0" w:line="310" w:lineRule="auto"/>
        <w:rPr>
          <w:sz w:val="20"/>
          <w:szCs w:val="20"/>
          <w:color w:val="auto"/>
        </w:rPr>
      </w:pPr>
      <w:r>
        <w:rPr>
          <w:rFonts w:ascii="Arial" w:cs="Arial" w:eastAsia="Arial" w:hAnsi="Arial"/>
          <w:sz w:val="14"/>
          <w:szCs w:val="14"/>
          <w:i w:val="1"/>
          <w:iCs w:val="1"/>
          <w:color w:val="auto"/>
        </w:rPr>
        <w:t>Asset Acquisitions</w:t>
      </w:r>
      <w:r>
        <w:rPr>
          <w:rFonts w:ascii="Arial" w:cs="Arial" w:eastAsia="Arial" w:hAnsi="Arial"/>
          <w:sz w:val="14"/>
          <w:szCs w:val="14"/>
          <w:color w:val="auto"/>
        </w:rPr>
        <w:t>—For acquisitions that are not deemed to be businesses, the assets acquired are recognized based on their cost to the Company as the</w:t>
      </w:r>
      <w:r>
        <w:rPr>
          <w:rFonts w:ascii="Arial" w:cs="Arial" w:eastAsia="Arial" w:hAnsi="Arial"/>
          <w:sz w:val="14"/>
          <w:szCs w:val="14"/>
          <w:i w:val="1"/>
          <w:iCs w:val="1"/>
          <w:color w:val="auto"/>
        </w:rPr>
        <w:t xml:space="preserve"> </w:t>
      </w:r>
      <w:r>
        <w:rPr>
          <w:rFonts w:ascii="Arial" w:cs="Arial" w:eastAsia="Arial" w:hAnsi="Arial"/>
          <w:sz w:val="14"/>
          <w:szCs w:val="14"/>
          <w:color w:val="auto"/>
        </w:rPr>
        <w:t>acquirer and no gain or loss is recognized. The cost of assets acquired in a group is allocated to individual assets within the group based on their relative fair values and does not give rise to goodwill. Transaction costs related to acquisition of assets are included in the cost basis of the assets acquired.</w:t>
      </w:r>
    </w:p>
    <w:p>
      <w:pPr>
        <w:spacing w:after="0" w:line="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4"/>
          <w:szCs w:val="14"/>
          <w:i w:val="1"/>
          <w:iCs w:val="1"/>
          <w:color w:val="auto"/>
        </w:rPr>
        <w:t>Business Combinations</w:t>
      </w:r>
      <w:r>
        <w:rPr>
          <w:rFonts w:ascii="Arial" w:cs="Arial" w:eastAsia="Arial" w:hAnsi="Arial"/>
          <w:sz w:val="14"/>
          <w:szCs w:val="14"/>
          <w:color w:val="auto"/>
        </w:rPr>
        <w:t>—The Company accounts for acquisitions that qualify as business combinations by applying the acquisition method. Transaction costs</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to acquisition of a business are expensed as incurred and excluded from the fair value of consideration transferred.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43" w:lineRule="exact"/>
        <w:rPr>
          <w:sz w:val="20"/>
          <w:szCs w:val="20"/>
          <w:color w:val="auto"/>
        </w:rPr>
      </w:pPr>
    </w:p>
    <w:p>
      <w:pPr>
        <w:ind w:right="140" w:firstLine="351"/>
        <w:spacing w:after="0" w:line="299" w:lineRule="auto"/>
        <w:rPr>
          <w:sz w:val="20"/>
          <w:szCs w:val="20"/>
          <w:color w:val="auto"/>
        </w:rPr>
      </w:pPr>
      <w:r>
        <w:rPr>
          <w:rFonts w:ascii="Arial" w:cs="Arial" w:eastAsia="Arial" w:hAnsi="Arial"/>
          <w:sz w:val="14"/>
          <w:szCs w:val="14"/>
          <w:i w:val="1"/>
          <w:iCs w:val="1"/>
          <w:color w:val="auto"/>
        </w:rPr>
        <w:t>Contingent Consideration</w:t>
      </w:r>
      <w:r>
        <w:rPr>
          <w:rFonts w:ascii="Arial" w:cs="Arial" w:eastAsia="Arial" w:hAnsi="Arial"/>
          <w:sz w:val="14"/>
          <w:szCs w:val="14"/>
          <w:color w:val="auto"/>
        </w:rPr>
        <w:t>—Contingent consideration is classified as a liability or equity, as applicable. Contingent consideration in connection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 of a business or a VIE is measured at fair value on acquisition date, and unless classified as equity, is remeasured at fair value each reporting period thereafter until the consideration is settled, with changes in fair value included in net income. Contingent consideration in connection with the acquisition of assets (and that is not a VIE) is generally recognized when the liability is considered both probable and reasonably estimable, as part of the basis of the acquired assets.</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Discontinued Operations</w:t>
      </w:r>
    </w:p>
    <w:p>
      <w:pPr>
        <w:spacing w:after="0" w:line="115" w:lineRule="exact"/>
        <w:rPr>
          <w:sz w:val="20"/>
          <w:szCs w:val="20"/>
          <w:color w:val="auto"/>
        </w:rPr>
      </w:pPr>
    </w:p>
    <w:p>
      <w:pPr>
        <w:ind w:firstLine="386"/>
        <w:spacing w:after="0" w:line="246" w:lineRule="auto"/>
        <w:rPr>
          <w:sz w:val="20"/>
          <w:szCs w:val="20"/>
          <w:color w:val="auto"/>
        </w:rPr>
      </w:pPr>
      <w:r>
        <w:rPr>
          <w:rFonts w:ascii="Arial" w:cs="Arial" w:eastAsia="Arial" w:hAnsi="Arial"/>
          <w:sz w:val="16"/>
          <w:szCs w:val="16"/>
          <w:color w:val="auto"/>
        </w:rPr>
        <w:t>If the disposition of a component, being an operating or reportable segment, business unit, subsidiary or asset group, represents a strategic shift that has or will have a major effect on the Company’s operations and financial results, the operating profits or losses of the component when classified as held for sale, and the gain or loss upon disposition of the component, are presented as discontinued operations in the statements of operations.</w:t>
      </w:r>
    </w:p>
    <w:p>
      <w:pPr>
        <w:spacing w:after="0" w:line="89" w:lineRule="exact"/>
        <w:rPr>
          <w:sz w:val="20"/>
          <w:szCs w:val="20"/>
          <w:color w:val="auto"/>
        </w:rPr>
      </w:pPr>
    </w:p>
    <w:p>
      <w:pPr>
        <w:ind w:right="520" w:firstLine="386"/>
        <w:spacing w:after="0" w:line="248" w:lineRule="auto"/>
        <w:rPr>
          <w:sz w:val="20"/>
          <w:szCs w:val="20"/>
          <w:color w:val="auto"/>
        </w:rPr>
      </w:pPr>
      <w:r>
        <w:rPr>
          <w:rFonts w:ascii="Arial" w:cs="Arial" w:eastAsia="Arial" w:hAnsi="Arial"/>
          <w:sz w:val="16"/>
          <w:szCs w:val="16"/>
          <w:color w:val="auto"/>
        </w:rPr>
        <w:t>A business or asset group acquired in connection with a business combination that meets the criteria to be accounted for as held for sale at the date of acquisition is reported as discontinued operations, regardless of whether it meets the strategic shift criterion.</w:t>
      </w:r>
    </w:p>
    <w:p>
      <w:pPr>
        <w:spacing w:after="0" w:line="88" w:lineRule="exact"/>
        <w:rPr>
          <w:sz w:val="20"/>
          <w:szCs w:val="20"/>
          <w:color w:val="auto"/>
        </w:rPr>
      </w:pPr>
    </w:p>
    <w:p>
      <w:pPr>
        <w:ind w:right="40" w:firstLine="386"/>
        <w:spacing w:after="0" w:line="285" w:lineRule="auto"/>
        <w:rPr>
          <w:sz w:val="20"/>
          <w:szCs w:val="20"/>
          <w:color w:val="auto"/>
        </w:rPr>
      </w:pPr>
      <w:r>
        <w:rPr>
          <w:rFonts w:ascii="Arial" w:cs="Arial" w:eastAsia="Arial" w:hAnsi="Arial"/>
          <w:sz w:val="14"/>
          <w:szCs w:val="14"/>
          <w:color w:val="auto"/>
        </w:rPr>
        <w:t>The disposition of (i) NRF Holdco in February 2022, (ii) a substantial majority of the OED investments and Other IM business in December 2021, (iii) the hotel business, composed of the Hospitality segment and the THL Hotel Portfolio in March 2021, and (iv) the bulk and light industrial portfolios in December 2020 and December 2019, respectively, all represent strategic shifts that have or are expected to have major effects on the Company’s operations and financial results, and have met the criteria as discontinued operations as of June 2021, March 2021, September 2020, and June 2019, respectively. Accordingly, for all prior periods presented, the related assets and liabilities are presented as assets and liabilities held for disposition on the consolidated balance sheets (Note 11) and the related operating results are presented as income (loss) from discontinued operations on the consolidated statements of operations (Note 12). Discontinued operations in prior periods include investments in the respective segments that have been disposed or otherwise resolved in those periods.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5" w:lineRule="exact"/>
        <w:rPr>
          <w:sz w:val="20"/>
          <w:szCs w:val="20"/>
          <w:color w:val="auto"/>
        </w:rPr>
      </w:pPr>
    </w:p>
    <w:p>
      <w:pPr>
        <w:ind w:right="260" w:firstLine="386"/>
        <w:spacing w:after="0" w:line="248" w:lineRule="auto"/>
        <w:rPr>
          <w:sz w:val="20"/>
          <w:szCs w:val="20"/>
          <w:color w:val="auto"/>
        </w:rPr>
      </w:pPr>
      <w:r>
        <w:rPr>
          <w:rFonts w:ascii="Arial" w:cs="Arial" w:eastAsia="Arial" w:hAnsi="Arial"/>
          <w:sz w:val="16"/>
          <w:szCs w:val="16"/>
          <w:color w:val="auto"/>
        </w:rPr>
        <w:t>Short-term, highly liquid investments with original maturities of three months or less are considered to be cash equivalents. The Company's cash and cash equivalents are held with major financial institutions and may at times exceed federally insured limits.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15" w:lineRule="exact"/>
        <w:rPr>
          <w:sz w:val="20"/>
          <w:szCs w:val="20"/>
          <w:color w:val="auto"/>
        </w:rPr>
      </w:pPr>
    </w:p>
    <w:p>
      <w:pPr>
        <w:ind w:right="180" w:firstLine="351"/>
        <w:spacing w:after="0" w:line="248" w:lineRule="auto"/>
        <w:rPr>
          <w:sz w:val="20"/>
          <w:szCs w:val="20"/>
          <w:color w:val="auto"/>
        </w:rPr>
      </w:pPr>
      <w:r>
        <w:rPr>
          <w:rFonts w:ascii="Arial" w:cs="Arial" w:eastAsia="Arial" w:hAnsi="Arial"/>
          <w:sz w:val="16"/>
          <w:szCs w:val="16"/>
          <w:color w:val="auto"/>
        </w:rPr>
        <w:t>Restricted cash consists primarily of cash reserves maintained pursuant to the governing agreements of the various securitized debt of the Company and its subsidiaries.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Real Estate Assets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Real Estate Acquisitions</w:t>
      </w:r>
    </w:p>
    <w:p>
      <w:pPr>
        <w:spacing w:after="0" w:line="113" w:lineRule="exact"/>
        <w:rPr>
          <w:sz w:val="20"/>
          <w:szCs w:val="20"/>
          <w:color w:val="auto"/>
        </w:rPr>
      </w:pPr>
    </w:p>
    <w:p>
      <w:pPr>
        <w:ind w:right="20" w:firstLine="351"/>
        <w:spacing w:after="0" w:line="286" w:lineRule="auto"/>
        <w:rPr>
          <w:sz w:val="20"/>
          <w:szCs w:val="20"/>
          <w:color w:val="auto"/>
        </w:rPr>
      </w:pPr>
      <w:r>
        <w:rPr>
          <w:rFonts w:ascii="Arial" w:cs="Arial" w:eastAsia="Arial" w:hAnsi="Arial"/>
          <w:sz w:val="14"/>
          <w:szCs w:val="14"/>
          <w:color w:val="auto"/>
        </w:rPr>
        <w:t>Real estate acquisitions are recorded at the fair values of the acquired components at the time of acquisition, allocated among land, building, site and building improvements, infrastructure, equipment, lease-related tangible and intangible assets and liabilities, such as tenant improvements, deferred leasing costs, in-place lease values, above- and below-market lease values, and tenant relationships. The estimated fair value of acquired land is derived from recent comparable sales of land and listings within the same local region based on available market data. The estimated fair value of acquired buildings and building improvements is derived from comparable sales, discounted cash flow analysis using market-based assumptions, or replacement cost for a similar property, as appropriate. The fair value of site and tenant improvements and infrastructure assets are estimated based upon current market replacement costs and other relevant market rate information.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Real Estate Held for Investment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 estate held for investment are carried at cost less accumulated depreciation.</w:t>
      </w:r>
    </w:p>
    <w:p>
      <w:pPr>
        <w:spacing w:after="0" w:line="81" w:lineRule="exact"/>
        <w:rPr>
          <w:sz w:val="20"/>
          <w:szCs w:val="20"/>
          <w:color w:val="auto"/>
        </w:rPr>
      </w:pPr>
    </w:p>
    <w:p>
      <w:pPr>
        <w:ind w:right="100" w:firstLine="386"/>
        <w:spacing w:after="0" w:line="268" w:lineRule="auto"/>
        <w:rPr>
          <w:sz w:val="20"/>
          <w:szCs w:val="20"/>
          <w:color w:val="auto"/>
        </w:rPr>
      </w:pPr>
      <w:r>
        <w:rPr>
          <w:rFonts w:ascii="Arial" w:cs="Arial" w:eastAsia="Arial" w:hAnsi="Arial"/>
          <w:sz w:val="16"/>
          <w:szCs w:val="16"/>
          <w:i w:val="1"/>
          <w:iCs w:val="1"/>
          <w:color w:val="auto"/>
        </w:rPr>
        <w:t>Costs Capitalized or Expensed—</w:t>
      </w:r>
      <w:r>
        <w:rPr>
          <w:rFonts w:ascii="Arial" w:cs="Arial" w:eastAsia="Arial" w:hAnsi="Arial"/>
          <w:sz w:val="16"/>
          <w:szCs w:val="16"/>
          <w:color w:val="auto"/>
        </w:rPr>
        <w:t>Expenditures for ordinary repairs and maintenance are expensed as incurred, while expenditures for significant renovations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improve or extend the useful life of the asset are capitalized and depreciated over their estimated useful lives.</w:t>
      </w:r>
    </w:p>
    <w:p>
      <w:pPr>
        <w:spacing w:after="0" w:line="57" w:lineRule="exact"/>
        <w:rPr>
          <w:sz w:val="20"/>
          <w:szCs w:val="20"/>
          <w:color w:val="auto"/>
        </w:rPr>
      </w:pPr>
    </w:p>
    <w:p>
      <w:pPr>
        <w:ind w:right="440" w:firstLine="421"/>
        <w:spacing w:after="0" w:line="268" w:lineRule="auto"/>
        <w:rPr>
          <w:sz w:val="20"/>
          <w:szCs w:val="20"/>
          <w:color w:val="auto"/>
        </w:rPr>
      </w:pPr>
      <w:r>
        <w:rPr>
          <w:rFonts w:ascii="Arial" w:cs="Arial" w:eastAsia="Arial" w:hAnsi="Arial"/>
          <w:sz w:val="16"/>
          <w:szCs w:val="16"/>
          <w:i w:val="1"/>
          <w:iCs w:val="1"/>
          <w:color w:val="auto"/>
        </w:rPr>
        <w:t>Depreciation—</w:t>
      </w:r>
      <w:r>
        <w:rPr>
          <w:rFonts w:ascii="Arial" w:cs="Arial" w:eastAsia="Arial" w:hAnsi="Arial"/>
          <w:sz w:val="16"/>
          <w:szCs w:val="16"/>
          <w:color w:val="auto"/>
        </w:rPr>
        <w:t>Real estate held for investment, other than land, are depreciated on a straight-line basis over the estimated useful lives of the assets,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00" w:type="dxa"/>
            <w:vAlign w:val="bottom"/>
            <w:tcBorders>
              <w:bottom w:val="single" w:sz="8" w:color="auto"/>
            </w:tcBorders>
          </w:tcPr>
          <w:p>
            <w:pPr>
              <w:ind w:left="1960"/>
              <w:spacing w:after="0"/>
              <w:rPr>
                <w:sz w:val="20"/>
                <w:szCs w:val="20"/>
                <w:color w:val="auto"/>
              </w:rPr>
            </w:pPr>
            <w:r>
              <w:rPr>
                <w:rFonts w:ascii="Arial" w:cs="Arial" w:eastAsia="Arial" w:hAnsi="Arial"/>
                <w:sz w:val="11"/>
                <w:szCs w:val="11"/>
                <w:b w:val="1"/>
                <w:bCs w:val="1"/>
                <w:color w:val="auto"/>
              </w:rPr>
              <w:t>Real Estate Assets</w:t>
            </w:r>
          </w:p>
        </w:tc>
        <w:tc>
          <w:tcPr>
            <w:tcW w:w="100" w:type="dxa"/>
            <w:vAlign w:val="bottom"/>
            <w:tcBorders>
              <w:bottom w:val="single" w:sz="8" w:color="CCEEFF"/>
            </w:tcBorders>
          </w:tcPr>
          <w:p>
            <w:pPr>
              <w:spacing w:after="0"/>
              <w:rPr>
                <w:sz w:val="13"/>
                <w:szCs w:val="13"/>
                <w:color w:val="auto"/>
              </w:rPr>
            </w:pPr>
          </w:p>
        </w:tc>
        <w:tc>
          <w:tcPr>
            <w:tcW w:w="6260" w:type="dxa"/>
            <w:vAlign w:val="bottom"/>
            <w:tcBorders>
              <w:bottom w:val="single" w:sz="8" w:color="auto"/>
            </w:tcBorders>
          </w:tcPr>
          <w:p>
            <w:pPr>
              <w:ind w:left="3000"/>
              <w:spacing w:after="0"/>
              <w:rPr>
                <w:sz w:val="20"/>
                <w:szCs w:val="20"/>
                <w:color w:val="auto"/>
              </w:rPr>
            </w:pPr>
            <w:r>
              <w:rPr>
                <w:rFonts w:ascii="Arial" w:cs="Arial" w:eastAsia="Arial" w:hAnsi="Arial"/>
                <w:sz w:val="11"/>
                <w:szCs w:val="11"/>
                <w:b w:val="1"/>
                <w:bCs w:val="1"/>
                <w:color w:val="auto"/>
              </w:rPr>
              <w:t>Term</w:t>
            </w:r>
          </w:p>
        </w:tc>
      </w:tr>
      <w:tr>
        <w:trPr>
          <w:trHeight w:val="186"/>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Site improvements</w:t>
            </w:r>
          </w:p>
        </w:tc>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 to 40 years</w:t>
            </w:r>
          </w:p>
        </w:tc>
      </w:tr>
      <w:tr>
        <w:trPr>
          <w:trHeight w:val="185"/>
        </w:trPr>
        <w:tc>
          <w:tcPr>
            <w:tcW w:w="5000" w:type="dxa"/>
            <w:vAlign w:val="bottom"/>
            <w:gridSpan w:val="2"/>
          </w:tcPr>
          <w:p>
            <w:pPr>
              <w:spacing w:after="0"/>
              <w:rPr>
                <w:sz w:val="20"/>
                <w:szCs w:val="20"/>
                <w:color w:val="auto"/>
              </w:rPr>
            </w:pPr>
            <w:r>
              <w:rPr>
                <w:rFonts w:ascii="Arial" w:cs="Arial" w:eastAsia="Arial" w:hAnsi="Arial"/>
                <w:sz w:val="14"/>
                <w:szCs w:val="14"/>
                <w:color w:val="auto"/>
              </w:rPr>
              <w:t>Building</w:t>
            </w:r>
          </w:p>
        </w:tc>
        <w:tc>
          <w:tcPr>
            <w:tcW w:w="6260" w:type="dxa"/>
            <w:vAlign w:val="bottom"/>
          </w:tcPr>
          <w:p>
            <w:pPr>
              <w:ind w:left="20"/>
              <w:spacing w:after="0"/>
              <w:rPr>
                <w:sz w:val="20"/>
                <w:szCs w:val="20"/>
                <w:color w:val="auto"/>
              </w:rPr>
            </w:pPr>
            <w:r>
              <w:rPr>
                <w:rFonts w:ascii="Arial" w:cs="Arial" w:eastAsia="Arial" w:hAnsi="Arial"/>
                <w:sz w:val="14"/>
                <w:szCs w:val="14"/>
                <w:color w:val="auto"/>
              </w:rPr>
              <w:t>5 to 50 years</w:t>
            </w:r>
          </w:p>
        </w:tc>
      </w:tr>
      <w:tr>
        <w:trPr>
          <w:trHeight w:val="189"/>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 improvements</w:t>
            </w:r>
          </w:p>
        </w:tc>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 to 40 years</w:t>
            </w:r>
          </w:p>
        </w:tc>
      </w:tr>
      <w:tr>
        <w:trPr>
          <w:trHeight w:val="185"/>
        </w:trPr>
        <w:tc>
          <w:tcPr>
            <w:tcW w:w="5000" w:type="dxa"/>
            <w:vAlign w:val="bottom"/>
            <w:gridSpan w:val="2"/>
          </w:tcPr>
          <w:p>
            <w:pPr>
              <w:spacing w:after="0"/>
              <w:rPr>
                <w:sz w:val="20"/>
                <w:szCs w:val="20"/>
                <w:color w:val="auto"/>
              </w:rPr>
            </w:pPr>
            <w:r>
              <w:rPr>
                <w:rFonts w:ascii="Arial" w:cs="Arial" w:eastAsia="Arial" w:hAnsi="Arial"/>
                <w:sz w:val="14"/>
                <w:szCs w:val="14"/>
                <w:color w:val="auto"/>
              </w:rPr>
              <w:t>Tenant improvements</w:t>
            </w:r>
          </w:p>
        </w:tc>
        <w:tc>
          <w:tcPr>
            <w:tcW w:w="6260" w:type="dxa"/>
            <w:vAlign w:val="bottom"/>
          </w:tcPr>
          <w:p>
            <w:pPr>
              <w:ind w:left="20"/>
              <w:spacing w:after="0"/>
              <w:rPr>
                <w:sz w:val="20"/>
                <w:szCs w:val="20"/>
                <w:color w:val="auto"/>
              </w:rPr>
            </w:pPr>
            <w:r>
              <w:rPr>
                <w:rFonts w:ascii="Arial" w:cs="Arial" w:eastAsia="Arial" w:hAnsi="Arial"/>
                <w:sz w:val="14"/>
                <w:szCs w:val="14"/>
                <w:color w:val="auto"/>
              </w:rPr>
              <w:t>Lesser of useful life or remaining term of lease</w:t>
            </w:r>
          </w:p>
        </w:tc>
      </w:tr>
      <w:tr>
        <w:trPr>
          <w:trHeight w:val="189"/>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Data center infrastructure</w:t>
            </w:r>
          </w:p>
        </w:tc>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to 20 years</w:t>
            </w:r>
          </w:p>
        </w:tc>
      </w:tr>
      <w:tr>
        <w:trPr>
          <w:trHeight w:val="182"/>
        </w:trPr>
        <w:tc>
          <w:tcPr>
            <w:tcW w:w="5000" w:type="dxa"/>
            <w:vAlign w:val="bottom"/>
            <w:gridSpan w:val="2"/>
          </w:tcPr>
          <w:p>
            <w:pPr>
              <w:spacing w:after="0"/>
              <w:rPr>
                <w:sz w:val="20"/>
                <w:szCs w:val="20"/>
                <w:color w:val="auto"/>
              </w:rPr>
            </w:pPr>
            <w:r>
              <w:rPr>
                <w:rFonts w:ascii="Arial" w:cs="Arial" w:eastAsia="Arial" w:hAnsi="Arial"/>
                <w:sz w:val="14"/>
                <w:szCs w:val="14"/>
                <w:color w:val="auto"/>
              </w:rPr>
              <w:t>Furniture, fixtures and equipment</w:t>
            </w:r>
          </w:p>
        </w:tc>
        <w:tc>
          <w:tcPr>
            <w:tcW w:w="6260" w:type="dxa"/>
            <w:vAlign w:val="bottom"/>
          </w:tcPr>
          <w:p>
            <w:pPr>
              <w:ind w:left="20"/>
              <w:spacing w:after="0"/>
              <w:rPr>
                <w:sz w:val="20"/>
                <w:szCs w:val="20"/>
                <w:color w:val="auto"/>
              </w:rPr>
            </w:pPr>
            <w:r>
              <w:rPr>
                <w:rFonts w:ascii="Arial" w:cs="Arial" w:eastAsia="Arial" w:hAnsi="Arial"/>
                <w:sz w:val="14"/>
                <w:szCs w:val="14"/>
                <w:color w:val="auto"/>
              </w:rPr>
              <w:t>1 to 8 years</w:t>
            </w:r>
          </w:p>
        </w:tc>
      </w:tr>
    </w:tbl>
    <w:p>
      <w:pPr>
        <w:spacing w:after="0" w:line="199" w:lineRule="exact"/>
        <w:rPr>
          <w:sz w:val="20"/>
          <w:szCs w:val="20"/>
          <w:color w:val="auto"/>
        </w:rPr>
      </w:pPr>
    </w:p>
    <w:p>
      <w:pPr>
        <w:ind w:right="60" w:firstLine="386"/>
        <w:spacing w:after="0" w:line="246" w:lineRule="auto"/>
        <w:rPr>
          <w:sz w:val="20"/>
          <w:szCs w:val="20"/>
          <w:color w:val="auto"/>
        </w:rPr>
      </w:pPr>
      <w:r>
        <w:rPr>
          <w:rFonts w:ascii="Arial" w:cs="Arial" w:eastAsia="Arial" w:hAnsi="Arial"/>
          <w:sz w:val="16"/>
          <w:szCs w:val="16"/>
          <w:i w:val="1"/>
          <w:iCs w:val="1"/>
          <w:color w:val="auto"/>
        </w:rPr>
        <w:t>Impairment</w:t>
      </w:r>
      <w:r>
        <w:rPr>
          <w:rFonts w:ascii="Arial" w:cs="Arial" w:eastAsia="Arial" w:hAnsi="Arial"/>
          <w:sz w:val="16"/>
          <w:szCs w:val="16"/>
          <w:color w:val="auto"/>
        </w:rPr>
        <w:t>—The Company evaluates its real estate held for investment for impairment periodically or whenever events or changes in circumstances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amounts may not be recoverable. The Company evaluates real estate for impairment generally on an individual property basis. If an impairment indicator exists, the Company evaluates the undiscounted future net cash flows that are expected to be generated by the property, including any estimated proceeds from the eventual disposition of the property. If multiple outcomes are under consideration, the Company may apply either a probability-weighted cash flows approach or the single-most-likely estimate of cash flows approach, whichever is more appropriate under the circumstances. Based upon the analysis, if the carrying value of a property exceeds its undiscounted future net cash flows, an impairment loss is recognized for the excess of the carrying value of the property over the estimated fair value of the property. In evaluating and/or measuring impairment, the Company considers, among other things, current and estimated future cash flows associated with each property for the duration of the estimated hold period of each property, market information for each sub-market, including, where applicable, competition levels, foreclosure levels, leasing trends, occupancy trends, lease or room rates, and the market prices of similar properties recently sold or currently being offered for sale, expected capitalization rates at exit, and other quantitative and qualitative factors. Another key consideration in this assessment is the Company's assumptions about the highest and best use of its real estate investments and its intent and ability to hold them for a reasonable period that would allow for the recovery of their carrying values. If such assumptions change and the Company shortens its expected hold period, this may result in the recognition of impairment losses.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Real Estate Held for Disposition</w:t>
      </w:r>
    </w:p>
    <w:p>
      <w:pPr>
        <w:spacing w:after="0" w:line="113" w:lineRule="exact"/>
        <w:rPr>
          <w:sz w:val="20"/>
          <w:szCs w:val="20"/>
          <w:color w:val="auto"/>
        </w:rPr>
      </w:pPr>
    </w:p>
    <w:p>
      <w:pPr>
        <w:ind w:right="240" w:firstLine="386"/>
        <w:spacing w:after="0" w:line="246" w:lineRule="auto"/>
        <w:rPr>
          <w:sz w:val="20"/>
          <w:szCs w:val="20"/>
          <w:color w:val="auto"/>
        </w:rPr>
      </w:pPr>
      <w:r>
        <w:rPr>
          <w:rFonts w:ascii="Arial" w:cs="Arial" w:eastAsia="Arial" w:hAnsi="Arial"/>
          <w:sz w:val="16"/>
          <w:szCs w:val="16"/>
          <w:color w:val="auto"/>
        </w:rPr>
        <w:t>Real estate is classified as held for disposition in the period when (i) management approves a plan to sell the asset, (ii) the asset is available for immediate sale in its present condition, subject only to usual and customary terms, (iii) a program is initiated to locate a buyer and actively market the asset for sale at a reasonable price, and (iv) completion of the sale is probable within one year.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386"/>
        <w:spacing w:after="0" w:line="291" w:lineRule="auto"/>
        <w:rPr>
          <w:sz w:val="20"/>
          <w:szCs w:val="20"/>
          <w:color w:val="auto"/>
        </w:rPr>
      </w:pPr>
      <w:r>
        <w:rPr>
          <w:rFonts w:ascii="Arial" w:cs="Arial" w:eastAsia="Arial" w:hAnsi="Arial"/>
          <w:sz w:val="14"/>
          <w:szCs w:val="14"/>
          <w:color w:val="auto"/>
        </w:rPr>
        <w:t>Real estate held for disposition is stated at the lower of its carrying amount or estimated fair value less disposal cost, with any write-down to fair value less disposal cost recorded as an impairment loss. For any increase in fair value less disposal cost subsequent to classification as held for disposition, the impairment loss may be reversed, but only up to the amount of cumulative loss previously recognized. Depreciation is not recorded on assets classified as held for disposition. At the time a sale is consummated, the excess, if any, of sale price less selling costs over carrying value of the real estate is recognized as a gain.</w:t>
      </w:r>
    </w:p>
    <w:p>
      <w:pPr>
        <w:spacing w:after="0" w:line="61" w:lineRule="exact"/>
        <w:rPr>
          <w:sz w:val="20"/>
          <w:szCs w:val="20"/>
          <w:color w:val="auto"/>
        </w:rPr>
      </w:pPr>
    </w:p>
    <w:p>
      <w:pPr>
        <w:ind w:firstLine="386"/>
        <w:spacing w:after="0" w:line="245" w:lineRule="auto"/>
        <w:rPr>
          <w:sz w:val="20"/>
          <w:szCs w:val="20"/>
          <w:color w:val="auto"/>
        </w:rPr>
      </w:pPr>
      <w:r>
        <w:rPr>
          <w:rFonts w:ascii="Arial" w:cs="Arial" w:eastAsia="Arial" w:hAnsi="Arial"/>
          <w:sz w:val="16"/>
          <w:szCs w:val="16"/>
          <w:color w:val="auto"/>
        </w:rPr>
        <w:t>If circumstances arise that were previously considered unlikely and, as a result, the Company decides not to sell the real estate asset previously classified as held for disposition, the real estate asset is reclassified as held for investment. Upon reclassification, the real estate asset is measured at the lower of (i) its carrying amount prior to classification as held for disposition, adjusted for depreciation expense that would have been recognized had the real estate been continuously classified as held for investment, or (ii) its estimated fair value at the time the Company decides not to sell.</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Foreclosed Properties</w:t>
      </w:r>
    </w:p>
    <w:p>
      <w:pPr>
        <w:spacing w:after="0" w:line="113" w:lineRule="exact"/>
        <w:rPr>
          <w:sz w:val="20"/>
          <w:szCs w:val="20"/>
          <w:color w:val="auto"/>
        </w:rPr>
      </w:pPr>
    </w:p>
    <w:p>
      <w:pPr>
        <w:ind w:right="60" w:firstLine="386"/>
        <w:spacing w:after="0" w:line="244" w:lineRule="auto"/>
        <w:rPr>
          <w:sz w:val="20"/>
          <w:szCs w:val="20"/>
          <w:color w:val="auto"/>
        </w:rPr>
      </w:pPr>
      <w:r>
        <w:rPr>
          <w:rFonts w:ascii="Arial" w:cs="Arial" w:eastAsia="Arial" w:hAnsi="Arial"/>
          <w:sz w:val="16"/>
          <w:szCs w:val="16"/>
          <w:color w:val="auto"/>
        </w:rPr>
        <w:t>The Company may receive foreclosed properties in full or partial settlement of loans receivable by taking legal title or physical possession of the properties. Foreclosed properties are generally recognized at the time the real estate is received at foreclosure sale or upon execution of a deed in lieu of foreclosure. Foreclosed properties are initially measured at fair value. If the fair value of the property is lower than the carrying value of the loan, the difference is recognized as provision for loan loss and the cumulative loss allowance on the loan is charged off. The Company periodically evaluates foreclosed properties for subsequent decrease in fair value which is recorded as additional impairment loss. Fair value of foreclosed properties is generally based on third party appraisals, broker price opinions, comparable sales or a combination thereof.</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Loans Receivable</w:t>
      </w:r>
    </w:p>
    <w:p>
      <w:pPr>
        <w:spacing w:after="0" w:line="115" w:lineRule="exact"/>
        <w:rPr>
          <w:sz w:val="20"/>
          <w:szCs w:val="20"/>
          <w:color w:val="auto"/>
        </w:rPr>
      </w:pPr>
    </w:p>
    <w:p>
      <w:pPr>
        <w:ind w:right="120" w:firstLine="386"/>
        <w:spacing w:after="0" w:line="248" w:lineRule="auto"/>
        <w:rPr>
          <w:sz w:val="20"/>
          <w:szCs w:val="20"/>
          <w:color w:val="auto"/>
        </w:rPr>
      </w:pPr>
      <w:r>
        <w:rPr>
          <w:rFonts w:ascii="Arial" w:cs="Arial" w:eastAsia="Arial" w:hAnsi="Arial"/>
          <w:sz w:val="16"/>
          <w:szCs w:val="16"/>
          <w:color w:val="auto"/>
        </w:rPr>
        <w:t>Loans that the Company has the intent and ability to hold for the foreseeable future are classified as held for investment. Loans that the Company intends to sell or liquidate in the foreseeable future are classified as held for disposition.</w:t>
      </w:r>
    </w:p>
    <w:p>
      <w:pPr>
        <w:spacing w:after="0" w:line="88" w:lineRule="exact"/>
        <w:rPr>
          <w:sz w:val="20"/>
          <w:szCs w:val="20"/>
          <w:color w:val="auto"/>
        </w:rPr>
      </w:pPr>
    </w:p>
    <w:p>
      <w:pPr>
        <w:ind w:right="160" w:firstLine="386"/>
        <w:spacing w:after="0" w:line="245" w:lineRule="auto"/>
        <w:rPr>
          <w:sz w:val="20"/>
          <w:szCs w:val="20"/>
          <w:color w:val="auto"/>
        </w:rPr>
      </w:pPr>
      <w:r>
        <w:rPr>
          <w:rFonts w:ascii="Arial" w:cs="Arial" w:eastAsia="Arial" w:hAnsi="Arial"/>
          <w:sz w:val="16"/>
          <w:szCs w:val="16"/>
          <w:color w:val="auto"/>
        </w:rPr>
        <w:t>Interest income is recognized based upon contractual interest rate and unpaid principal balance of the loans. Loans that are past due 90 days or more as to principal or interest, or where reasonable doubt exists as to timely collection, are generally considered nonperforming, with reversal of interest income and suspension of interest income recognition. Recognition of interest income may be restored when all principal and interest are current and full repayment of the remaining contractual principal and interest are reasonably assured.</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Effective January 1, 2020, the Company elected the fair value option for all loans receivable.</w:t>
      </w:r>
    </w:p>
    <w:p>
      <w:pPr>
        <w:spacing w:after="0" w:line="97" w:lineRule="exact"/>
        <w:rPr>
          <w:sz w:val="20"/>
          <w:szCs w:val="20"/>
          <w:color w:val="auto"/>
        </w:rPr>
      </w:pPr>
    </w:p>
    <w:p>
      <w:pPr>
        <w:jc w:val="both"/>
        <w:ind w:right="100" w:firstLine="386"/>
        <w:spacing w:after="0" w:line="245" w:lineRule="auto"/>
        <w:rPr>
          <w:sz w:val="20"/>
          <w:szCs w:val="20"/>
          <w:color w:val="auto"/>
        </w:rPr>
      </w:pPr>
      <w:r>
        <w:rPr>
          <w:rFonts w:ascii="Arial" w:cs="Arial" w:eastAsia="Arial" w:hAnsi="Arial"/>
          <w:sz w:val="16"/>
          <w:szCs w:val="16"/>
          <w:color w:val="auto"/>
        </w:rPr>
        <w:t>Loan fair values are generally determined either: by comparing the current yield to the estimated yield of newly originated loans with similar credit risk or the market yield at which a third party might expect to purchase such investment; or based upon discounted cash flow projections of principal and interest expected to be collected, which projections include, but are not limited to, consideration of the financial standing of the borrower or sponsor as well as operating results and/or value of the underlying collateral.</w:t>
      </w:r>
    </w:p>
    <w:p>
      <w:pPr>
        <w:spacing w:after="0" w:line="91" w:lineRule="exact"/>
        <w:rPr>
          <w:sz w:val="20"/>
          <w:szCs w:val="20"/>
          <w:color w:val="auto"/>
        </w:rPr>
      </w:pPr>
    </w:p>
    <w:p>
      <w:pPr>
        <w:ind w:right="280" w:firstLine="386"/>
        <w:spacing w:after="0" w:line="248" w:lineRule="auto"/>
        <w:rPr>
          <w:sz w:val="20"/>
          <w:szCs w:val="20"/>
          <w:color w:val="auto"/>
        </w:rPr>
      </w:pPr>
      <w:r>
        <w:rPr>
          <w:rFonts w:ascii="Arial" w:cs="Arial" w:eastAsia="Arial" w:hAnsi="Arial"/>
          <w:sz w:val="16"/>
          <w:szCs w:val="16"/>
          <w:color w:val="auto"/>
        </w:rPr>
        <w:t>For loans that are nonperforming where recognition of interest income is suspended, any interest subsequently collected is recognized on a cash basis by crediting income when received.</w:t>
      </w:r>
    </w:p>
    <w:p>
      <w:pPr>
        <w:spacing w:after="0" w:line="88" w:lineRule="exact"/>
        <w:rPr>
          <w:sz w:val="20"/>
          <w:szCs w:val="20"/>
          <w:color w:val="auto"/>
        </w:rPr>
      </w:pPr>
    </w:p>
    <w:p>
      <w:pPr>
        <w:ind w:right="320" w:firstLine="386"/>
        <w:spacing w:after="0" w:line="248" w:lineRule="auto"/>
        <w:rPr>
          <w:sz w:val="20"/>
          <w:szCs w:val="20"/>
          <w:color w:val="auto"/>
        </w:rPr>
      </w:pPr>
      <w:r>
        <w:rPr>
          <w:rFonts w:ascii="Arial" w:cs="Arial" w:eastAsia="Arial" w:hAnsi="Arial"/>
          <w:sz w:val="16"/>
          <w:szCs w:val="16"/>
          <w:color w:val="auto"/>
        </w:rPr>
        <w:t>Origination and other fees charged to the borrower are recognized immediately as interest income when earned. Costs to originate or purchase loans are expensed as incurred.</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5" w:lineRule="exact"/>
        <w:rPr>
          <w:sz w:val="20"/>
          <w:szCs w:val="20"/>
          <w:color w:val="auto"/>
        </w:rPr>
      </w:pPr>
    </w:p>
    <w:p>
      <w:pPr>
        <w:ind w:firstLine="386"/>
        <w:spacing w:after="0" w:line="245" w:lineRule="auto"/>
        <w:rPr>
          <w:sz w:val="20"/>
          <w:szCs w:val="20"/>
          <w:color w:val="auto"/>
        </w:rPr>
      </w:pPr>
      <w:r>
        <w:rPr>
          <w:rFonts w:ascii="Arial" w:cs="Arial" w:eastAsia="Arial" w:hAnsi="Arial"/>
          <w:sz w:val="16"/>
          <w:szCs w:val="16"/>
          <w:color w:val="auto"/>
        </w:rPr>
        <w:t>A noncontrolling, unconsolidated ownership interest in an entity may be accounted for using one of: (i) equity method where applicable; (ii) fair value option if elected; (iii) fair value through earnings if fair value is readily determinable, including election of net asset value ("NAV") practical expedient where applicable; or (iv) for equity investments without readily determinable fair values, the measurement alternative to measure at cost adjusted for any impairment and observable price changes, as applicable.</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Marketable equity securities are recorded as of trade date. Dividend income is recognized on the ex-dividend date and is included in other income.</w:t>
      </w:r>
    </w:p>
    <w:p>
      <w:pPr>
        <w:spacing w:after="0" w:line="97" w:lineRule="exact"/>
        <w:rPr>
          <w:sz w:val="20"/>
          <w:szCs w:val="20"/>
          <w:color w:val="auto"/>
        </w:rPr>
      </w:pPr>
    </w:p>
    <w:p>
      <w:pPr>
        <w:jc w:val="both"/>
        <w:ind w:right="320" w:firstLine="351"/>
        <w:spacing w:after="0" w:line="317" w:lineRule="auto"/>
        <w:rPr>
          <w:sz w:val="20"/>
          <w:szCs w:val="20"/>
          <w:color w:val="auto"/>
        </w:rPr>
      </w:pPr>
      <w:r>
        <w:rPr>
          <w:rFonts w:ascii="Arial" w:cs="Arial" w:eastAsia="Arial" w:hAnsi="Arial"/>
          <w:sz w:val="14"/>
          <w:szCs w:val="14"/>
          <w:color w:val="auto"/>
        </w:rPr>
        <w:t>Fair value changes of equity method investments under the fair value option are recorded in earnings (losses) from equity method investments. Fair value changes of other equity investments, including adjustments for observable price changes under the measurement alternative, are recorded in other gain (loss).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Equity Method Investments</w:t>
      </w:r>
    </w:p>
    <w:p>
      <w:pPr>
        <w:spacing w:after="0" w:line="113" w:lineRule="exact"/>
        <w:rPr>
          <w:sz w:val="20"/>
          <w:szCs w:val="20"/>
          <w:color w:val="auto"/>
        </w:rPr>
      </w:pPr>
    </w:p>
    <w:p>
      <w:pPr>
        <w:ind w:right="120" w:firstLine="386"/>
        <w:spacing w:after="0" w:line="285" w:lineRule="auto"/>
        <w:rPr>
          <w:sz w:val="20"/>
          <w:szCs w:val="20"/>
          <w:color w:val="auto"/>
        </w:rPr>
      </w:pPr>
      <w:r>
        <w:rPr>
          <w:rFonts w:ascii="Arial" w:cs="Arial" w:eastAsia="Arial" w:hAnsi="Arial"/>
          <w:sz w:val="14"/>
          <w:szCs w:val="14"/>
          <w:color w:val="auto"/>
        </w:rPr>
        <w:t>The Company accounts for investments under the equity method of accounting if it has the ability to exercise significant influence over the operating and financial policies of an entity, but does not have a controlling financial interest. The equity method investment is initially recorded at cost and adjusted each period for capital contributions, distributions and the Company's share of the entity’s net income or loss as well as other comprehensive income or loss. The Company's share of net income or loss may differ from the stated ownership percentage interest in an entity if the governing documents prescribe a substantive non-proportionate earnings allocation formula or a preferred return to certain investors. For certain equity method investments, the Company records its proportionate share of income on a one to three month lag. Distributions of operating profits from equity method investments are reported as operating activities, while distributions in excess of operating profits are reported as investing activities in the statement of cash flows under the cumulative earnings approach.</w:t>
      </w:r>
    </w:p>
    <w:p>
      <w:pPr>
        <w:spacing w:after="0" w:line="49" w:lineRule="exact"/>
        <w:rPr>
          <w:sz w:val="20"/>
          <w:szCs w:val="20"/>
          <w:color w:val="auto"/>
        </w:rPr>
      </w:pPr>
    </w:p>
    <w:p>
      <w:pPr>
        <w:ind w:right="20" w:firstLine="351"/>
        <w:spacing w:after="0" w:line="247" w:lineRule="auto"/>
        <w:rPr>
          <w:sz w:val="20"/>
          <w:szCs w:val="20"/>
          <w:color w:val="auto"/>
        </w:rPr>
      </w:pPr>
      <w:r>
        <w:rPr>
          <w:rFonts w:ascii="Arial" w:cs="Arial" w:eastAsia="Arial" w:hAnsi="Arial"/>
          <w:sz w:val="16"/>
          <w:szCs w:val="16"/>
          <w:i w:val="1"/>
          <w:iCs w:val="1"/>
          <w:color w:val="auto"/>
        </w:rPr>
        <w:t>Carried Interest</w:t>
      </w:r>
      <w:r>
        <w:rPr>
          <w:rFonts w:ascii="Arial" w:cs="Arial" w:eastAsia="Arial" w:hAnsi="Arial"/>
          <w:sz w:val="16"/>
          <w:szCs w:val="16"/>
          <w:color w:val="auto"/>
        </w:rPr>
        <w:t>—The Company's equity method investments include its interests as general partner or equivalent in investment vehicles that it sponsors.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recognizes earnings based on its proportionate share of results from these investment vehicles and a disproportionate allocation of returns based on the extent to which cumulative performance exceeds minimum return hurdles pursuant to terms of their respective governing agreements (“carried interests”). To the extent the investment vehicles qualify for investment company accounting, their underlying results and consequently, the calculation of carried interests, reflect changes in fair value of their investments each period. The amount of carried interest recognized based on the cumulative performance of each investment vehicle if it were liquidated as of the reporting date may be subject to reversal until such time the carried interest, if any, is realized. Realization of carried interest generally occurs upon disposition of all underlying investments of an investment vehicle, or in part with each disposition, pursuant to the governing documents of the investment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-475615</wp:posOffset>
            </wp:positionV>
            <wp:extent cx="2222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225" cy="111125"/>
                    </a:xfrm>
                    <a:prstGeom prst="rect">
                      <a:avLst/>
                    </a:prstGeom>
                    <a:noFill/>
                  </pic:spPr>
                </pic:pic>
              </a:graphicData>
            </a:graphic>
          </wp:anchor>
        </w:drawing>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Impairment</w:t>
      </w:r>
    </w:p>
    <w:p>
      <w:pPr>
        <w:spacing w:after="0" w:line="113" w:lineRule="exact"/>
        <w:rPr>
          <w:sz w:val="20"/>
          <w:szCs w:val="20"/>
          <w:color w:val="auto"/>
        </w:rPr>
      </w:pPr>
    </w:p>
    <w:p>
      <w:pPr>
        <w:ind w:right="180" w:firstLine="351"/>
        <w:spacing w:after="0" w:line="245" w:lineRule="auto"/>
        <w:rPr>
          <w:sz w:val="20"/>
          <w:szCs w:val="20"/>
          <w:color w:val="auto"/>
        </w:rPr>
      </w:pPr>
      <w:r>
        <w:rPr>
          <w:rFonts w:ascii="Arial" w:cs="Arial" w:eastAsia="Arial" w:hAnsi="Arial"/>
          <w:sz w:val="16"/>
          <w:szCs w:val="16"/>
          <w:color w:val="auto"/>
        </w:rPr>
        <w:t>Evaluation of impairment applies to equity method investments and equity investments under the measurement alternative. If indicators of impairment exist, the Company will first estimate the fair value of its investment. In assessing fair value, the Company generally considers, among others, the estimated enterprise value of the investee or fair value of the investee's underlying net assets, including net cash flows to be generated by the investee as applicable, and for equity method investees with publicly traded equity, the traded price of the equity securities in an active market.</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investments under the measurement alternative, if carrying value of the investment exceeds its fair value, an impairment is deemed to have occurred.</w:t>
      </w:r>
    </w:p>
    <w:p>
      <w:pPr>
        <w:spacing w:after="0" w:line="97"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For equity method investments, further consideration is made if a decrease in value of the investment is other-than-temporary to determine if impairment loss should be recognized. Assessment of other-than-temporary impairment ("OTTI") involves management judgment, including, but not limited to, consideration of the investee’s financial condition, operating results, business prospects and creditworthiness, the Company's ability and intent to hold the investment until recovery of its carrying value, or a significant and prolonged decline in traded price of the investee’s equity security. If management is unable to reasonably assert that an impairment is temporary or believes that the Company may not fully recover the carrying value of its investment, then the impairment is considered to be other-than-temporary.</w:t>
      </w:r>
    </w:p>
    <w:p>
      <w:pPr>
        <w:spacing w:after="0" w:line="94" w:lineRule="exact"/>
        <w:rPr>
          <w:sz w:val="20"/>
          <w:szCs w:val="20"/>
          <w:color w:val="auto"/>
        </w:rPr>
      </w:pPr>
    </w:p>
    <w:p>
      <w:pPr>
        <w:ind w:right="100" w:firstLine="351"/>
        <w:spacing w:after="0" w:line="248" w:lineRule="auto"/>
        <w:rPr>
          <w:sz w:val="20"/>
          <w:szCs w:val="20"/>
          <w:color w:val="auto"/>
        </w:rPr>
      </w:pPr>
      <w:r>
        <w:rPr>
          <w:rFonts w:ascii="Arial" w:cs="Arial" w:eastAsia="Arial" w:hAnsi="Arial"/>
          <w:sz w:val="16"/>
          <w:szCs w:val="16"/>
          <w:color w:val="auto"/>
        </w:rPr>
        <w:t>Investments that are other-than-temporarily impaired are written down to their estimated fair value. Impairment loss is recorded in equity method earnings for equity method investments and in other gain (loss) for investments under the measurement alternative.</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Debt Securities</w:t>
      </w:r>
    </w:p>
    <w:p>
      <w:pPr>
        <w:spacing w:after="0" w:line="115" w:lineRule="exact"/>
        <w:rPr>
          <w:sz w:val="20"/>
          <w:szCs w:val="20"/>
          <w:color w:val="auto"/>
        </w:rPr>
      </w:pPr>
    </w:p>
    <w:p>
      <w:pPr>
        <w:ind w:right="140" w:firstLine="351"/>
        <w:spacing w:after="0" w:line="246" w:lineRule="auto"/>
        <w:rPr>
          <w:sz w:val="20"/>
          <w:szCs w:val="20"/>
          <w:color w:val="auto"/>
        </w:rPr>
      </w:pPr>
      <w:r>
        <w:rPr>
          <w:rFonts w:ascii="Arial" w:cs="Arial" w:eastAsia="Arial" w:hAnsi="Arial"/>
          <w:sz w:val="16"/>
          <w:szCs w:val="16"/>
          <w:color w:val="auto"/>
        </w:rPr>
        <w:t>Debt securities are recorded as of the trade date. Debt securities designated as available-for-sale (“AFS”) are carried at fair value with unrealized gains or losses included as a component of other comprehensive income. Upon disposition of AFS debt securities, the cumulative gains or losses in other comprehensive income (loss) that are realized are recognized in other gain (loss), net, on the statement of operations based on specific identification.</w:t>
      </w:r>
    </w:p>
    <w:p>
      <w:pPr>
        <w:spacing w:after="0" w:line="73" w:lineRule="exact"/>
        <w:rPr>
          <w:sz w:val="20"/>
          <w:szCs w:val="20"/>
          <w:color w:val="auto"/>
        </w:rPr>
      </w:pPr>
    </w:p>
    <w:p>
      <w:pPr>
        <w:ind w:right="320" w:firstLine="351"/>
        <w:spacing w:after="0" w:line="268"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—Interest income from debt securities, including stated coupon interest payments and amortization of purchase premiums or discounts, is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using the effective interest method over the expected lives of the debt securities.</w:t>
      </w:r>
    </w:p>
    <w:p>
      <w:pPr>
        <w:spacing w:after="0" w:line="73" w:lineRule="exact"/>
        <w:rPr>
          <w:sz w:val="20"/>
          <w:szCs w:val="20"/>
          <w:color w:val="auto"/>
        </w:rPr>
      </w:pPr>
    </w:p>
    <w:p>
      <w:pPr>
        <w:ind w:firstLine="421"/>
        <w:spacing w:after="0" w:line="245" w:lineRule="auto"/>
        <w:rPr>
          <w:sz w:val="20"/>
          <w:szCs w:val="20"/>
          <w:color w:val="auto"/>
        </w:rPr>
      </w:pPr>
      <w:r>
        <w:rPr>
          <w:rFonts w:ascii="Arial" w:cs="Arial" w:eastAsia="Arial" w:hAnsi="Arial"/>
          <w:sz w:val="16"/>
          <w:szCs w:val="16"/>
          <w:color w:val="auto"/>
        </w:rPr>
        <w:t>For beneficial interests in debt securities that are not of high credit quality (generally credit rating below AA) or that can be contractually settled such that the Company would not recover substantially all of its recorded investment, interest income is recognized as the accretable yield over the life of the securities using the effective yield method. The accretable yield is the excess of current expected cash flows to be collected over the net investment in the security, including the yield accreted to date. The Company evaluates estimated future cash flows expected to be collected on a quarterly basis,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360"/>
        <w:spacing w:after="0" w:line="246" w:lineRule="auto"/>
        <w:rPr>
          <w:sz w:val="20"/>
          <w:szCs w:val="20"/>
          <w:color w:val="auto"/>
        </w:rPr>
      </w:pPr>
      <w:r>
        <w:rPr>
          <w:rFonts w:ascii="Arial" w:cs="Arial" w:eastAsia="Arial" w:hAnsi="Arial"/>
          <w:sz w:val="16"/>
          <w:szCs w:val="16"/>
          <w:color w:val="auto"/>
        </w:rPr>
        <w:t>starting with the first full quarter after acquisition, or earlier if conditions indicating impairment are present. If the cash flows expected to be collected cannot be reasonably estimated, either at acquisition or in subsequent evaluation, the Company may consider placing the securities on nonaccrual, with interest income recognized using the cost recovery method.</w:t>
      </w:r>
    </w:p>
    <w:p>
      <w:pPr>
        <w:spacing w:after="0" w:line="73" w:lineRule="exact"/>
        <w:rPr>
          <w:sz w:val="20"/>
          <w:szCs w:val="20"/>
          <w:color w:val="auto"/>
        </w:rPr>
      </w:pPr>
    </w:p>
    <w:p>
      <w:pPr>
        <w:ind w:firstLine="421"/>
        <w:spacing w:after="0" w:line="268" w:lineRule="auto"/>
        <w:rPr>
          <w:sz w:val="20"/>
          <w:szCs w:val="20"/>
          <w:color w:val="auto"/>
        </w:rPr>
      </w:pPr>
      <w:r>
        <w:rPr>
          <w:rFonts w:ascii="Arial" w:cs="Arial" w:eastAsia="Arial" w:hAnsi="Arial"/>
          <w:sz w:val="16"/>
          <w:szCs w:val="16"/>
          <w:i w:val="1"/>
          <w:iCs w:val="1"/>
          <w:color w:val="auto"/>
        </w:rPr>
        <w:t>Impairment</w:t>
      </w:r>
      <w:r>
        <w:rPr>
          <w:rFonts w:ascii="Arial" w:cs="Arial" w:eastAsia="Arial" w:hAnsi="Arial"/>
          <w:sz w:val="16"/>
          <w:szCs w:val="16"/>
          <w:color w:val="auto"/>
        </w:rPr>
        <w:t>—The Company performs an assessment, at least quarterly, to determine whether its AFS debt securities are considered to be impaired; that is, if</w:t>
      </w:r>
      <w:r>
        <w:rPr>
          <w:rFonts w:ascii="Arial" w:cs="Arial" w:eastAsia="Arial" w:hAnsi="Arial"/>
          <w:sz w:val="16"/>
          <w:szCs w:val="16"/>
          <w:i w:val="1"/>
          <w:iCs w:val="1"/>
          <w:color w:val="auto"/>
        </w:rPr>
        <w:t xml:space="preserve"> </w:t>
      </w:r>
      <w:r>
        <w:rPr>
          <w:rFonts w:ascii="Arial" w:cs="Arial" w:eastAsia="Arial" w:hAnsi="Arial"/>
          <w:sz w:val="16"/>
          <w:szCs w:val="16"/>
          <w:color w:val="auto"/>
        </w:rPr>
        <w:t>their fair value is less than their amortized cost basis.</w:t>
      </w:r>
    </w:p>
    <w:p>
      <w:pPr>
        <w:spacing w:after="0" w:line="73" w:lineRule="exact"/>
        <w:rPr>
          <w:sz w:val="20"/>
          <w:szCs w:val="20"/>
          <w:color w:val="auto"/>
        </w:rPr>
      </w:pPr>
    </w:p>
    <w:p>
      <w:pPr>
        <w:ind w:right="240" w:firstLine="421"/>
        <w:spacing w:after="0" w:line="317" w:lineRule="auto"/>
        <w:rPr>
          <w:sz w:val="20"/>
          <w:szCs w:val="20"/>
          <w:color w:val="auto"/>
        </w:rPr>
      </w:pPr>
      <w:r>
        <w:rPr>
          <w:rFonts w:ascii="Arial" w:cs="Arial" w:eastAsia="Arial" w:hAnsi="Arial"/>
          <w:sz w:val="14"/>
          <w:szCs w:val="14"/>
          <w:color w:val="auto"/>
        </w:rPr>
        <w:t>If the Company intends to sell the impaired debt security or is more likely than not will be required to sell the debt security before recovery of its amortized cost, the entire impairment amount is recognized in earnings within other gain (loss) as a write-off of the amortized cost basis of the debt security.</w:t>
      </w:r>
    </w:p>
    <w:p>
      <w:pPr>
        <w:spacing w:after="0" w:line="42" w:lineRule="exact"/>
        <w:rPr>
          <w:sz w:val="20"/>
          <w:szCs w:val="20"/>
          <w:color w:val="auto"/>
        </w:rPr>
      </w:pPr>
    </w:p>
    <w:p>
      <w:pPr>
        <w:ind w:right="20" w:firstLine="421"/>
        <w:spacing w:after="0" w:line="245" w:lineRule="auto"/>
        <w:rPr>
          <w:sz w:val="20"/>
          <w:szCs w:val="20"/>
          <w:color w:val="auto"/>
        </w:rPr>
      </w:pPr>
      <w:r>
        <w:rPr>
          <w:rFonts w:ascii="Arial" w:cs="Arial" w:eastAsia="Arial" w:hAnsi="Arial"/>
          <w:sz w:val="16"/>
          <w:szCs w:val="16"/>
          <w:color w:val="auto"/>
        </w:rPr>
        <w:t>If the Company does not intend to sell or is not more likely than not required to sell the debt security before recovery of its amortized cost, the credit component of the loss is recognized in earnings within other gain (loss) as an allowance for credit loss, which may be subject to reversal for subsequent recoveries in fair value. The non-credit loss component is recognized in other comprehensive income or loss ("OCI"). The allowance is charged off against the amortized cost basis of the security if in a subsequent period, the Company intends to or more likely than not will be required to sell the security, or if the Company deems the security to be uncollectable.</w:t>
      </w:r>
    </w:p>
    <w:p>
      <w:pPr>
        <w:spacing w:after="0" w:line="90" w:lineRule="exact"/>
        <w:rPr>
          <w:sz w:val="20"/>
          <w:szCs w:val="20"/>
          <w:color w:val="auto"/>
        </w:rPr>
      </w:pPr>
    </w:p>
    <w:p>
      <w:pPr>
        <w:ind w:right="220" w:firstLine="421"/>
        <w:spacing w:after="0" w:line="248" w:lineRule="auto"/>
        <w:rPr>
          <w:sz w:val="20"/>
          <w:szCs w:val="20"/>
          <w:color w:val="auto"/>
        </w:rPr>
      </w:pPr>
      <w:r>
        <w:rPr>
          <w:rFonts w:ascii="Arial" w:cs="Arial" w:eastAsia="Arial" w:hAnsi="Arial"/>
          <w:sz w:val="16"/>
          <w:szCs w:val="16"/>
          <w:color w:val="auto"/>
        </w:rPr>
        <w:t>In assessing impairment and estimating future expected cash flows, factors considered include, but are not limited to, credit rating of the security, financial condition of the issuer, defaults for similar securities, performance and value of assets underlying an asset-backed security.</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Identifiable Intangibles</w:t>
      </w:r>
    </w:p>
    <w:p>
      <w:pPr>
        <w:spacing w:after="0" w:line="115" w:lineRule="exact"/>
        <w:rPr>
          <w:sz w:val="20"/>
          <w:szCs w:val="20"/>
          <w:color w:val="auto"/>
        </w:rPr>
      </w:pPr>
    </w:p>
    <w:p>
      <w:pPr>
        <w:ind w:right="100" w:firstLine="386"/>
        <w:spacing w:after="0" w:line="244" w:lineRule="auto"/>
        <w:rPr>
          <w:sz w:val="20"/>
          <w:szCs w:val="20"/>
          <w:color w:val="auto"/>
        </w:rPr>
      </w:pPr>
      <w:r>
        <w:rPr>
          <w:rFonts w:ascii="Arial" w:cs="Arial" w:eastAsia="Arial" w:hAnsi="Arial"/>
          <w:sz w:val="16"/>
          <w:szCs w:val="16"/>
          <w:color w:val="auto"/>
        </w:rPr>
        <w:t>In a business combination or asset acquisition, the Company may recognize identifiable intangibles that meet either or both the contractual legal criterion or the separability criterion. An indefinite-lived intangible is not subject to amortization until such time that its useful life is determined to no longer be indefinite, at which point, it will be assessed for impairment and its adjusted carrying amount amortized over its remaining useful life. Finite-lived intangibles are amortized over their useful life in a manner that reflects the pattern in which the intangible is being consumed if readily determinable, such as based upon expected cash flows; otherwise they are amortized on a straight-line basis. The useful life of all identified intangibles will be periodically reassessed and if useful life changes, the carrying amount of the intangible will be amortized prospectively over the revised useful life.</w:t>
      </w:r>
    </w:p>
    <w:p>
      <w:pPr>
        <w:spacing w:after="0" w:line="94" w:lineRule="exact"/>
        <w:rPr>
          <w:sz w:val="20"/>
          <w:szCs w:val="20"/>
          <w:color w:val="auto"/>
        </w:rPr>
      </w:pPr>
    </w:p>
    <w:p>
      <w:pPr>
        <w:ind w:right="120" w:firstLine="386"/>
        <w:spacing w:after="0" w:line="248" w:lineRule="auto"/>
        <w:rPr>
          <w:sz w:val="20"/>
          <w:szCs w:val="20"/>
          <w:color w:val="auto"/>
        </w:rPr>
      </w:pPr>
      <w:r>
        <w:rPr>
          <w:rFonts w:ascii="Arial" w:cs="Arial" w:eastAsia="Arial" w:hAnsi="Arial"/>
          <w:sz w:val="16"/>
          <w:szCs w:val="16"/>
          <w:color w:val="auto"/>
        </w:rPr>
        <w:t>The Company's identifiable intangible assets are generally valued under the income approach, using an estimate of future net cash flows, discounted based upon risk-adjusted returns for similar underlying assets.</w:t>
      </w:r>
    </w:p>
    <w:p>
      <w:pPr>
        <w:spacing w:after="0" w:line="72" w:lineRule="exact"/>
        <w:rPr>
          <w:sz w:val="20"/>
          <w:szCs w:val="20"/>
          <w:color w:val="auto"/>
        </w:rPr>
      </w:pPr>
    </w:p>
    <w:p>
      <w:pPr>
        <w:ind w:right="80" w:firstLine="386"/>
        <w:spacing w:after="0" w:line="253" w:lineRule="auto"/>
        <w:rPr>
          <w:sz w:val="20"/>
          <w:szCs w:val="20"/>
          <w:color w:val="auto"/>
        </w:rPr>
      </w:pPr>
      <w:r>
        <w:rPr>
          <w:rFonts w:ascii="Arial" w:cs="Arial" w:eastAsia="Arial" w:hAnsi="Arial"/>
          <w:sz w:val="16"/>
          <w:szCs w:val="16"/>
          <w:i w:val="1"/>
          <w:iCs w:val="1"/>
          <w:color w:val="auto"/>
        </w:rPr>
        <w:t>Lease-Related Intangibles</w:t>
      </w:r>
      <w:r>
        <w:rPr>
          <w:rFonts w:ascii="Arial" w:cs="Arial" w:eastAsia="Arial" w:hAnsi="Arial"/>
          <w:sz w:val="16"/>
          <w:szCs w:val="16"/>
          <w:color w:val="auto"/>
        </w:rPr>
        <w:t>—Identifiable intangibles recognized in acquisitions of operating real estate include in-place leases, deferred leasing costs, above-or below-market leases, and tenant relationships.</w:t>
      </w:r>
    </w:p>
    <w:p>
      <w:pPr>
        <w:spacing w:after="0" w:line="72" w:lineRule="exact"/>
        <w:rPr>
          <w:sz w:val="20"/>
          <w:szCs w:val="20"/>
          <w:color w:val="auto"/>
        </w:rPr>
      </w:pPr>
    </w:p>
    <w:p>
      <w:pPr>
        <w:ind w:right="20" w:firstLine="386"/>
        <w:spacing w:after="0" w:line="231" w:lineRule="auto"/>
        <w:rPr>
          <w:sz w:val="20"/>
          <w:szCs w:val="20"/>
          <w:color w:val="auto"/>
        </w:rPr>
      </w:pPr>
      <w:r>
        <w:rPr>
          <w:rFonts w:ascii="Arial" w:cs="Arial" w:eastAsia="Arial" w:hAnsi="Arial"/>
          <w:sz w:val="16"/>
          <w:szCs w:val="16"/>
          <w:color w:val="auto"/>
        </w:rPr>
        <w:t>In-place leases generate value over and above the tangible real estate because a property that is occupied with leased space is typically worth more than a vacant building without a lease contract in place. Acquired in-place leases are valued as the forgone rental income had the property been acquired in an as if vacant state, using market data on comparable and recently signed leases. Deferred leasing costs represent leasing commissions and legal fees that would otherwise have been incurred if a lease was not in-place. Acquired in-place leases and deferred leasing costs are amortized on a straight-line basis to depreciation and amortization expense over the remaining term of the applicable leases. If an in-place lease is terminated, the unamortized portion is charged to depreciation and amortization expense.</w:t>
      </w:r>
    </w:p>
    <w:p>
      <w:pPr>
        <w:spacing w:after="0" w:line="83" w:lineRule="exact"/>
        <w:rPr>
          <w:sz w:val="20"/>
          <w:szCs w:val="20"/>
          <w:color w:val="auto"/>
        </w:rPr>
      </w:pPr>
    </w:p>
    <w:p>
      <w:pPr>
        <w:ind w:right="120" w:firstLine="386"/>
        <w:spacing w:after="0" w:line="232" w:lineRule="auto"/>
        <w:rPr>
          <w:sz w:val="20"/>
          <w:szCs w:val="20"/>
          <w:color w:val="auto"/>
        </w:rPr>
      </w:pPr>
      <w:r>
        <w:rPr>
          <w:rFonts w:ascii="Arial" w:cs="Arial" w:eastAsia="Arial" w:hAnsi="Arial"/>
          <w:sz w:val="16"/>
          <w:szCs w:val="16"/>
          <w:color w:val="auto"/>
        </w:rPr>
        <w:t>The value of the above- or below-market component of acquired leases represents the difference between contractual rents of acquired leases and market rents at the time of the acquisition for the remaining lease term. Above- or below-market operating lease values are amortized on a straight-line basis as a decrease or increase to rental income, respectively, over the applicable lease terms. This includes fixed rate renewal options in acquired leases that are assumed to be renewed if below market, which are amortized to increase rental income over the renewal period.</w:t>
      </w:r>
    </w:p>
    <w:p>
      <w:pPr>
        <w:spacing w:after="0" w:line="84" w:lineRule="exact"/>
        <w:rPr>
          <w:sz w:val="20"/>
          <w:szCs w:val="20"/>
          <w:color w:val="auto"/>
        </w:rPr>
      </w:pPr>
    </w:p>
    <w:p>
      <w:pPr>
        <w:jc w:val="both"/>
        <w:ind w:firstLine="386"/>
        <w:spacing w:after="0" w:line="233" w:lineRule="auto"/>
        <w:rPr>
          <w:sz w:val="20"/>
          <w:szCs w:val="20"/>
          <w:color w:val="auto"/>
        </w:rPr>
      </w:pPr>
      <w:r>
        <w:rPr>
          <w:rFonts w:ascii="Arial" w:cs="Arial" w:eastAsia="Arial" w:hAnsi="Arial"/>
          <w:sz w:val="16"/>
          <w:szCs w:val="16"/>
          <w:color w:val="auto"/>
        </w:rPr>
        <w:t>Tenant relationships represent the estimated net cash flows attributable to the likelihood of lease renewal by an existing tenant relative to the cost of obtaining a new lease, taking into consideration the time it would take to execute a new lease or backfill a vacant space. Tenant relationships are amortized on a straight-line basis to depreciation and amortization expense over its estimated useful life.</w:t>
      </w:r>
    </w:p>
    <w:p>
      <w:pPr>
        <w:spacing w:after="0" w:line="68" w:lineRule="exact"/>
        <w:rPr>
          <w:sz w:val="20"/>
          <w:szCs w:val="20"/>
          <w:color w:val="auto"/>
        </w:rPr>
      </w:pPr>
    </w:p>
    <w:p>
      <w:pPr>
        <w:ind w:right="140" w:firstLine="386"/>
        <w:spacing w:after="0" w:line="237" w:lineRule="auto"/>
        <w:rPr>
          <w:sz w:val="20"/>
          <w:szCs w:val="20"/>
          <w:color w:val="auto"/>
        </w:rPr>
      </w:pPr>
      <w:r>
        <w:rPr>
          <w:rFonts w:ascii="Arial" w:cs="Arial" w:eastAsia="Arial" w:hAnsi="Arial"/>
          <w:sz w:val="16"/>
          <w:szCs w:val="16"/>
          <w:i w:val="1"/>
          <w:iCs w:val="1"/>
          <w:color w:val="auto"/>
        </w:rPr>
        <w:t>Investment Management Intangibles</w:t>
      </w:r>
      <w:r>
        <w:rPr>
          <w:rFonts w:ascii="Arial" w:cs="Arial" w:eastAsia="Arial" w:hAnsi="Arial"/>
          <w:sz w:val="16"/>
          <w:szCs w:val="16"/>
          <w:color w:val="auto"/>
        </w:rPr>
        <w:t>—Identifiable intangibles recognized in acquisition of an investment management business generally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contracts, which represent contractual rights to future fee income from in-place management contracts that is amortized based upon expected cash flows over the remaining term of the contracts; and investor relationships, which represent potential fee income generated from future reinvestment by existing investors that is amortized on a straight-line basis over its estimated useful life.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4" w:name="page125"/>
    <w:bookmarkEnd w:id="1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60" w:firstLine="386"/>
        <w:spacing w:after="0" w:line="233" w:lineRule="auto"/>
        <w:rPr>
          <w:sz w:val="20"/>
          <w:szCs w:val="20"/>
          <w:color w:val="auto"/>
        </w:rPr>
      </w:pPr>
      <w:r>
        <w:rPr>
          <w:rFonts w:ascii="Arial" w:cs="Arial" w:eastAsia="Arial" w:hAnsi="Arial"/>
          <w:sz w:val="16"/>
          <w:szCs w:val="16"/>
          <w:i w:val="1"/>
          <w:iCs w:val="1"/>
          <w:color w:val="auto"/>
        </w:rPr>
        <w:t>Other Intangible Assets</w:t>
      </w:r>
      <w:r>
        <w:rPr>
          <w:rFonts w:ascii="Arial" w:cs="Arial" w:eastAsia="Arial" w:hAnsi="Arial"/>
          <w:sz w:val="16"/>
          <w:szCs w:val="16"/>
          <w:color w:val="auto"/>
        </w:rPr>
        <w:t>—In addition to leasing activities, data center operators provide various data center services to their customers, largely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colocation business, which give rise to customer service contract and customer relationship intangible assets in an acquisition of operating data centers. Customer service contracts are valued based upon an estimate of net cash flows from providing data center services that would have been forgone if these service contracts were not in place, taking into consideration the time it would take to execute a new contract. Customer service contracts are amortized on a straight-line basis over the remaining term of the respective contracts, and if the service contract is terminated, the remaining unamortized balance is charged off. Customer relationships represent incremental net cash flows to the business that is attributable to these in-place relationships, and is amortized on a straight-line basis over its estimated useful life.</w:t>
      </w:r>
    </w:p>
    <w:p>
      <w:pPr>
        <w:spacing w:after="0" w:line="87" w:lineRule="exact"/>
        <w:rPr>
          <w:sz w:val="20"/>
          <w:szCs w:val="20"/>
          <w:color w:val="auto"/>
        </w:rPr>
      </w:pPr>
    </w:p>
    <w:p>
      <w:pPr>
        <w:ind w:right="80" w:firstLine="386"/>
        <w:spacing w:after="0" w:line="233" w:lineRule="auto"/>
        <w:rPr>
          <w:sz w:val="20"/>
          <w:szCs w:val="20"/>
          <w:color w:val="auto"/>
        </w:rPr>
      </w:pPr>
      <w:r>
        <w:rPr>
          <w:rFonts w:ascii="Arial" w:cs="Arial" w:eastAsia="Arial" w:hAnsi="Arial"/>
          <w:sz w:val="16"/>
          <w:szCs w:val="16"/>
          <w:color w:val="auto"/>
        </w:rPr>
        <w:t>Trade names are recognized as a separate identifiable intangible asset to the extent the Company intends to continue using the trade name post-acquisition. Trade names are valued as the savings from royalty fees that would have otherwise been incurred. Trade names are amortized on a straight-line basis over the estimated useful life, or not amortized if they are determined to have an indefinite useful life.</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Impairment</w:t>
      </w:r>
    </w:p>
    <w:p>
      <w:pPr>
        <w:spacing w:after="0" w:line="113" w:lineRule="exact"/>
        <w:rPr>
          <w:sz w:val="20"/>
          <w:szCs w:val="20"/>
          <w:color w:val="auto"/>
        </w:rPr>
      </w:pPr>
    </w:p>
    <w:p>
      <w:pPr>
        <w:ind w:right="40" w:firstLine="386"/>
        <w:spacing w:after="0" w:line="245" w:lineRule="auto"/>
        <w:rPr>
          <w:sz w:val="20"/>
          <w:szCs w:val="20"/>
          <w:color w:val="auto"/>
        </w:rPr>
      </w:pPr>
      <w:r>
        <w:rPr>
          <w:rFonts w:ascii="Arial" w:cs="Arial" w:eastAsia="Arial" w:hAnsi="Arial"/>
          <w:sz w:val="16"/>
          <w:szCs w:val="16"/>
          <w:color w:val="auto"/>
        </w:rPr>
        <w:t>Identifiable intangible assets are reviewed periodically to determine if circumstances exist which may indicate a potential impairment. If such circumstances are considered to exist, the Company evaluates if carrying value of the intangible asset is recoverable based upon an undiscounted cash flow analysis. Impairment loss is recognized for the excess, if any, of carrying value over estimated fair value of the intangible asset. An impairment establishes a new basis for the intangible asset and any impairment loss recognized is not subject to subsequent reversal.</w:t>
      </w:r>
    </w:p>
    <w:p>
      <w:pPr>
        <w:spacing w:after="0" w:line="91" w:lineRule="exact"/>
        <w:rPr>
          <w:sz w:val="20"/>
          <w:szCs w:val="20"/>
          <w:color w:val="auto"/>
        </w:rPr>
      </w:pPr>
    </w:p>
    <w:p>
      <w:pPr>
        <w:ind w:firstLine="386"/>
        <w:spacing w:after="0" w:line="245" w:lineRule="auto"/>
        <w:rPr>
          <w:sz w:val="20"/>
          <w:szCs w:val="20"/>
          <w:color w:val="auto"/>
        </w:rPr>
      </w:pPr>
      <w:r>
        <w:rPr>
          <w:rFonts w:ascii="Arial" w:cs="Arial" w:eastAsia="Arial" w:hAnsi="Arial"/>
          <w:sz w:val="16"/>
          <w:szCs w:val="16"/>
          <w:color w:val="auto"/>
        </w:rPr>
        <w:t>Impairment analysis on lease intangible assets is performed in connection with the impairment assessment of the related real estate. In evaluating investment management intangibles for impairment, such as management contracts and investor relationships, the Company considers various factors that may affect future fee income, including but not limited to, changes in fee basis, amendments to contractual fee terms, and projected capital raising for future investment vehicles. Indefinite life trade names are impaired if the Company determines that it no longer intends to use the trade name.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Goodwill</w:t>
      </w:r>
    </w:p>
    <w:p>
      <w:pPr>
        <w:spacing w:after="0" w:line="115" w:lineRule="exact"/>
        <w:rPr>
          <w:sz w:val="20"/>
          <w:szCs w:val="20"/>
          <w:color w:val="auto"/>
        </w:rPr>
      </w:pPr>
    </w:p>
    <w:p>
      <w:pPr>
        <w:jc w:val="both"/>
        <w:ind w:right="220" w:firstLine="386"/>
        <w:spacing w:after="0" w:line="246" w:lineRule="auto"/>
        <w:rPr>
          <w:sz w:val="20"/>
          <w:szCs w:val="20"/>
          <w:color w:val="auto"/>
        </w:rPr>
      </w:pPr>
      <w:r>
        <w:rPr>
          <w:rFonts w:ascii="Arial" w:cs="Arial" w:eastAsia="Arial" w:hAnsi="Arial"/>
          <w:sz w:val="16"/>
          <w:szCs w:val="16"/>
          <w:color w:val="auto"/>
        </w:rPr>
        <w:t>Goodwill is an unidentifiable intangible asset and is recognized as a residual, generally measured as the excess of consideration transferred in a business combination over the identifiable assets acquired, liabilities assumed and noncontrolling interests in the acquiree. Goodwill is assigned to reporting units that are expected to benefit from the synergies of the business combination.</w:t>
      </w:r>
    </w:p>
    <w:p>
      <w:pPr>
        <w:spacing w:after="0" w:line="89" w:lineRule="exact"/>
        <w:rPr>
          <w:sz w:val="20"/>
          <w:szCs w:val="20"/>
          <w:color w:val="auto"/>
        </w:rPr>
      </w:pPr>
    </w:p>
    <w:p>
      <w:pPr>
        <w:ind w:right="40" w:firstLine="386"/>
        <w:spacing w:after="0" w:line="285" w:lineRule="auto"/>
        <w:rPr>
          <w:sz w:val="20"/>
          <w:szCs w:val="20"/>
          <w:color w:val="auto"/>
        </w:rPr>
      </w:pPr>
      <w:r>
        <w:rPr>
          <w:rFonts w:ascii="Arial" w:cs="Arial" w:eastAsia="Arial" w:hAnsi="Arial"/>
          <w:sz w:val="14"/>
          <w:szCs w:val="14"/>
          <w:color w:val="auto"/>
        </w:rPr>
        <w:t>Goodwill is tested for impairment at the reporting units to which it is assigned at least on an annual basis in the fourth quarter of each year, or more frequently if events or changes in circumstances occur that would more likely than not reduce the fair value of a reporting unit below its carrying value, including goodwill. The assessment of goodwill for impairment may initially be performed based on qualitative factors to determine if it is more likely than not that the fair value of the reporting unit to which the goodwill is assigned is less than its carrying value, including goodwill. If so, a quantitative assessment is performed to identify both the existence of impairment and the amount of impairment loss. The Company may bypass the qualitative assessment and proceed directly to performing a quantitative assessment to compare the fair value of a reporting unit with its carrying value, including goodwill. Impairment is measured as the excess of carrying value over fair value of the reporting unit, with the loss recognized limited to the amount of goodwill assigned to that reporting unit.</w:t>
      </w:r>
    </w:p>
    <w:p>
      <w:pPr>
        <w:spacing w:after="0" w:line="65" w:lineRule="exact"/>
        <w:rPr>
          <w:sz w:val="20"/>
          <w:szCs w:val="20"/>
          <w:color w:val="auto"/>
        </w:rPr>
      </w:pPr>
    </w:p>
    <w:p>
      <w:pPr>
        <w:jc w:val="both"/>
        <w:ind w:right="360" w:firstLine="386"/>
        <w:spacing w:after="0" w:line="246" w:lineRule="auto"/>
        <w:rPr>
          <w:sz w:val="20"/>
          <w:szCs w:val="20"/>
          <w:color w:val="auto"/>
        </w:rPr>
      </w:pPr>
      <w:r>
        <w:rPr>
          <w:rFonts w:ascii="Arial" w:cs="Arial" w:eastAsia="Arial" w:hAnsi="Arial"/>
          <w:sz w:val="16"/>
          <w:szCs w:val="16"/>
          <w:color w:val="auto"/>
        </w:rPr>
        <w:t>An impairment establishes a new basis for goodwill and any impairment loss recognized is not subject to subsequent reversal. Goodwill impairment tests require judgment, including identification of reporting units, assignment of assets and liabilities to reporting units, assignment of goodwill to reporting units, and determination of the fair value of each reporting unit.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Accounts Receivable and Related Allowance</w:t>
      </w:r>
    </w:p>
    <w:p>
      <w:pPr>
        <w:spacing w:after="0" w:line="99" w:lineRule="exact"/>
        <w:rPr>
          <w:sz w:val="20"/>
          <w:szCs w:val="20"/>
          <w:color w:val="auto"/>
        </w:rPr>
      </w:pPr>
    </w:p>
    <w:p>
      <w:pPr>
        <w:ind w:right="360" w:firstLine="351"/>
        <w:spacing w:after="0" w:line="256" w:lineRule="auto"/>
        <w:rPr>
          <w:sz w:val="20"/>
          <w:szCs w:val="20"/>
          <w:color w:val="auto"/>
        </w:rPr>
      </w:pPr>
      <w:r>
        <w:rPr>
          <w:rFonts w:ascii="Arial" w:cs="Arial" w:eastAsia="Arial" w:hAnsi="Arial"/>
          <w:sz w:val="16"/>
          <w:szCs w:val="16"/>
          <w:i w:val="1"/>
          <w:iCs w:val="1"/>
          <w:color w:val="auto"/>
        </w:rPr>
        <w:t>Property Operating Income Receivables (excluding lease income receivables)</w:t>
      </w:r>
      <w:r>
        <w:rPr>
          <w:rFonts w:ascii="Arial" w:cs="Arial" w:eastAsia="Arial" w:hAnsi="Arial"/>
          <w:sz w:val="16"/>
          <w:szCs w:val="16"/>
          <w:color w:val="auto"/>
        </w:rPr>
        <w:t>—The Company periodically evaluates aged receivables and considers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collectability of unbilled receivables. The Company estimates allowance for doubtful accounts for specific accounts receivable balances based upon historical collection trends, age of outstanding accounts receivables and existing economic conditions associated with the receivables.</w:t>
      </w:r>
    </w:p>
    <w:p>
      <w:pPr>
        <w:spacing w:after="0" w:line="66" w:lineRule="exact"/>
        <w:rPr>
          <w:sz w:val="20"/>
          <w:szCs w:val="20"/>
          <w:color w:val="auto"/>
        </w:rPr>
      </w:pPr>
    </w:p>
    <w:p>
      <w:pPr>
        <w:jc w:val="both"/>
        <w:ind w:right="200" w:firstLine="351"/>
        <w:spacing w:after="0" w:line="310" w:lineRule="auto"/>
        <w:rPr>
          <w:sz w:val="20"/>
          <w:szCs w:val="20"/>
          <w:color w:val="auto"/>
        </w:rPr>
      </w:pPr>
      <w:r>
        <w:rPr>
          <w:rFonts w:ascii="Arial" w:cs="Arial" w:eastAsia="Arial" w:hAnsi="Arial"/>
          <w:sz w:val="14"/>
          <w:szCs w:val="14"/>
          <w:i w:val="1"/>
          <w:iCs w:val="1"/>
          <w:color w:val="auto"/>
        </w:rPr>
        <w:t>Cost Reimbursements and Recoverable Expenses</w:t>
      </w:r>
      <w:r>
        <w:rPr>
          <w:rFonts w:ascii="Arial" w:cs="Arial" w:eastAsia="Arial" w:hAnsi="Arial"/>
          <w:sz w:val="14"/>
          <w:szCs w:val="14"/>
          <w:color w:val="auto"/>
        </w:rPr>
        <w:t>—The Company is entitled to reimbursements and/or recovers certain costs paid on behalf of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vehicles managed by the Company, which include: (i) organization and offering costs associated with the formation and capital raising of the investment vehicles subject to certain limitations; (ii) direct and indirect operating costs associated with managing the operations of certain investment vehicles; and (iii) costs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incurred in performing investment due diligence. Indirect operating costs are recorded as expenses of the Company when incurred and amounts allocated and reimbursable are recorded as other income in the consolidated statements of operations. The Company facilitates the payments of organization and offering costs, due diligence costs to the extent the related investments are consummated and direct operating costs, all of which are recorded as due from affiliates on the consolidated balance sheets, until such amounts are repaid. Due diligence costs related to unconsummated investments that are borne by the Company are expensed as transaction-related costs in the consolidated statement of operations. The Company assesses the collectability of such receivables and establishes an allowance for any balances considered not collectable.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Fixed Assets</w:t>
      </w:r>
    </w:p>
    <w:p>
      <w:pPr>
        <w:spacing w:after="0" w:line="115" w:lineRule="exact"/>
        <w:rPr>
          <w:sz w:val="20"/>
          <w:szCs w:val="20"/>
          <w:color w:val="auto"/>
        </w:rPr>
      </w:pPr>
    </w:p>
    <w:p>
      <w:pPr>
        <w:ind w:right="100" w:firstLine="386"/>
        <w:spacing w:after="0" w:line="245" w:lineRule="auto"/>
        <w:rPr>
          <w:sz w:val="20"/>
          <w:szCs w:val="20"/>
          <w:color w:val="auto"/>
        </w:rPr>
      </w:pPr>
      <w:r>
        <w:rPr>
          <w:rFonts w:ascii="Arial" w:cs="Arial" w:eastAsia="Arial" w:hAnsi="Arial"/>
          <w:sz w:val="16"/>
          <w:szCs w:val="16"/>
          <w:color w:val="auto"/>
        </w:rPr>
        <w:t>Fixed assets of the Company are presented within other assets and carried at cost less accumulated depreciation and amortization. Ordinary repairs and maintenance are expensed as incurred. Major replacements and betterments which improve or extend the life of assets are capitalized and depreciated over their useful life. Depreciation and amortization is recognized on a straight-line basis over the estimated useful life of the assets, which range between 3 to 7 years for furniture, fixtures, equipment and capitalized software, and over the shorter of the lease term or useful life for leasehold improvements.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Transfers of Financial Assets</w:t>
      </w:r>
    </w:p>
    <w:p>
      <w:pPr>
        <w:spacing w:after="0" w:line="115" w:lineRule="exact"/>
        <w:rPr>
          <w:sz w:val="20"/>
          <w:szCs w:val="20"/>
          <w:color w:val="auto"/>
        </w:rPr>
      </w:pPr>
    </w:p>
    <w:p>
      <w:pPr>
        <w:ind w:right="100" w:firstLine="386"/>
        <w:spacing w:after="0" w:line="248" w:lineRule="auto"/>
        <w:rPr>
          <w:sz w:val="20"/>
          <w:szCs w:val="20"/>
          <w:color w:val="auto"/>
        </w:rPr>
      </w:pPr>
      <w:r>
        <w:rPr>
          <w:rFonts w:ascii="Arial" w:cs="Arial" w:eastAsia="Arial" w:hAnsi="Arial"/>
          <w:sz w:val="16"/>
          <w:szCs w:val="16"/>
          <w:color w:val="auto"/>
        </w:rPr>
        <w:t>Sale accounting for transfers of financial assets is limited to the transfer of an entire financial asset, a group of financial assets in its entirety, or a component of a financial asset which meets the definition of a participating interest with characteristics that are similar to the original financial asset.</w:t>
      </w:r>
    </w:p>
    <w:p>
      <w:pPr>
        <w:spacing w:after="0" w:line="88"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If the Company has any continuing involvement, rights or obligations with the transferred financial asset (outside of standard representations and warranties), sale accounting requires that the transfer meets the following conditions: (1) the transferred asset has been legally isolated; (2) the transferee has the right (free of conditions that constrain it from taking advantage of that right) to pledge or exchange the transferred asset; and (3) the Company does not maintain effective control over the transferred asset through an agreement that provides for (a) both an entitlement and an obligation by the Company to repurchase or redeem the asset before its maturity, (b) the unilateral ability by the Company to reclaim the asset and a more than trivial benefit attributable to that ability, or (c) the transferee requiring the Company to repurchase the asset at a price so favorable to the transferee that it is probable the repurchase will occur.</w:t>
      </w:r>
    </w:p>
    <w:p>
      <w:pPr>
        <w:spacing w:after="0" w:line="94" w:lineRule="exact"/>
        <w:rPr>
          <w:sz w:val="20"/>
          <w:szCs w:val="20"/>
          <w:color w:val="auto"/>
        </w:rPr>
      </w:pPr>
    </w:p>
    <w:p>
      <w:pPr>
        <w:ind w:right="280" w:firstLine="351"/>
        <w:spacing w:after="0" w:line="317" w:lineRule="auto"/>
        <w:rPr>
          <w:sz w:val="20"/>
          <w:szCs w:val="20"/>
          <w:color w:val="auto"/>
        </w:rPr>
      </w:pPr>
      <w:r>
        <w:rPr>
          <w:rFonts w:ascii="Arial" w:cs="Arial" w:eastAsia="Arial" w:hAnsi="Arial"/>
          <w:sz w:val="14"/>
          <w:szCs w:val="14"/>
          <w:color w:val="auto"/>
        </w:rPr>
        <w:t>If the criteria for sale accounting are met, the transferred financial asset is removed from the balance sheet and a net gain or loss is recognized upon sale, taking into account any retained interests. Transfers of financial assets that do not meet the criteria for sale are accounted for as financing transactions.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Derivative Instruments and Hedging Activities</w:t>
      </w:r>
    </w:p>
    <w:p>
      <w:pPr>
        <w:spacing w:after="0" w:line="115" w:lineRule="exact"/>
        <w:rPr>
          <w:sz w:val="20"/>
          <w:szCs w:val="20"/>
          <w:color w:val="auto"/>
        </w:rPr>
      </w:pPr>
    </w:p>
    <w:p>
      <w:pPr>
        <w:jc w:val="both"/>
        <w:ind w:firstLine="386"/>
        <w:spacing w:after="0" w:line="245" w:lineRule="auto"/>
        <w:rPr>
          <w:sz w:val="20"/>
          <w:szCs w:val="20"/>
          <w:color w:val="auto"/>
        </w:rPr>
      </w:pPr>
      <w:r>
        <w:rPr>
          <w:rFonts w:ascii="Arial" w:cs="Arial" w:eastAsia="Arial" w:hAnsi="Arial"/>
          <w:sz w:val="16"/>
          <w:szCs w:val="16"/>
          <w:color w:val="auto"/>
        </w:rPr>
        <w:t>The Company may use derivative instruments to manage its interest rate risk and foreign currency risk. The Company does not use derivative instruments for speculative or trading purposes. All derivative instruments are recorded at fair value and included in other assets or other liabilities on a gross basis on the balance sheet. The accounting for changes in fair value of derivatives depends upon whether the derivative has been designated in a hedging relationship and qualifies for hedge accounting.</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fair value of derivatives not designated as accounting hedges are recorded in the statement of operations in other gain (loss).</w:t>
      </w:r>
    </w:p>
    <w:p>
      <w:pPr>
        <w:spacing w:after="0" w:line="97" w:lineRule="exact"/>
        <w:rPr>
          <w:sz w:val="20"/>
          <w:szCs w:val="20"/>
          <w:color w:val="auto"/>
        </w:rPr>
      </w:pPr>
    </w:p>
    <w:p>
      <w:pPr>
        <w:ind w:right="20" w:firstLine="386"/>
        <w:spacing w:after="0" w:line="245" w:lineRule="auto"/>
        <w:rPr>
          <w:sz w:val="20"/>
          <w:szCs w:val="20"/>
          <w:color w:val="auto"/>
        </w:rPr>
      </w:pPr>
      <w:r>
        <w:rPr>
          <w:rFonts w:ascii="Arial" w:cs="Arial" w:eastAsia="Arial" w:hAnsi="Arial"/>
          <w:sz w:val="16"/>
          <w:szCs w:val="16"/>
          <w:color w:val="auto"/>
        </w:rPr>
        <w:t>For designated accounting hedges, the relationships between hedging instruments and hedged items, risk management objectives and strategies for undertaking the accounting hedges as well as the methods to assess the effectiveness of the derivative prospectively and retrospectively, are formally documented at inception. Hedge effectiveness relates to the amount by which the gain or loss on the designated derivative instrument exactly offsets the change in the hedged item attributable to the hedged risk. If it is determined that a derivative is not expected to be or has ceased to be highly effective at hedging the designated exposure, hedge accounting is discontinued.</w:t>
      </w:r>
    </w:p>
    <w:p>
      <w:pPr>
        <w:spacing w:after="0" w:line="74" w:lineRule="exact"/>
        <w:rPr>
          <w:sz w:val="20"/>
          <w:szCs w:val="20"/>
          <w:color w:val="auto"/>
        </w:rPr>
      </w:pPr>
    </w:p>
    <w:p>
      <w:pPr>
        <w:ind w:firstLine="386"/>
        <w:spacing w:after="0" w:line="252" w:lineRule="auto"/>
        <w:rPr>
          <w:sz w:val="20"/>
          <w:szCs w:val="20"/>
          <w:color w:val="auto"/>
        </w:rPr>
      </w:pPr>
      <w:r>
        <w:rPr>
          <w:rFonts w:ascii="Arial" w:cs="Arial" w:eastAsia="Arial" w:hAnsi="Arial"/>
          <w:sz w:val="16"/>
          <w:szCs w:val="16"/>
          <w:i w:val="1"/>
          <w:iCs w:val="1"/>
          <w:color w:val="auto"/>
        </w:rPr>
        <w:t>Cash Flow Hedges</w:t>
      </w:r>
      <w:r>
        <w:rPr>
          <w:rFonts w:ascii="Arial" w:cs="Arial" w:eastAsia="Arial" w:hAnsi="Arial"/>
          <w:sz w:val="16"/>
          <w:szCs w:val="16"/>
          <w:color w:val="auto"/>
        </w:rPr>
        <w:t>—The Company may use interest rate caps and swaps to hedge its exposure to interest rate fluctuations in forecasted interest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floating rate debt and may designate as cash flow hedges. Changes in fair value of the derivative is recorded in accumulated other comprehensive income (loss) or AOCI and reclassified into earnings when the hedged item affects earnings. If the derivative in a cash flow hedge is terminated or the hedge designation is removed, related amounts in AOCI are reclassified into earnings when the hedged item affects earnings.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6" w:name="page127"/>
    <w:bookmarkEnd w:id="1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both"/>
        <w:ind w:right="640" w:firstLine="386"/>
        <w:spacing w:after="0" w:line="256" w:lineRule="auto"/>
        <w:rPr>
          <w:sz w:val="20"/>
          <w:szCs w:val="20"/>
          <w:color w:val="auto"/>
        </w:rPr>
      </w:pPr>
      <w:r>
        <w:rPr>
          <w:rFonts w:ascii="Arial" w:cs="Arial" w:eastAsia="Arial" w:hAnsi="Arial"/>
          <w:sz w:val="16"/>
          <w:szCs w:val="16"/>
          <w:i w:val="1"/>
          <w:iCs w:val="1"/>
          <w:color w:val="auto"/>
        </w:rPr>
        <w:t>Net Investment Hedges</w:t>
      </w:r>
      <w:r>
        <w:rPr>
          <w:rFonts w:ascii="Arial" w:cs="Arial" w:eastAsia="Arial" w:hAnsi="Arial"/>
          <w:sz w:val="16"/>
          <w:szCs w:val="16"/>
          <w:color w:val="auto"/>
        </w:rPr>
        <w:t>—The Company may use foreign currency hedges to protect the value of its net investments in foreign subsidiaries or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investees whose functional currencies are not U.S. dollars. Changes in fair value of derivatives used as hedges of net investment in foreign operations are recorded in the cumulative translation adjustment account within AOCI.</w:t>
      </w:r>
    </w:p>
    <w:p>
      <w:pPr>
        <w:spacing w:after="0" w:line="82" w:lineRule="exact"/>
        <w:rPr>
          <w:sz w:val="20"/>
          <w:szCs w:val="20"/>
          <w:color w:val="auto"/>
        </w:rPr>
      </w:pPr>
    </w:p>
    <w:p>
      <w:pPr>
        <w:ind w:right="460" w:firstLine="386"/>
        <w:spacing w:after="0" w:line="248" w:lineRule="auto"/>
        <w:rPr>
          <w:sz w:val="20"/>
          <w:szCs w:val="20"/>
          <w:color w:val="auto"/>
        </w:rPr>
      </w:pPr>
      <w:r>
        <w:rPr>
          <w:rFonts w:ascii="Arial" w:cs="Arial" w:eastAsia="Arial" w:hAnsi="Arial"/>
          <w:sz w:val="16"/>
          <w:szCs w:val="16"/>
          <w:color w:val="auto"/>
        </w:rPr>
        <w:t>At the end of each quarter, the Company reassesses the effectiveness of its net investment hedges and as appropriate, dedesignates the portion of the derivative notional that is in excess of the beginning balance of its net investments as undesignated hedges.</w:t>
      </w:r>
    </w:p>
    <w:p>
      <w:pPr>
        <w:spacing w:after="0" w:line="88" w:lineRule="exact"/>
        <w:rPr>
          <w:sz w:val="20"/>
          <w:szCs w:val="20"/>
          <w:color w:val="auto"/>
        </w:rPr>
      </w:pPr>
    </w:p>
    <w:p>
      <w:pPr>
        <w:ind w:right="80" w:firstLine="386"/>
        <w:spacing w:after="0" w:line="246" w:lineRule="auto"/>
        <w:rPr>
          <w:sz w:val="20"/>
          <w:szCs w:val="20"/>
          <w:color w:val="auto"/>
        </w:rPr>
      </w:pPr>
      <w:r>
        <w:rPr>
          <w:rFonts w:ascii="Arial" w:cs="Arial" w:eastAsia="Arial" w:hAnsi="Arial"/>
          <w:sz w:val="16"/>
          <w:szCs w:val="16"/>
          <w:color w:val="auto"/>
        </w:rPr>
        <w:t>Release of amounts in AOCI related to net investment hedges occurs upon losing a controlling financial interest in an investment or obtaining control over an equity method investment. Upon sale, complete or substantially complete liquidation of an investment in a foreign subsidiary, or partial sale of an equity method investment, the gain or loss on the related net investment hedge is reclassified from AOCI to earnings.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Leases</w:t>
      </w:r>
    </w:p>
    <w:p>
      <w:pPr>
        <w:spacing w:after="0" w:line="115" w:lineRule="exact"/>
        <w:rPr>
          <w:sz w:val="20"/>
          <w:szCs w:val="20"/>
          <w:color w:val="auto"/>
        </w:rPr>
      </w:pPr>
    </w:p>
    <w:p>
      <w:pPr>
        <w:ind w:firstLine="386"/>
        <w:spacing w:after="0" w:line="271" w:lineRule="auto"/>
        <w:rPr>
          <w:sz w:val="20"/>
          <w:szCs w:val="20"/>
          <w:color w:val="auto"/>
        </w:rPr>
      </w:pPr>
      <w:r>
        <w:rPr>
          <w:rFonts w:ascii="Arial" w:cs="Arial" w:eastAsia="Arial" w:hAnsi="Arial"/>
          <w:sz w:val="14"/>
          <w:szCs w:val="14"/>
          <w:color w:val="auto"/>
        </w:rPr>
        <w:t>As lessee, the Company determines if an arrangement contains a lease and determines the classification of a leasing arrangement at its inception. A lease is classified as a finance lease, which represents a financed purchase of the leased asset, if the lease meets any of the following criteria: (a) asset ownership is transferred to lessee by end of lease term; (b) option to purchase asset is reasonably certain to be exercised by lessee; (c) the lease term is for a major part of the remaining economic life of the asset; (d) the present value of lease payments equals or exceeds substantially the fair value of the asset; or (e) the asset is of such a specialized nature that it is expected to have no alternative use at end of lease term. A lease is classified as an operating lease when none of the criteria are met.</w:t>
      </w:r>
    </w:p>
    <w:p>
      <w:pPr>
        <w:spacing w:after="0" w:line="62" w:lineRule="exact"/>
        <w:rPr>
          <w:sz w:val="20"/>
          <w:szCs w:val="20"/>
          <w:color w:val="auto"/>
        </w:rPr>
      </w:pPr>
    </w:p>
    <w:p>
      <w:pPr>
        <w:ind w:right="60" w:firstLine="386"/>
        <w:spacing w:after="0" w:line="236" w:lineRule="auto"/>
        <w:rPr>
          <w:sz w:val="20"/>
          <w:szCs w:val="20"/>
          <w:color w:val="auto"/>
        </w:rPr>
      </w:pPr>
      <w:r>
        <w:rPr>
          <w:rFonts w:ascii="Arial" w:cs="Arial" w:eastAsia="Arial" w:hAnsi="Arial"/>
          <w:sz w:val="16"/>
          <w:szCs w:val="16"/>
          <w:color w:val="auto"/>
        </w:rPr>
        <w:t>The Company's leasing arrangements are composed primarily of finance and operating leases for data centers, operating ground leases for other investment properties, and operating leases for its corporate offices.</w:t>
      </w:r>
    </w:p>
    <w:p>
      <w:pPr>
        <w:spacing w:after="0" w:line="83" w:lineRule="exact"/>
        <w:rPr>
          <w:sz w:val="20"/>
          <w:szCs w:val="20"/>
          <w:color w:val="auto"/>
        </w:rPr>
      </w:pPr>
    </w:p>
    <w:p>
      <w:pPr>
        <w:jc w:val="both"/>
        <w:ind w:right="180" w:firstLine="386"/>
        <w:spacing w:after="0" w:line="246" w:lineRule="auto"/>
        <w:rPr>
          <w:sz w:val="20"/>
          <w:szCs w:val="20"/>
          <w:color w:val="auto"/>
        </w:rPr>
      </w:pPr>
      <w:r>
        <w:rPr>
          <w:rFonts w:ascii="Arial" w:cs="Arial" w:eastAsia="Arial" w:hAnsi="Arial"/>
          <w:sz w:val="16"/>
          <w:szCs w:val="16"/>
          <w:color w:val="auto"/>
        </w:rPr>
        <w:t>Short-term leases are not recorded on the balance sheet, with lease payments expensed on a straight-line basis over the lease term. Short-term leases are defined as leases which at commencement date, has a lease term of 12 months or less and does not include an option to purchase the underlying asset that the lessee is reasonably certain to exercise.</w:t>
      </w:r>
    </w:p>
    <w:p>
      <w:pPr>
        <w:spacing w:after="0" w:line="89" w:lineRule="exact"/>
        <w:rPr>
          <w:sz w:val="20"/>
          <w:szCs w:val="20"/>
          <w:color w:val="auto"/>
        </w:rPr>
      </w:pPr>
    </w:p>
    <w:p>
      <w:pPr>
        <w:ind w:right="40" w:firstLine="386"/>
        <w:spacing w:after="0" w:line="230" w:lineRule="auto"/>
        <w:rPr>
          <w:sz w:val="20"/>
          <w:szCs w:val="20"/>
          <w:color w:val="auto"/>
        </w:rPr>
      </w:pPr>
      <w:r>
        <w:rPr>
          <w:rFonts w:ascii="Arial" w:cs="Arial" w:eastAsia="Arial" w:hAnsi="Arial"/>
          <w:sz w:val="16"/>
          <w:szCs w:val="16"/>
          <w:color w:val="auto"/>
        </w:rPr>
        <w:t>For leases with terms greater than 12 months, a lessee's rights to use the leased asset and obligation to make future lease payments are recognized on balance sheet at lease commencement date as a right-of-use ("ROU") lease asset and a lease liability, respectively. The lease liability is measured based upon the present value of future lease payments over the lease term, discounted at the incremental borrowing rate. Variable lease payments are excluded and are recognized as lease expense as incurred. Lease renewal or termination options are taken into account only if it is reasonably certain that the option would be exercised. As an implicit rate is not readily determinable in most leases, an estimated incremental borrowing rate is applied, which is the interest rate that the Company or its subsidiary, where applicable, would have to pay to borrow an amount equal to the lease payments, on a collateralized basis over the lease term. In estimating incremental borrowing rates, consideration is given to recent debt financing transactions by the Company or its subsidiaries as well as publicly available data for debt instruments with similar characteristics, adjusted for the lease term. The ROU lease asset is measured based upon the corresponding lease liability, reduced by any lease incentives and adjusted to include capitalized initial direct leasing costs.</w:t>
      </w:r>
    </w:p>
    <w:p>
      <w:pPr>
        <w:spacing w:after="0" w:line="74" w:lineRule="exact"/>
        <w:rPr>
          <w:sz w:val="20"/>
          <w:szCs w:val="20"/>
          <w:color w:val="auto"/>
        </w:rPr>
      </w:pPr>
    </w:p>
    <w:p>
      <w:pPr>
        <w:ind w:firstLine="386"/>
        <w:spacing w:after="0" w:line="216" w:lineRule="auto"/>
        <w:rPr>
          <w:sz w:val="20"/>
          <w:szCs w:val="20"/>
          <w:color w:val="auto"/>
        </w:rPr>
      </w:pPr>
      <w:r>
        <w:rPr>
          <w:rFonts w:ascii="Arial" w:cs="Arial" w:eastAsia="Arial" w:hAnsi="Arial"/>
          <w:sz w:val="16"/>
          <w:szCs w:val="16"/>
          <w:color w:val="auto"/>
        </w:rPr>
        <w:t>The Company's ROU lease asset is presented within other assets and is amortized on a straight-line basis over the shorter of its useful life or remaining lease term. The Company's lease liability is presented within accrued and other liabilities. The lease liability is (a) reduced by lease payments made during the period; and (b) accreted to the balance as of the beginning of the period based upon the discount rate used at lease commencement. For finance leases, periodic lease payments are allocated between (i) interest expense, calculated based upon the incremental borrowing rate determined at commencement, to produce a constant periodic interest rate on the remaining balance of the lease liability, and (ii) reduction of lease liability. The combination of periodic interest expense and amortization expense on the ROU lease asset effectively reflects installment purchases on the financed leased asset, and results in a front-loaded expense recognition. Higher interest expense is recorded in the early periods as a constant interest rate is applied to the finance lease liability and the liability decreases over the lease term as cash payments are made. For operating leases, fixed lease expense is recognized over the lease term on a straight-line basis and variable lease expense is recognized in the period incurred.</w:t>
      </w:r>
    </w:p>
    <w:p>
      <w:pPr>
        <w:spacing w:after="0" w:line="88" w:lineRule="exact"/>
        <w:rPr>
          <w:sz w:val="20"/>
          <w:szCs w:val="20"/>
          <w:color w:val="auto"/>
        </w:rPr>
      </w:pPr>
    </w:p>
    <w:p>
      <w:pPr>
        <w:ind w:right="20" w:firstLine="386"/>
        <w:spacing w:after="0" w:line="245" w:lineRule="auto"/>
        <w:rPr>
          <w:sz w:val="20"/>
          <w:szCs w:val="20"/>
          <w:color w:val="auto"/>
        </w:rPr>
      </w:pPr>
      <w:r>
        <w:rPr>
          <w:rFonts w:ascii="Arial" w:cs="Arial" w:eastAsia="Arial" w:hAnsi="Arial"/>
          <w:sz w:val="16"/>
          <w:szCs w:val="16"/>
          <w:color w:val="auto"/>
        </w:rPr>
        <w:t>A lease that is terminated before expiration of its lease term would result in a derecognition of the lease liability and ROU lease asset, with the difference recorded in the income statement, reflected as other gain (loss). If a plan has been committed to abandon an ROU lease asset at a future date before the end of its lease term, amortization of the ROU lease asset is accelerated based on its revised useful life. If an ROU lease asset is abandoned with immediate effect and the carrying value of the ROU lease asset is determined to be unrecoverable, an impairment loss is recognized on the ROU lease asset.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7" w:name="page128"/>
    <w:bookmarkEnd w:id="1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Financing Costs</w:t>
      </w:r>
    </w:p>
    <w:p>
      <w:pPr>
        <w:spacing w:after="0" w:line="115" w:lineRule="exact"/>
        <w:rPr>
          <w:sz w:val="20"/>
          <w:szCs w:val="20"/>
          <w:color w:val="auto"/>
        </w:rPr>
      </w:pPr>
    </w:p>
    <w:p>
      <w:pPr>
        <w:ind w:right="20" w:firstLine="386"/>
        <w:spacing w:after="0" w:line="245" w:lineRule="auto"/>
        <w:rPr>
          <w:sz w:val="20"/>
          <w:szCs w:val="20"/>
          <w:color w:val="auto"/>
        </w:rPr>
      </w:pPr>
      <w:r>
        <w:rPr>
          <w:rFonts w:ascii="Arial" w:cs="Arial" w:eastAsia="Arial" w:hAnsi="Arial"/>
          <w:sz w:val="16"/>
          <w:szCs w:val="16"/>
          <w:color w:val="auto"/>
        </w:rPr>
        <w:t>Debt discounts and premiums as well as debt issuance costs (except for revolving credit arrangements) are presented net against the associated debt on the balance sheet and amortized into interest expense using the effective interest method over the contractual term or expected life of the debt instrument. Costs incurred in connection with revolving credit arrangements are recorded as deferred financing costs in other assets, and amortized on a straight-line basis over the expected term of the credit facility.</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Property Operating Income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operating income includes the following:</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Lease Income</w:t>
      </w:r>
    </w:p>
    <w:p>
      <w:pPr>
        <w:spacing w:after="0" w:line="113" w:lineRule="exact"/>
        <w:rPr>
          <w:sz w:val="20"/>
          <w:szCs w:val="20"/>
          <w:color w:val="auto"/>
        </w:rPr>
      </w:pPr>
    </w:p>
    <w:p>
      <w:pPr>
        <w:ind w:firstLine="386"/>
        <w:spacing w:after="0" w:line="285" w:lineRule="auto"/>
        <w:rPr>
          <w:sz w:val="20"/>
          <w:szCs w:val="20"/>
          <w:color w:val="auto"/>
        </w:rPr>
      </w:pPr>
      <w:r>
        <w:rPr>
          <w:rFonts w:ascii="Arial" w:cs="Arial" w:eastAsia="Arial" w:hAnsi="Arial"/>
          <w:sz w:val="14"/>
          <w:szCs w:val="14"/>
          <w:color w:val="auto"/>
        </w:rPr>
        <w:t>The Company's lease income is composed of (i) fixed lease income for rents, and for interconnection services and a committed amount of power related to contracted data center leased space; and (ii) variable lease income for tenant reimbursements, installation services of Company-owned data center equipment and additional metered power reimbursements based upon usage by data center tenants at prevailing rates. As lessor, the Company made the accounting policy election to treat the lease and nonlease components in a lease contract as a single component to the extent that the timing and pattern of transfer are similar for the lease and nonlease components and the lease component qualifies as an operating lease. Accordingly, the nonlease components of tenant reimbursements for net leases, interconnection services, installation services of Company-owned data center equipment and payments for power by data center tenants are combined with their respective lease components and accounted for as a single lease component as the lease component is predominant.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Rental Income and Tenant Reimbursements</w:t>
      </w:r>
    </w:p>
    <w:p>
      <w:pPr>
        <w:spacing w:after="0" w:line="113" w:lineRule="exact"/>
        <w:rPr>
          <w:sz w:val="20"/>
          <w:szCs w:val="20"/>
          <w:color w:val="auto"/>
        </w:rPr>
      </w:pPr>
    </w:p>
    <w:p>
      <w:pPr>
        <w:ind w:right="220" w:firstLine="386"/>
        <w:spacing w:after="0" w:line="248" w:lineRule="auto"/>
        <w:rPr>
          <w:sz w:val="20"/>
          <w:szCs w:val="20"/>
          <w:color w:val="auto"/>
        </w:rPr>
      </w:pPr>
      <w:r>
        <w:rPr>
          <w:rFonts w:ascii="Arial" w:cs="Arial" w:eastAsia="Arial" w:hAnsi="Arial"/>
          <w:sz w:val="16"/>
          <w:szCs w:val="16"/>
          <w:color w:val="auto"/>
        </w:rPr>
        <w:t>Rental income is recognized on a straight-line basis over the noncancelable term of the related lease which includes the effects of minimum rent increases and rent abatements under the lease. Rents received in advance are deferred.</w:t>
      </w:r>
    </w:p>
    <w:p>
      <w:pPr>
        <w:spacing w:after="0" w:line="88" w:lineRule="exact"/>
        <w:rPr>
          <w:sz w:val="20"/>
          <w:szCs w:val="20"/>
          <w:color w:val="auto"/>
        </w:rPr>
      </w:pPr>
    </w:p>
    <w:p>
      <w:pPr>
        <w:ind w:firstLine="386"/>
        <w:spacing w:after="0" w:line="244" w:lineRule="auto"/>
        <w:rPr>
          <w:sz w:val="20"/>
          <w:szCs w:val="20"/>
          <w:color w:val="auto"/>
        </w:rPr>
      </w:pPr>
      <w:r>
        <w:rPr>
          <w:rFonts w:ascii="Arial" w:cs="Arial" w:eastAsia="Arial" w:hAnsi="Arial"/>
          <w:sz w:val="16"/>
          <w:szCs w:val="16"/>
          <w:color w:val="auto"/>
        </w:rPr>
        <w:t>In net lease arrangements, the tenant is generally responsible for operating expenses relating to the property, including real estate taxes, property insurance, maintenance, repairs and improvements. Costs reimbursable from tenants and other recoverable costs are recognized as revenue in the period the recoverable costs are incurred. When the Company is the primary obligor with respect to purchasing goods and services for property operations and has discretion in selecting the supplier and retains credit risk, tenant reimbursement revenue and property operating expenses are presented on a gross basis in the statements of operations. For net leases where the lessee self-manages the property, hires its own service providers and retains credit risk for routine maintenance contracts, no reimbursement revenue and expense are recognized. For property taxes and insurance, amounts paid directly by lessees to third parties on behalf of the Company are not recognized in the statement of operations, while amounts paid by the Company and reimbursed by lessees are presented gross as property operating income and expenses. Also, sales and similar taxes assessed by a governmental authority that is imposed on specific lease income producing transactions are netted against related collections from lessees.</w:t>
      </w:r>
    </w:p>
    <w:p>
      <w:pPr>
        <w:spacing w:after="0" w:line="94" w:lineRule="exact"/>
        <w:rPr>
          <w:sz w:val="20"/>
          <w:szCs w:val="20"/>
          <w:color w:val="auto"/>
        </w:rPr>
      </w:pPr>
    </w:p>
    <w:p>
      <w:pPr>
        <w:ind w:right="60" w:firstLine="386"/>
        <w:spacing w:after="0" w:line="245" w:lineRule="auto"/>
        <w:rPr>
          <w:sz w:val="20"/>
          <w:szCs w:val="20"/>
          <w:color w:val="auto"/>
        </w:rPr>
      </w:pPr>
      <w:r>
        <w:rPr>
          <w:rFonts w:ascii="Arial" w:cs="Arial" w:eastAsia="Arial" w:hAnsi="Arial"/>
          <w:sz w:val="16"/>
          <w:szCs w:val="16"/>
          <w:color w:val="auto"/>
        </w:rPr>
        <w:t>When it is determined that the Company is the owner of tenant improvements, the cost to construct the tenant improvements, including costs paid for or reimbursed from the tenants, is capitalized. For Company-owned tenant improvements, the amounts funded by or reimbursed from the tenants are recorded as deferred revenue, which is amortized on a straight-line basis as additional rental income over the term of the related lease. Rental income recognition commences when the leased space is substantially ready for its intended use and the tenant takes possession of the leased space.</w:t>
      </w:r>
    </w:p>
    <w:p>
      <w:pPr>
        <w:spacing w:after="0" w:line="91" w:lineRule="exact"/>
        <w:rPr>
          <w:sz w:val="20"/>
          <w:szCs w:val="20"/>
          <w:color w:val="auto"/>
        </w:rPr>
      </w:pPr>
    </w:p>
    <w:p>
      <w:pPr>
        <w:ind w:right="20" w:firstLine="386"/>
        <w:spacing w:after="0" w:line="246" w:lineRule="auto"/>
        <w:rPr>
          <w:sz w:val="20"/>
          <w:szCs w:val="20"/>
          <w:color w:val="auto"/>
        </w:rPr>
      </w:pPr>
      <w:r>
        <w:rPr>
          <w:rFonts w:ascii="Arial" w:cs="Arial" w:eastAsia="Arial" w:hAnsi="Arial"/>
          <w:sz w:val="16"/>
          <w:szCs w:val="16"/>
          <w:color w:val="auto"/>
        </w:rPr>
        <w:t>When it is determined that the tenant is the owner of tenant improvements, the Company's contribution towards those improvements is recorded as a lease incentive, included in deferred leasing costs and intangible assets on the balance sheet, and amortized as a reduction to rental income on a straight-line basis over the term of the lease. Rental income recognition commences when the tenant takes possession of the lease space.</w:t>
      </w:r>
    </w:p>
    <w:p>
      <w:pPr>
        <w:spacing w:after="0" w:line="73" w:lineRule="exact"/>
        <w:rPr>
          <w:sz w:val="20"/>
          <w:szCs w:val="20"/>
          <w:color w:val="auto"/>
        </w:rPr>
      </w:pPr>
    </w:p>
    <w:p>
      <w:pPr>
        <w:jc w:val="both"/>
        <w:ind w:right="160" w:firstLine="386"/>
        <w:spacing w:after="0" w:line="256" w:lineRule="auto"/>
        <w:rPr>
          <w:sz w:val="20"/>
          <w:szCs w:val="20"/>
          <w:color w:val="auto"/>
        </w:rPr>
      </w:pPr>
      <w:r>
        <w:rPr>
          <w:rFonts w:ascii="Arial" w:cs="Arial" w:eastAsia="Arial" w:hAnsi="Arial"/>
          <w:sz w:val="16"/>
          <w:szCs w:val="16"/>
          <w:i w:val="1"/>
          <w:iCs w:val="1"/>
          <w:color w:val="auto"/>
        </w:rPr>
        <w:t>Collectability</w:t>
      </w:r>
      <w:r>
        <w:rPr>
          <w:rFonts w:ascii="Arial" w:cs="Arial" w:eastAsia="Arial" w:hAnsi="Arial"/>
          <w:sz w:val="16"/>
          <w:szCs w:val="16"/>
          <w:color w:val="auto"/>
        </w:rPr>
        <w:t>—The Company evaluates collectability of lease payments based upon the creditworthiness of the lessee and recognizes lease income only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collection of all amounts due over the life of the lease is determined to be probable. If collection is subsequently determined to no longer be probable, any previously accrued lease income that has not been collected is subject to reversal. If collection is subsequently determined to be probable,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8" w:name="page129"/>
    <w:bookmarkEnd w:id="1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lease income and corresponding receivable would be reestablished to an amount that would have been recognized if collection had always been deemed to be probable.</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Costs to Execute Lease</w:t>
      </w:r>
      <w:r>
        <w:rPr>
          <w:rFonts w:ascii="Arial" w:cs="Arial" w:eastAsia="Arial" w:hAnsi="Arial"/>
          <w:sz w:val="14"/>
          <w:szCs w:val="14"/>
          <w:color w:val="auto"/>
        </w:rPr>
        <w:t>—Only incremental costs of obtaining a lease, such as leasing commissions, qualify as initial direct leasing costs to be capitalized.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Indirect costs such as allocated overhead, certain legal fees and negotiation costs are expensed as incurred.</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Resident Fee Income</w:t>
      </w:r>
    </w:p>
    <w:p>
      <w:pPr>
        <w:spacing w:after="0" w:line="113" w:lineRule="exact"/>
        <w:rPr>
          <w:sz w:val="20"/>
          <w:szCs w:val="20"/>
          <w:color w:val="auto"/>
        </w:rPr>
      </w:pPr>
    </w:p>
    <w:p>
      <w:pPr>
        <w:ind w:right="180" w:firstLine="386"/>
        <w:spacing w:after="0" w:line="246" w:lineRule="auto"/>
        <w:rPr>
          <w:sz w:val="20"/>
          <w:szCs w:val="20"/>
          <w:color w:val="auto"/>
        </w:rPr>
      </w:pPr>
      <w:r>
        <w:rPr>
          <w:rFonts w:ascii="Arial" w:cs="Arial" w:eastAsia="Arial" w:hAnsi="Arial"/>
          <w:sz w:val="16"/>
          <w:szCs w:val="16"/>
          <w:color w:val="auto"/>
        </w:rPr>
        <w:t>Resident fee income, presented within discontinued operations, is earned from senior housing operating facilities that operate through management agreements with independent third-party operators. Resident fee income related to independent living and assisted living facilities is recorded when services are rendered based on terms of their respective lease agreements. The Company's healthcare business was sold in February 2022.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Data Center Service Revenue</w:t>
      </w:r>
    </w:p>
    <w:p>
      <w:pPr>
        <w:spacing w:after="0" w:line="113" w:lineRule="exact"/>
        <w:rPr>
          <w:sz w:val="20"/>
          <w:szCs w:val="20"/>
          <w:color w:val="auto"/>
        </w:rPr>
      </w:pPr>
    </w:p>
    <w:p>
      <w:pPr>
        <w:jc w:val="both"/>
        <w:ind w:right="140" w:firstLine="351"/>
        <w:spacing w:after="0" w:line="246" w:lineRule="auto"/>
        <w:rPr>
          <w:sz w:val="20"/>
          <w:szCs w:val="20"/>
          <w:color w:val="auto"/>
        </w:rPr>
      </w:pPr>
      <w:r>
        <w:rPr>
          <w:rFonts w:ascii="Arial" w:cs="Arial" w:eastAsia="Arial" w:hAnsi="Arial"/>
          <w:sz w:val="16"/>
          <w:szCs w:val="16"/>
          <w:color w:val="auto"/>
        </w:rPr>
        <w:t>The Company earns data center service revenue, primarily composed of cloud services, data storage, data protection, network services, software licensing, other services related to installation of customer equipment, and other related information technology services, which are recognized as services are provided to data center customers.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Hotel Operating Income</w:t>
      </w:r>
    </w:p>
    <w:p>
      <w:pPr>
        <w:spacing w:after="0" w:line="113" w:lineRule="exact"/>
        <w:rPr>
          <w:sz w:val="20"/>
          <w:szCs w:val="20"/>
          <w:color w:val="auto"/>
        </w:rPr>
      </w:pPr>
    </w:p>
    <w:p>
      <w:pPr>
        <w:ind w:right="60" w:firstLine="386"/>
        <w:spacing w:after="0" w:line="246" w:lineRule="auto"/>
        <w:rPr>
          <w:sz w:val="20"/>
          <w:szCs w:val="20"/>
          <w:color w:val="auto"/>
        </w:rPr>
      </w:pPr>
      <w:r>
        <w:rPr>
          <w:rFonts w:ascii="Arial" w:cs="Arial" w:eastAsia="Arial" w:hAnsi="Arial"/>
          <w:sz w:val="16"/>
          <w:szCs w:val="16"/>
          <w:color w:val="auto"/>
        </w:rPr>
        <w:t>Hotel operating income, presented within discontinued operations, includes room revenue, food and beverage sales and other ancillary services. Revenue is recognized upon occupancy of rooms, consummation of sales and provision of services. The Company's hotel business was sold in March 2021, with one remaining portfolio that was in receivership sold by the lender in September 2021.</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Fee Income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Fee income consists primarily of the following:</w:t>
      </w:r>
    </w:p>
    <w:p>
      <w:pPr>
        <w:spacing w:after="0" w:line="81" w:lineRule="exact"/>
        <w:rPr>
          <w:sz w:val="20"/>
          <w:szCs w:val="20"/>
          <w:color w:val="auto"/>
        </w:rPr>
      </w:pPr>
    </w:p>
    <w:p>
      <w:pPr>
        <w:ind w:right="620" w:firstLine="386"/>
        <w:spacing w:after="0" w:line="256"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—The Company earns management fees for providing investment management services to its sponsored private funds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vehicles, portfolio companies and managed accounts, which constitute a series of distinct services satisfied over time. Management fees are recognized over the life of the investment vehicle as services are provided.</w:t>
      </w:r>
    </w:p>
    <w:p>
      <w:pPr>
        <w:spacing w:after="0" w:line="66" w:lineRule="exact"/>
        <w:rPr>
          <w:sz w:val="20"/>
          <w:szCs w:val="20"/>
          <w:color w:val="auto"/>
        </w:rPr>
      </w:pPr>
    </w:p>
    <w:p>
      <w:pPr>
        <w:ind w:firstLine="386"/>
        <w:spacing w:after="0" w:line="250" w:lineRule="auto"/>
        <w:rPr>
          <w:sz w:val="20"/>
          <w:szCs w:val="20"/>
          <w:color w:val="auto"/>
        </w:rPr>
      </w:pPr>
      <w:r>
        <w:rPr>
          <w:rFonts w:ascii="Arial" w:cs="Arial" w:eastAsia="Arial" w:hAnsi="Arial"/>
          <w:sz w:val="16"/>
          <w:szCs w:val="16"/>
          <w:i w:val="1"/>
          <w:iCs w:val="1"/>
          <w:color w:val="auto"/>
        </w:rPr>
        <w:t>Incentive Fees</w:t>
      </w:r>
      <w:r>
        <w:rPr>
          <w:rFonts w:ascii="Arial" w:cs="Arial" w:eastAsia="Arial" w:hAnsi="Arial"/>
          <w:sz w:val="16"/>
          <w:szCs w:val="16"/>
          <w:color w:val="auto"/>
        </w:rPr>
        <w:t>—The Company is entitled to incentive fees from funds and managed accounts in its liquid securities strategy. Incentive fees are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 performance of the respective funds or accounts, subject to the achievement of specified return thresholds in accordance with the terms set out in their respective governing agreements. Incentive fees take the form of a contractual fee arrangement, and unlike carried interests, do not represent an allocation of returns among equity holders of an investment vehicle. Incentive fees are a form of variable consideration and are recognized when it is probable that a significant reversal of the cumulative revenue will not occur, which is generally at the end of the performance measurement period.</w:t>
      </w:r>
    </w:p>
    <w:p>
      <w:pPr>
        <w:spacing w:after="0" w:line="87" w:lineRule="exact"/>
        <w:rPr>
          <w:sz w:val="20"/>
          <w:szCs w:val="20"/>
          <w:color w:val="auto"/>
        </w:rPr>
      </w:pPr>
    </w:p>
    <w:p>
      <w:pPr>
        <w:jc w:val="both"/>
        <w:ind w:right="140" w:firstLine="386"/>
        <w:spacing w:after="0" w:line="245" w:lineRule="auto"/>
        <w:rPr>
          <w:sz w:val="20"/>
          <w:szCs w:val="20"/>
          <w:color w:val="auto"/>
        </w:rPr>
      </w:pPr>
      <w:r>
        <w:rPr>
          <w:rFonts w:ascii="Arial" w:cs="Arial" w:eastAsia="Arial" w:hAnsi="Arial"/>
          <w:sz w:val="16"/>
          <w:szCs w:val="16"/>
          <w:color w:val="auto"/>
        </w:rPr>
        <w:t>Management fees and incentive fees earned from consolidated funds and other investment vehicles are eliminated in consolidation. However, because the fees are funded by and earned from third party investors in these consolidated vehicles who represent noncontrolling interests, the Company's allocated share of net income from the consolidated funds and other vehicles is increased by the amount of fees that are eliminated. Accordingly, the elimination of these fees does not affect net income (loss) attributable to DBRG.</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Income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Recurring other income includes primarily the following:</w:t>
      </w:r>
    </w:p>
    <w:p>
      <w:pPr>
        <w:spacing w:after="0" w:line="81" w:lineRule="exact"/>
        <w:rPr>
          <w:sz w:val="20"/>
          <w:szCs w:val="20"/>
          <w:color w:val="auto"/>
        </w:rPr>
      </w:pPr>
    </w:p>
    <w:p>
      <w:pPr>
        <w:ind w:right="120" w:firstLine="386"/>
        <w:spacing w:after="0" w:line="252" w:lineRule="auto"/>
        <w:rPr>
          <w:sz w:val="20"/>
          <w:szCs w:val="20"/>
          <w:color w:val="auto"/>
        </w:rPr>
      </w:pPr>
      <w:r>
        <w:rPr>
          <w:rFonts w:ascii="Arial" w:cs="Arial" w:eastAsia="Arial" w:hAnsi="Arial"/>
          <w:sz w:val="16"/>
          <w:szCs w:val="16"/>
          <w:i w:val="1"/>
          <w:iCs w:val="1"/>
          <w:color w:val="auto"/>
        </w:rPr>
        <w:t>Cost Reimbursements from Affiliates</w:t>
      </w:r>
      <w:r>
        <w:rPr>
          <w:rFonts w:ascii="Arial" w:cs="Arial" w:eastAsia="Arial" w:hAnsi="Arial"/>
          <w:sz w:val="16"/>
          <w:szCs w:val="16"/>
          <w:color w:val="auto"/>
        </w:rPr>
        <w:t>—For various services provided to certain affiliates, including managed investment vehicles, the Company is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reimbursements of expenses incurred, generally based on expenses that are directly attributable to providing those services and/or a portion of overhead costs. The Company acts in the capacity of a principal under these arrangements. Accordingly, the Company records the expenses and corresponding reimbursement income on a gross basis in the period the services are rendered and costs are incurred.</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Equity Awards Granted by Managed Companies</w:t>
      </w:r>
      <w:r>
        <w:rPr>
          <w:rFonts w:ascii="Arial" w:cs="Arial" w:eastAsia="Arial" w:hAnsi="Arial"/>
          <w:sz w:val="16"/>
          <w:szCs w:val="16"/>
          <w:color w:val="auto"/>
        </w:rPr>
        <w:t>—These were equity awards granted to the Company to be granted</w:t>
      </w:r>
    </w:p>
    <w:p>
      <w:pPr>
        <w:spacing w:after="0" w:line="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to its employees or granted directly to its employees by publicly-traded REITs previously managed by the Company, NRE (prior to the sale of NRE in September 2019) and BRSP (prior to termination of its management agreement in April 2021). The initial grant was recorded as an other asset and deferred income liability on the balance sheet. The liability was amortized on a straight-line basis to other income over the initial vesting period of the award and equity-based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9" w:name="page130"/>
    <w:bookmarkEnd w:id="1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360"/>
        <w:spacing w:after="0" w:line="228" w:lineRule="auto"/>
        <w:rPr>
          <w:sz w:val="20"/>
          <w:szCs w:val="20"/>
          <w:color w:val="auto"/>
        </w:rPr>
      </w:pPr>
      <w:r>
        <w:rPr>
          <w:rFonts w:ascii="Arial" w:cs="Arial" w:eastAsia="Arial" w:hAnsi="Arial"/>
          <w:sz w:val="16"/>
          <w:szCs w:val="16"/>
          <w:color w:val="auto"/>
        </w:rPr>
        <w:t>compensation expense was recognized as the award vested to the recipient employee. Compensation expense related to equity awards granted by managed companies is presented within discontinued operations.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Compensation</w:t>
      </w:r>
    </w:p>
    <w:p>
      <w:pPr>
        <w:spacing w:after="0" w:line="115" w:lineRule="exact"/>
        <w:rPr>
          <w:sz w:val="20"/>
          <w:szCs w:val="20"/>
          <w:color w:val="auto"/>
        </w:rPr>
      </w:pPr>
    </w:p>
    <w:p>
      <w:pPr>
        <w:ind w:right="660" w:firstLine="386"/>
        <w:spacing w:after="0" w:line="248" w:lineRule="auto"/>
        <w:rPr>
          <w:sz w:val="20"/>
          <w:szCs w:val="20"/>
          <w:color w:val="auto"/>
        </w:rPr>
      </w:pPr>
      <w:r>
        <w:rPr>
          <w:rFonts w:ascii="Arial" w:cs="Arial" w:eastAsia="Arial" w:hAnsi="Arial"/>
          <w:sz w:val="16"/>
          <w:szCs w:val="16"/>
          <w:color w:val="auto"/>
        </w:rPr>
        <w:t>Compensation comprises salaries, bonus including discretionary awards and contractual amounts for certain senior executives, benefits, severance payments, and equity-based compensation. Bonus is accrued over the employment period to which it relates.</w:t>
      </w:r>
    </w:p>
    <w:p>
      <w:pPr>
        <w:spacing w:after="0" w:line="72" w:lineRule="exact"/>
        <w:rPr>
          <w:sz w:val="20"/>
          <w:szCs w:val="20"/>
          <w:color w:val="auto"/>
        </w:rPr>
      </w:pPr>
    </w:p>
    <w:p>
      <w:pPr>
        <w:ind w:right="20" w:firstLine="386"/>
        <w:spacing w:after="0" w:line="294" w:lineRule="auto"/>
        <w:rPr>
          <w:sz w:val="20"/>
          <w:szCs w:val="20"/>
          <w:color w:val="auto"/>
        </w:rPr>
      </w:pPr>
      <w:r>
        <w:rPr>
          <w:rFonts w:ascii="Arial" w:cs="Arial" w:eastAsia="Arial" w:hAnsi="Arial"/>
          <w:sz w:val="14"/>
          <w:szCs w:val="14"/>
          <w:i w:val="1"/>
          <w:iCs w:val="1"/>
          <w:color w:val="auto"/>
        </w:rPr>
        <w:t>Carried Interest and Incentive Fee Compensation</w:t>
      </w:r>
      <w:r>
        <w:rPr>
          <w:rFonts w:ascii="Arial" w:cs="Arial" w:eastAsia="Arial" w:hAnsi="Arial"/>
          <w:sz w:val="14"/>
          <w:szCs w:val="14"/>
          <w:color w:val="auto"/>
        </w:rPr>
        <w:t>—This represents a portion of carried interest and incentive fees earned by the Company that are allocated</w:t>
      </w:r>
      <w:r>
        <w:rPr>
          <w:rFonts w:ascii="Arial" w:cs="Arial" w:eastAsia="Arial" w:hAnsi="Arial"/>
          <w:sz w:val="14"/>
          <w:szCs w:val="14"/>
          <w:i w:val="1"/>
          <w:iCs w:val="1"/>
          <w:color w:val="auto"/>
        </w:rPr>
        <w:t xml:space="preserve"> </w:t>
      </w:r>
      <w:r>
        <w:rPr>
          <w:rFonts w:ascii="Arial" w:cs="Arial" w:eastAsia="Arial" w:hAnsi="Arial"/>
          <w:sz w:val="14"/>
          <w:szCs w:val="14"/>
          <w:color w:val="auto"/>
        </w:rPr>
        <w:t>to senior management, investment professionals and certain other employees of the Company. Carried interest and incentive fee compensation are generally recorded as the related carried interest and incentive fees are recognized in earnings by the Company. Carried interest compensation amounts may be reversed if there is a decline in the cumulative carried interest amounts previously recognized by the Company. Carried interest and incentive fee compensation are generally not paid to management or other employees until the related carried interest and incentive fee amounts are distributed by the investment vehicles to the Company.</w:t>
      </w:r>
    </w:p>
    <w:p>
      <w:pPr>
        <w:spacing w:after="0" w:line="43" w:lineRule="exact"/>
        <w:rPr>
          <w:sz w:val="20"/>
          <w:szCs w:val="20"/>
          <w:color w:val="auto"/>
        </w:rPr>
      </w:pPr>
    </w:p>
    <w:p>
      <w:pPr>
        <w:ind w:right="320" w:firstLine="386"/>
        <w:spacing w:after="0" w:line="268" w:lineRule="auto"/>
        <w:rPr>
          <w:sz w:val="20"/>
          <w:szCs w:val="20"/>
          <w:color w:val="auto"/>
        </w:rPr>
      </w:pPr>
      <w:r>
        <w:rPr>
          <w:rFonts w:ascii="Arial" w:cs="Arial" w:eastAsia="Arial" w:hAnsi="Arial"/>
          <w:sz w:val="16"/>
          <w:szCs w:val="16"/>
          <w:i w:val="1"/>
          <w:iCs w:val="1"/>
          <w:color w:val="auto"/>
        </w:rPr>
        <w:t>Equity-Based Compensation</w:t>
      </w:r>
      <w:r>
        <w:rPr>
          <w:rFonts w:ascii="Arial" w:cs="Arial" w:eastAsia="Arial" w:hAnsi="Arial"/>
          <w:sz w:val="16"/>
          <w:szCs w:val="16"/>
          <w:color w:val="auto"/>
        </w:rPr>
        <w:t>—Equity-classified stock awards granted to employees and non-employees that have a service condition and/or a market 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 are measured at fair value at date of grant.</w:t>
      </w:r>
    </w:p>
    <w:p>
      <w:pPr>
        <w:spacing w:after="0" w:line="73" w:lineRule="exact"/>
        <w:rPr>
          <w:sz w:val="20"/>
          <w:szCs w:val="20"/>
          <w:color w:val="auto"/>
        </w:rPr>
      </w:pPr>
    </w:p>
    <w:p>
      <w:pPr>
        <w:ind w:right="40" w:firstLine="386"/>
        <w:spacing w:after="0" w:line="245" w:lineRule="auto"/>
        <w:rPr>
          <w:sz w:val="20"/>
          <w:szCs w:val="20"/>
          <w:color w:val="auto"/>
        </w:rPr>
      </w:pPr>
      <w:r>
        <w:rPr>
          <w:rFonts w:ascii="Arial" w:cs="Arial" w:eastAsia="Arial" w:hAnsi="Arial"/>
          <w:sz w:val="16"/>
          <w:szCs w:val="16"/>
          <w:color w:val="auto"/>
        </w:rPr>
        <w:t>A modification in the terms or conditions of an award, unless the change is non-substantive, represents an exchange of the original award for a new award. The modified award is revalued and incremental compensation cost is recognized for the excess, if any, between fair value of the award upon modification and fair value of the award immediately prior to modification. Total compensation cost recognized for a modified award, however, cannot be less than its grant date fair value, unless at the time of modification, the service or performance condition of the original award was not expected to be satisfied.</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Liability-classified stock awards are remeasured at fair value at the end of each reporting period until the award is fully vested.</w:t>
      </w:r>
    </w:p>
    <w:p>
      <w:pPr>
        <w:spacing w:after="0" w:line="97" w:lineRule="exact"/>
        <w:rPr>
          <w:sz w:val="20"/>
          <w:szCs w:val="20"/>
          <w:color w:val="auto"/>
        </w:rPr>
      </w:pPr>
    </w:p>
    <w:p>
      <w:pPr>
        <w:ind w:right="60" w:firstLine="386"/>
        <w:spacing w:after="0" w:line="244" w:lineRule="auto"/>
        <w:rPr>
          <w:sz w:val="20"/>
          <w:szCs w:val="20"/>
          <w:color w:val="auto"/>
        </w:rPr>
      </w:pPr>
      <w:r>
        <w:rPr>
          <w:rFonts w:ascii="Arial" w:cs="Arial" w:eastAsia="Arial" w:hAnsi="Arial"/>
          <w:sz w:val="16"/>
          <w:szCs w:val="16"/>
          <w:color w:val="auto"/>
        </w:rPr>
        <w:t>Compensation expense is recognized on a straight-line basis over the requisite service period of each award, with the amount of compensation expense recognized at the end of a reporting period at least equal the portion of fair value of the respective award at grant date or modification date, as applicable, that has vested through that date. For awards with a performance condition, compensation expense is recognized only if and when it becomes probable that the performance condition will be met, with a cumulative adjustment from service inception date, and conversely, compensation cost is reversed to the extent it is no longer probable that the performance condition will be met. For awards with a market condition, compensation cost is not reversed if a market condition is not met so long as the requisite service has been rendered, as a market condition does not represent a vesting condition. Compensation expense is adjusted for actual forfeitures upon occurrence.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Income Taxes</w:t>
      </w:r>
    </w:p>
    <w:p>
      <w:pPr>
        <w:spacing w:after="0" w:line="115" w:lineRule="exact"/>
        <w:rPr>
          <w:sz w:val="20"/>
          <w:szCs w:val="20"/>
          <w:color w:val="auto"/>
        </w:rPr>
      </w:pPr>
    </w:p>
    <w:p>
      <w:pPr>
        <w:ind w:right="60" w:firstLine="386"/>
        <w:spacing w:after="0" w:line="244" w:lineRule="auto"/>
        <w:rPr>
          <w:sz w:val="20"/>
          <w:szCs w:val="20"/>
          <w:color w:val="auto"/>
        </w:rPr>
      </w:pPr>
      <w:r>
        <w:rPr>
          <w:rFonts w:ascii="Arial" w:cs="Arial" w:eastAsia="Arial" w:hAnsi="Arial"/>
          <w:sz w:val="16"/>
          <w:szCs w:val="16"/>
          <w:color w:val="auto"/>
        </w:rPr>
        <w:t>A REIT is generally not subject to corporate-level federal and state income tax on net income it distributes to its stockholders. To qualify as a REIT, the Company must meet a number of organizational and operational requirements, including a requirement to distribute at least 90% of its REIT taxable income to its stockholders. If the Company fails to qualify as a REIT in any taxable year and if the statutory relief provisions were not to apply, the Company would be subject to federal and state income taxes at regular corporate rates and may not be able to qualify as a REIT for four subsequent taxable years. Even if the Company qualifies as a REIT, it and its subsidiaries may be subject to certain U.S federal, state and local as well as foreign taxes on its income and property and to U.S federal income and excise taxes on its undistributed taxable income.</w:t>
      </w:r>
    </w:p>
    <w:p>
      <w:pPr>
        <w:spacing w:after="0" w:line="94" w:lineRule="exact"/>
        <w:rPr>
          <w:sz w:val="20"/>
          <w:szCs w:val="20"/>
          <w:color w:val="auto"/>
        </w:rPr>
      </w:pPr>
    </w:p>
    <w:p>
      <w:pPr>
        <w:ind w:firstLine="386"/>
        <w:spacing w:after="0" w:line="244" w:lineRule="auto"/>
        <w:rPr>
          <w:sz w:val="20"/>
          <w:szCs w:val="20"/>
          <w:color w:val="auto"/>
        </w:rPr>
      </w:pPr>
      <w:r>
        <w:rPr>
          <w:rFonts w:ascii="Arial" w:cs="Arial" w:eastAsia="Arial" w:hAnsi="Arial"/>
          <w:sz w:val="16"/>
          <w:szCs w:val="16"/>
          <w:color w:val="auto"/>
        </w:rPr>
        <w:t>The Company has elected or may elect to treat certain of its existing or newly created corporate subsidiaries as taxable REIT subsidiaries (each a “TRS”). In general, a TRS may perform non-customary services for tenants of the REIT, hold assets that the REIT cannot or does not intend to hold directly and, subject to certain exceptions related to hotels and healthcare properties, may engage in any real estate or non-real estate related business. The Company uses TRS entities to conduct certain activities that cannot be conducted directly by a REIT, such as investment management, property management including hotel and healthcare operations as well as loan servicing and workout activities. A TRS is treated as a regular, taxable corporation for U.S income tax purposes and therefore, is subject to U.S federal corporate tax on its income and property. Additionally, the Company has invested in real estate assets in foreign countries for which related earnings or other measures are subject to income taxes in the respective foreign jurisdictions, and in some cases, the repatriation of earnings are subject to withholding taxes.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30" w:name="page131"/>
    <w:bookmarkEnd w:id="1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80" w:firstLine="386"/>
        <w:spacing w:after="0" w:line="247" w:lineRule="auto"/>
        <w:rPr>
          <w:sz w:val="20"/>
          <w:szCs w:val="20"/>
          <w:color w:val="auto"/>
        </w:rPr>
      </w:pPr>
      <w:r>
        <w:rPr>
          <w:rFonts w:ascii="Arial" w:cs="Arial" w:eastAsia="Arial" w:hAnsi="Arial"/>
          <w:sz w:val="16"/>
          <w:szCs w:val="16"/>
          <w:i w:val="1"/>
          <w:iCs w:val="1"/>
          <w:color w:val="auto"/>
        </w:rPr>
        <w:t>Deferred Income Taxes</w:t>
      </w:r>
      <w:r>
        <w:rPr>
          <w:rFonts w:ascii="Arial" w:cs="Arial" w:eastAsia="Arial" w:hAnsi="Arial"/>
          <w:sz w:val="16"/>
          <w:szCs w:val="16"/>
          <w:color w:val="auto"/>
        </w:rPr>
        <w:t>—The provision for income taxes includes current and deferred portions. The Company uses the asset and liability method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taxes, which requires that the Company's income tax expense reflect the expected future tax consequences of temporary differences between the carrying amounts of assets or liabilities for financial reporting versus income tax purposes. Accordingly, a deferred tax asset or liability for each temporary difference is determined based on enacted tax rates that the Company expects to be in effect when the underlying items of income and expense are realized and the differences reverse. A deferred tax asset is also recognized for net operating loss ("NOL") carryforwards of the TRS and foreign taxable entities. A valuation allowance for deferred tax assets is established if the Company believes it is more likely than not that all or some portion of the deferred tax assets will not be realized. Realization of deferred tax assets is dependent on the Company's TRS and foreign taxable entities generating sufficient taxable income in future periods or employing certain tax planning strategies to realize such deferred tax assets.</w:t>
      </w:r>
    </w:p>
    <w:p>
      <w:pPr>
        <w:spacing w:after="0" w:line="76" w:lineRule="exact"/>
        <w:rPr>
          <w:sz w:val="20"/>
          <w:szCs w:val="20"/>
          <w:color w:val="auto"/>
        </w:rPr>
      </w:pPr>
    </w:p>
    <w:p>
      <w:pPr>
        <w:ind w:firstLine="386"/>
        <w:spacing w:after="0" w:line="250" w:lineRule="auto"/>
        <w:rPr>
          <w:sz w:val="20"/>
          <w:szCs w:val="20"/>
          <w:color w:val="auto"/>
        </w:rPr>
      </w:pPr>
      <w:r>
        <w:rPr>
          <w:rFonts w:ascii="Arial" w:cs="Arial" w:eastAsia="Arial" w:hAnsi="Arial"/>
          <w:sz w:val="16"/>
          <w:szCs w:val="16"/>
          <w:i w:val="1"/>
          <w:iCs w:val="1"/>
          <w:color w:val="auto"/>
        </w:rPr>
        <w:t>Uncertain Tax Positions</w:t>
      </w:r>
      <w:r>
        <w:rPr>
          <w:rFonts w:ascii="Arial" w:cs="Arial" w:eastAsia="Arial" w:hAnsi="Arial"/>
          <w:sz w:val="16"/>
          <w:szCs w:val="16"/>
          <w:color w:val="auto"/>
        </w:rPr>
        <w:t>—Income tax benefits are recognized for uncertain tax positions that are more likely than not to be sustained based solely on their</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merits. Such uncertain tax positions are measured as the largest amount of benefit that is more likely than not to be realized upon settlement. The difference between the benefit recognized and the tax benefit claimed on a tax return results in an unrecognized tax benefit. The Company evaluates on a quarterly basis whether it is more likely than not that its uncertain tax positions would be sustained upon examination by a tax authority for all open tax years, as defined by the statute of limitations.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115" w:lineRule="exact"/>
        <w:rPr>
          <w:sz w:val="20"/>
          <w:szCs w:val="20"/>
          <w:color w:val="auto"/>
        </w:rPr>
      </w:pPr>
    </w:p>
    <w:p>
      <w:pPr>
        <w:ind w:right="220" w:firstLine="386"/>
        <w:spacing w:after="0" w:line="245" w:lineRule="auto"/>
        <w:rPr>
          <w:sz w:val="20"/>
          <w:szCs w:val="20"/>
          <w:color w:val="auto"/>
        </w:rPr>
      </w:pPr>
      <w:r>
        <w:rPr>
          <w:rFonts w:ascii="Arial" w:cs="Arial" w:eastAsia="Arial" w:hAnsi="Arial"/>
          <w:sz w:val="16"/>
          <w:szCs w:val="16"/>
          <w:color w:val="auto"/>
        </w:rPr>
        <w:t>The Company calculates basic earnings per share ("EPS") using the two-class method which defines unvested share based payment awards that contain nonforfeitable rights to dividends as participating securities. The two-class method is an allocation formula that determines EPS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EPS is calculated by dividing earnings allocated to common shareholders by the weighted-average number of common shares outstanding during the period.</w:t>
      </w:r>
    </w:p>
    <w:p>
      <w:pPr>
        <w:spacing w:after="0" w:line="90" w:lineRule="exact"/>
        <w:rPr>
          <w:sz w:val="20"/>
          <w:szCs w:val="20"/>
          <w:color w:val="auto"/>
        </w:rPr>
      </w:pPr>
    </w:p>
    <w:p>
      <w:pPr>
        <w:ind w:right="80" w:firstLine="386"/>
        <w:spacing w:after="0" w:line="245" w:lineRule="auto"/>
        <w:rPr>
          <w:sz w:val="20"/>
          <w:szCs w:val="20"/>
          <w:color w:val="auto"/>
        </w:rPr>
      </w:pPr>
      <w:r>
        <w:rPr>
          <w:rFonts w:ascii="Arial" w:cs="Arial" w:eastAsia="Arial" w:hAnsi="Arial"/>
          <w:sz w:val="16"/>
          <w:szCs w:val="16"/>
          <w:color w:val="auto"/>
        </w:rPr>
        <w:t>Diluted EPS is based on the weighted-average number of common shares and the effect of potentially dilutive common share equivalents outstanding during the period. Potentially dilutive common share equivalents include shares to be issued upon the assumed conversion of the Company's outstanding convertible notes, which are included under the if-converted method when dilutive. The earnings allocated to common shareholders is adjusted to add back the after-tax amount of interest expense associated with the convertible notes, except when doing so would be antidilutive.</w:t>
      </w:r>
    </w:p>
    <w:p>
      <w:pPr>
        <w:spacing w:after="0" w:line="91" w:lineRule="exact"/>
        <w:rPr>
          <w:sz w:val="20"/>
          <w:szCs w:val="20"/>
          <w:color w:val="auto"/>
        </w:rPr>
      </w:pPr>
    </w:p>
    <w:p>
      <w:pPr>
        <w:ind w:right="120" w:firstLine="386"/>
        <w:spacing w:after="0" w:line="291" w:lineRule="auto"/>
        <w:rPr>
          <w:sz w:val="20"/>
          <w:szCs w:val="20"/>
          <w:color w:val="auto"/>
        </w:rPr>
      </w:pPr>
      <w:r>
        <w:rPr>
          <w:rFonts w:ascii="Arial" w:cs="Arial" w:eastAsia="Arial" w:hAnsi="Arial"/>
          <w:sz w:val="14"/>
          <w:szCs w:val="14"/>
          <w:color w:val="auto"/>
        </w:rPr>
        <w:t>In circumstances where discontinued operations are reported, income from continuing operations is used as the benchmark to determine whether including potential common shares in diluted EPS computation would be antidilutive. Accordingly, if there is a loss from continuing operations and potential common shares would be antidilutive due to the loss, but there is net income after adjusting for discontinued operations, the potential common shares would be excluded from diluted EPS computation even though the effect on net income would be dilutive, because income from continuing operations is used as the benchmark.</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99" w:lineRule="exact"/>
        <w:rPr>
          <w:sz w:val="20"/>
          <w:szCs w:val="20"/>
          <w:color w:val="auto"/>
        </w:rPr>
      </w:pPr>
    </w:p>
    <w:p>
      <w:pPr>
        <w:ind w:right="80" w:firstLine="386"/>
        <w:spacing w:after="0" w:line="252" w:lineRule="auto"/>
        <w:rPr>
          <w:sz w:val="20"/>
          <w:szCs w:val="20"/>
          <w:color w:val="auto"/>
        </w:rPr>
      </w:pPr>
      <w:r>
        <w:rPr>
          <w:rFonts w:ascii="Arial" w:cs="Arial" w:eastAsia="Arial" w:hAnsi="Arial"/>
          <w:sz w:val="16"/>
          <w:szCs w:val="16"/>
          <w:color w:val="auto"/>
        </w:rPr>
        <w:t xml:space="preserve">Reclassifications were made related to discontinued operations as discussed in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above and to prior period segment reporting presentation as discussed in Note 20. Additionally, costs related to unconsummated transactions that were previously included within investment and servicing expense in prior periods have been reclassified as transaction-related costs on the consolidated statement of operations to conform to current period presentation. These reclassifications did not affect the Company's financial position, results of operations or cash flows.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Adjustments to Beginning Equity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On January 1, 2020, upon adoption of Accounting Standards Update ("ASU") No. 2016-13, </w:t>
      </w:r>
      <w:r>
        <w:rPr>
          <w:rFonts w:ascii="Arial" w:cs="Arial" w:eastAsia="Arial" w:hAnsi="Arial"/>
          <w:sz w:val="16"/>
          <w:szCs w:val="16"/>
          <w:i w:val="1"/>
          <w:iCs w:val="1"/>
          <w:color w:val="auto"/>
        </w:rPr>
        <w:t>Financial Instruments—</w:t>
      </w:r>
    </w:p>
    <w:p>
      <w:pPr>
        <w:spacing w:after="0" w:line="19"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i w:val="1"/>
          <w:iCs w:val="1"/>
          <w:color w:val="auto"/>
        </w:rPr>
        <w:t>Credit Losses</w:t>
      </w:r>
      <w:r>
        <w:rPr>
          <w:rFonts w:ascii="Arial" w:cs="Arial" w:eastAsia="Arial" w:hAnsi="Arial"/>
          <w:sz w:val="16"/>
          <w:szCs w:val="16"/>
          <w:color w:val="auto"/>
        </w:rPr>
        <w:t>, the Company recorded a $5.1 million decrease to beginning equity, composed of: (i) an $8.4 million decrease to beginning equity, representing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 of the cumulative effect adjustment of adopting the lifetime current expected credit loss ("CECL") model by its equity method investee, BRSP; partially offset by (ii) a $3.3 million increase to beginning equity, reflecting the cumulative effect adjustment of the Company's election of the fair value option for all of its then outstanding loans receivable.</w:t>
      </w:r>
    </w:p>
    <w:p>
      <w:pPr>
        <w:spacing w:after="0" w:line="75" w:lineRule="exact"/>
        <w:rPr>
          <w:sz w:val="20"/>
          <w:szCs w:val="20"/>
          <w:color w:val="auto"/>
        </w:rPr>
      </w:pPr>
    </w:p>
    <w:p>
      <w:pPr>
        <w:ind w:right="480" w:firstLine="386"/>
        <w:spacing w:after="0" w:line="268" w:lineRule="auto"/>
        <w:rPr>
          <w:sz w:val="20"/>
          <w:szCs w:val="20"/>
          <w:color w:val="auto"/>
        </w:rPr>
      </w:pPr>
      <w:r>
        <w:rPr>
          <w:rFonts w:ascii="Arial" w:cs="Arial" w:eastAsia="Arial" w:hAnsi="Arial"/>
          <w:sz w:val="16"/>
          <w:szCs w:val="16"/>
          <w:color w:val="auto"/>
        </w:rPr>
        <w:t xml:space="preserve">On January 1, 2019, 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determined that collection of certain operating lease receivables, net of existing allowance for bad debts, was not probable and recorded a cumulative adjustment of approximately $4.5 million to reduce beginning equity.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1" w:name="page132"/>
    <w:bookmarkEnd w:id="1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Standards Adopted in 2021</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Income Tax Accounting</w:t>
      </w:r>
    </w:p>
    <w:p>
      <w:pPr>
        <w:spacing w:after="0" w:line="99" w:lineRule="exact"/>
        <w:rPr>
          <w:sz w:val="20"/>
          <w:szCs w:val="20"/>
          <w:color w:val="auto"/>
        </w:rPr>
      </w:pPr>
    </w:p>
    <w:p>
      <w:pPr>
        <w:ind w:firstLine="351"/>
        <w:spacing w:after="0" w:line="247"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Accounting for Income Taxes</w:t>
      </w:r>
      <w:r>
        <w:rPr>
          <w:rFonts w:ascii="Arial" w:cs="Arial" w:eastAsia="Arial" w:hAnsi="Arial"/>
          <w:sz w:val="16"/>
          <w:szCs w:val="16"/>
          <w:color w:val="auto"/>
        </w:rPr>
        <w:t xml:space="preserve">. The ASU simplifies accounting for income taxes by eliminating certain exceptions to the general approach in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clarifies certain aspects of the guidance for more consistent application. The simplifications relate to intraperiod tax allocations when there is a loss in continuing operations and a gain outside of continuing operations, accounting for tax law or tax rate changes and year-to-date losses in interim periods, recognition of deferred tax liability for outside basis difference when investment ownership changes, and accounting for franchise taxes that are partially based on income. The ASU also provides new guidance that clarifies the accounting for transactions resulting in a step-up in tax basis of goodwill, among other changes. Transition is generally prospective, other than the provision related to outside basis difference which is on a modified retrospective basis with cumulative effect adjusted to retained earnings at the beginning of the period adopted, and franchise tax provision which is on either full or modified retrospective. The Company adopted the new guidance on January 1, 2021, with no material effect to its consolidated financial statements upon adoption.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Accounting for Certain Equity Investments</w:t>
      </w:r>
    </w:p>
    <w:p>
      <w:pPr>
        <w:spacing w:after="0" w:line="99" w:lineRule="exact"/>
        <w:rPr>
          <w:sz w:val="20"/>
          <w:szCs w:val="20"/>
          <w:color w:val="auto"/>
        </w:rPr>
      </w:pPr>
    </w:p>
    <w:p>
      <w:pPr>
        <w:ind w:firstLine="351"/>
        <w:spacing w:after="0" w:line="289" w:lineRule="auto"/>
        <w:rPr>
          <w:sz w:val="20"/>
          <w:szCs w:val="20"/>
          <w:color w:val="auto"/>
        </w:rPr>
      </w:pPr>
      <w:r>
        <w:rPr>
          <w:rFonts w:ascii="Arial" w:cs="Arial" w:eastAsia="Arial" w:hAnsi="Arial"/>
          <w:sz w:val="14"/>
          <w:szCs w:val="14"/>
          <w:color w:val="auto"/>
        </w:rPr>
        <w:t xml:space="preserve">In January 2020, the FASB issued ASU No. 2020-01, </w:t>
      </w:r>
      <w:r>
        <w:rPr>
          <w:rFonts w:ascii="Arial" w:cs="Arial" w:eastAsia="Arial" w:hAnsi="Arial"/>
          <w:sz w:val="14"/>
          <w:szCs w:val="14"/>
          <w:i w:val="1"/>
          <w:iCs w:val="1"/>
          <w:color w:val="auto"/>
        </w:rPr>
        <w:t>Clarifying the Interactions between Topic 321 Investments—Equity Securities, Topic 323—Investments</w:t>
      </w:r>
      <w:r>
        <w:rPr>
          <w:rFonts w:ascii="Arial" w:cs="Arial" w:eastAsia="Arial" w:hAnsi="Arial"/>
          <w:sz w:val="14"/>
          <w:szCs w:val="14"/>
          <w:color w:val="auto"/>
        </w:rPr>
        <w:t xml:space="preserve"> </w:t>
      </w:r>
      <w:r>
        <w:rPr>
          <w:rFonts w:ascii="Arial" w:cs="Arial" w:eastAsia="Arial" w:hAnsi="Arial"/>
          <w:sz w:val="14"/>
          <w:szCs w:val="14"/>
          <w:i w:val="1"/>
          <w:iCs w:val="1"/>
          <w:color w:val="auto"/>
        </w:rPr>
        <w:t>Equity Method and Joint Ventures, and Topic 815—Derivatives and Hedging</w:t>
      </w:r>
      <w:r>
        <w:rPr>
          <w:rFonts w:ascii="Arial" w:cs="Arial" w:eastAsia="Arial" w:hAnsi="Arial"/>
          <w:sz w:val="14"/>
          <w:szCs w:val="14"/>
          <w:color w:val="auto"/>
        </w:rPr>
        <w:t>. The ASU clarifies that if as a result of an observable transaction, an equity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measurement alternative is transitioned into equity method and vice versa, an equity method investment is transitioned into measurement alternative, the investment is to be remeasured immediately before and after the transaction, respectively. The ASU also clarifies that certain forward contracts or purchased options to acquire equity securities that are not deemed to be derivatives or in-substance common stock will generally be measured using the fair value principles of ASC 321 before settlement or exercise, and that an entity should not be considering how it will account for the resulting investments upon eventual settlement or exercise. ASU No. 2020-01 is to be applied prospectively. The Company adopted the new guidance on January 1, 2021, with no resulting effect upon adoption.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Accounting for Convertible Instruments and Contracts on Entity's Own Equity</w:t>
      </w:r>
    </w:p>
    <w:p>
      <w:pPr>
        <w:spacing w:after="0" w:line="99" w:lineRule="exact"/>
        <w:rPr>
          <w:sz w:val="20"/>
          <w:szCs w:val="20"/>
          <w:color w:val="auto"/>
        </w:rPr>
      </w:pPr>
    </w:p>
    <w:p>
      <w:pPr>
        <w:ind w:right="40" w:firstLine="351"/>
        <w:spacing w:after="0" w:line="252"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 Accounting for Convertible Instruments and Contracts in an Entity’s Own Equity</w:t>
      </w:r>
      <w:r>
        <w:rPr>
          <w:rFonts w:ascii="Arial" w:cs="Arial" w:eastAsia="Arial" w:hAnsi="Arial"/>
          <w:sz w:val="16"/>
          <w:szCs w:val="16"/>
          <w:color w:val="auto"/>
        </w:rPr>
        <w:t>. The ASU (1) simplifies an</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accounting for convertible instruments as a single unit of account; (2) allows more contracts on an entity’s own equity to qualify for equity classification and more embedded derivatives meeting the derivative scope exception; and (3) simplifies diluted EPS computation.</w:t>
      </w:r>
    </w:p>
    <w:p>
      <w:pPr>
        <w:spacing w:after="0" w:line="85" w:lineRule="exact"/>
        <w:rPr>
          <w:sz w:val="20"/>
          <w:szCs w:val="20"/>
          <w:color w:val="auto"/>
        </w:rPr>
      </w:pPr>
    </w:p>
    <w:p>
      <w:pPr>
        <w:ind w:left="560" w:right="40" w:hanging="145"/>
        <w:spacing w:after="0" w:line="245" w:lineRule="auto"/>
        <w:tabs>
          <w:tab w:leader="none" w:pos="55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guidance eliminates the requirement to separate embedded conversion features in convertible instruments, except for (1) a convertible instrument that contains features requiring bifurcation as a derivative under ASC 815 or (2) a convertible debt instrument that was issued at a substantial premium. Separate accounting for embedded conversion features as an equity component under the cash conversion and beneficial conversion models has been eliminated.</w:t>
      </w:r>
    </w:p>
    <w:p>
      <w:pPr>
        <w:spacing w:after="0" w:line="90" w:lineRule="exact"/>
        <w:rPr>
          <w:rFonts w:ascii="Arial" w:cs="Arial" w:eastAsia="Arial" w:hAnsi="Arial"/>
          <w:sz w:val="16"/>
          <w:szCs w:val="16"/>
          <w:color w:val="auto"/>
        </w:rPr>
      </w:pPr>
    </w:p>
    <w:p>
      <w:pPr>
        <w:ind w:left="560" w:right="60" w:hanging="145"/>
        <w:spacing w:after="0" w:line="296" w:lineRule="auto"/>
        <w:tabs>
          <w:tab w:leader="none" w:pos="5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Under the new guidance, certain conditions under Subtopic ASC 815-40 that may result in contracts being settled in cash rather than shares and therefore preclude (1) equity classification for contracts on an entity’s own equity; and (2) embedded derivatives from qualifying for the derivative scope exception, have been removed; for example, the requirement that equity contracts permit settlement in unregistered shares unless such contracts explicitly require</w:t>
      </w:r>
    </w:p>
    <w:p>
      <w:pPr>
        <w:ind w:left="560" w:right="120"/>
        <w:spacing w:after="0" w:line="246" w:lineRule="auto"/>
        <w:rPr>
          <w:rFonts w:ascii="Arial" w:cs="Arial" w:eastAsia="Arial" w:hAnsi="Arial"/>
          <w:sz w:val="14"/>
          <w:szCs w:val="14"/>
          <w:color w:val="auto"/>
        </w:rPr>
      </w:pPr>
      <w:r>
        <w:rPr>
          <w:rFonts w:ascii="Arial" w:cs="Arial" w:eastAsia="Arial" w:hAnsi="Arial"/>
          <w:sz w:val="16"/>
          <w:szCs w:val="16"/>
          <w:color w:val="auto"/>
        </w:rPr>
        <w:t>settlement in cash if registered shares are unavailable. The guidance also clarifies that freestanding contracts on an entity’s own equity that do not qualify for equity classification under the indexation criteria (ASC 815-40-15) or settlement criteria (ASC 815-40-25) are to be measured at fair value through earnings, even if they do not meet the definition of a derivative under ASC 815.</w:t>
      </w:r>
    </w:p>
    <w:p>
      <w:pPr>
        <w:spacing w:after="0" w:line="89" w:lineRule="exact"/>
        <w:rPr>
          <w:rFonts w:ascii="Arial" w:cs="Arial" w:eastAsia="Arial" w:hAnsi="Arial"/>
          <w:sz w:val="14"/>
          <w:szCs w:val="14"/>
          <w:color w:val="auto"/>
        </w:rPr>
      </w:pPr>
    </w:p>
    <w:p>
      <w:pPr>
        <w:ind w:left="560" w:right="100" w:hanging="145"/>
        <w:spacing w:after="0" w:line="245" w:lineRule="auto"/>
        <w:tabs>
          <w:tab w:leader="none" w:pos="55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ASU also amends certain guidance on computation of diluted EPS for convertible instruments and contracts on an entity’s own equity that results in a more dilutive EPS, including (1) requiring the if converted method to be applied for all convertible instruments (the treasury stock method is no longer available), and (2) removing the ability to rebut the presumption of share settlement for contracts that may be settled in cash or stock and that are not liability classified share based payments.</w:t>
      </w:r>
    </w:p>
    <w:p>
      <w:pPr>
        <w:spacing w:after="0" w:line="90" w:lineRule="exact"/>
        <w:rPr>
          <w:rFonts w:ascii="Arial" w:cs="Arial" w:eastAsia="Arial" w:hAnsi="Arial"/>
          <w:sz w:val="16"/>
          <w:szCs w:val="16"/>
          <w:color w:val="auto"/>
        </w:rPr>
      </w:pPr>
    </w:p>
    <w:p>
      <w:pPr>
        <w:ind w:left="560" w:hanging="145"/>
        <w:spacing w:after="0"/>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Expanded disclosures are required, including but not limited to, (1) terms and features of convertible instruments and contracts on entity’s own equity; and</w:t>
      </w:r>
    </w:p>
    <w:p>
      <w:pPr>
        <w:spacing w:after="0" w:line="26"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(2) information about events, conditions, and circumstances that could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2" w:name="page133"/>
    <w:bookmarkEnd w:id="1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80"/>
        <w:spacing w:after="0" w:line="248" w:lineRule="auto"/>
        <w:rPr>
          <w:sz w:val="20"/>
          <w:szCs w:val="20"/>
          <w:color w:val="auto"/>
        </w:rPr>
      </w:pPr>
      <w:r>
        <w:rPr>
          <w:rFonts w:ascii="Arial" w:cs="Arial" w:eastAsia="Arial" w:hAnsi="Arial"/>
          <w:sz w:val="16"/>
          <w:szCs w:val="16"/>
          <w:color w:val="auto"/>
        </w:rPr>
        <w:t>affect amount or timing of future cash flows related to these instruments or contracts; and in the period of adoption (3) nature of and reason for the change in accounting principle; and (4) effects of the change on EPS.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adoption, a one-time election may be made to apply the fair value option for any liability-classified convertible securities.</w:t>
      </w:r>
    </w:p>
    <w:p>
      <w:pPr>
        <w:spacing w:after="0" w:line="97" w:lineRule="exact"/>
        <w:rPr>
          <w:sz w:val="20"/>
          <w:szCs w:val="20"/>
          <w:color w:val="auto"/>
        </w:rPr>
      </w:pPr>
    </w:p>
    <w:p>
      <w:pPr>
        <w:ind w:right="280" w:firstLine="351"/>
        <w:spacing w:after="0" w:line="246" w:lineRule="auto"/>
        <w:rPr>
          <w:sz w:val="20"/>
          <w:szCs w:val="20"/>
          <w:color w:val="auto"/>
        </w:rPr>
      </w:pPr>
      <w:r>
        <w:rPr>
          <w:rFonts w:ascii="Arial" w:cs="Arial" w:eastAsia="Arial" w:hAnsi="Arial"/>
          <w:sz w:val="16"/>
          <w:szCs w:val="16"/>
          <w:color w:val="auto"/>
        </w:rPr>
        <w:t>Adoption of the new standard may be made either on a full retrospective approach or a modified retrospective approach, with cumulative effect adjustment recorded to beginning retained earnings. The Company early adopted the new guidance on January 1, 2021 using a modified retrospective approach, with no resulting effect upon adoption.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Standards Pending Adoption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Amendment to Lessor Accounting</w:t>
      </w:r>
    </w:p>
    <w:p>
      <w:pPr>
        <w:spacing w:after="0" w:line="99"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 xml:space="preserve">In July 2021, the FASB issued ASU No. 2021-5, </w:t>
      </w:r>
      <w:r>
        <w:rPr>
          <w:rFonts w:ascii="Arial" w:cs="Arial" w:eastAsia="Arial" w:hAnsi="Arial"/>
          <w:sz w:val="16"/>
          <w:szCs w:val="16"/>
          <w:i w:val="1"/>
          <w:iCs w:val="1"/>
          <w:color w:val="auto"/>
        </w:rPr>
        <w:t>Lessors—Certain Leases with Variable Lease Payments</w:t>
      </w:r>
      <w:r>
        <w:rPr>
          <w:rFonts w:ascii="Arial" w:cs="Arial" w:eastAsia="Arial" w:hAnsi="Arial"/>
          <w:sz w:val="16"/>
          <w:szCs w:val="16"/>
          <w:color w:val="auto"/>
        </w:rPr>
        <w:t xml:space="preserve">, which amends existing lease classification guidance for lessors to better reflect the economics of certain lease arrangements. The ASU requires a lease with variable lease payments that are not based upon a rate or index to be classified as an operating lease if classification as a direct financing lease or sales-type lease would have resulted in a loss to the lessor at lease commencement. A loss could have otherwise arisen even if the lease is expected to be profitable as the exclusion of these variable lease payments result in the recognition of a lower net investment in a lease relative to the carrying value of the underlying asset that is derecognized at the commencement of a direct financing or sales-type lease. Under the amended guidance, this uneconomic outcome is avoided because the classification as an operating lease does not result in a derecognition of the underlying asset by the lessor, and the recognition of variable lease payments earned and depreciation expense on the underlying asset will partially offset in earnings over time. The ASU is effective January 1, 2022 and can be applied either retrospectively to leases that commenced or were modified upon adoption of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prospectively to new or modified leases. The Company, as lessor, does not currently have any leases that would be subject to this amendment.</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Acquired Contracts with Customers</w:t>
      </w:r>
    </w:p>
    <w:p>
      <w:pPr>
        <w:spacing w:after="0" w:line="99"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 xml:space="preserve">In October 2021, the FASB issued ASU No. 2021-8, </w:t>
      </w:r>
      <w:r>
        <w:rPr>
          <w:rFonts w:ascii="Arial" w:cs="Arial" w:eastAsia="Arial" w:hAnsi="Arial"/>
          <w:sz w:val="16"/>
          <w:szCs w:val="16"/>
          <w:i w:val="1"/>
          <w:iCs w:val="1"/>
          <w:color w:val="auto"/>
        </w:rPr>
        <w:t>Accounting for Contract Assets and Contract Liabilities From Contracts With Customers</w:t>
      </w:r>
      <w:r>
        <w:rPr>
          <w:rFonts w:ascii="Arial" w:cs="Arial" w:eastAsia="Arial" w:hAnsi="Arial"/>
          <w:sz w:val="16"/>
          <w:szCs w:val="16"/>
          <w:color w:val="auto"/>
        </w:rPr>
        <w:t xml:space="preserve">, which applies the principles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rather than a fair value basis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in the recognition of contract assets and contract liabilities acquired in a business combination. The ASU addresses the following inconsistencies: (1) measurement of contract liability or deferred revenue at fair value that is typically lower than carrying value, reducing post-acquisition revenues; and (2) timing of contractual payments affecting the fair value of deferred revenue and the amount of post-acquisition revenue in otherwise similar contracts. Under the new guidance, an acquirer records a contract asset or contract liability as if it had originated the acquired revenue contract, which requires the acquirer to evaluate performance obligations, transaction price and relative stand-alone selling price at the original contract inception date or subsequent modification dates. This will generally result in the recognition and measurement of a contract asset and contract liability that will likely be more comparable to the books of the acquiree at acquisition date. In circumstances where an acquirer is unable to assess or rely on the acquiree's accounting under ASC 606, the ASU provides a practical expedient that allows an acquirer to determine the stand-alone selling price of each performance obligation in the contract as of acquisition date, instead of contract inception date, for purposes of allocating the transaction price.</w:t>
      </w:r>
    </w:p>
    <w:p>
      <w:pPr>
        <w:spacing w:after="0" w:line="93" w:lineRule="exact"/>
        <w:rPr>
          <w:sz w:val="20"/>
          <w:szCs w:val="20"/>
          <w:color w:val="auto"/>
        </w:rPr>
      </w:pPr>
    </w:p>
    <w:p>
      <w:pPr>
        <w:jc w:val="both"/>
        <w:ind w:right="40" w:firstLine="351"/>
        <w:spacing w:after="0" w:line="245" w:lineRule="auto"/>
        <w:rPr>
          <w:sz w:val="20"/>
          <w:szCs w:val="20"/>
          <w:color w:val="auto"/>
        </w:rPr>
      </w:pPr>
      <w:r>
        <w:rPr>
          <w:rFonts w:ascii="Arial" w:cs="Arial" w:eastAsia="Arial" w:hAnsi="Arial"/>
          <w:sz w:val="16"/>
          <w:szCs w:val="16"/>
          <w:color w:val="auto"/>
        </w:rPr>
        <w:t xml:space="preserve">The amendments also apply to contract assets and contract liabilities from other contracts to which the provisions of ASC 606 apply, such as contracts within the scope of ASC 610-20, </w:t>
      </w:r>
      <w:r>
        <w:rPr>
          <w:rFonts w:ascii="Arial" w:cs="Arial" w:eastAsia="Arial" w:hAnsi="Arial"/>
          <w:sz w:val="16"/>
          <w:szCs w:val="16"/>
          <w:i w:val="1"/>
          <w:iCs w:val="1"/>
          <w:color w:val="auto"/>
        </w:rPr>
        <w:t>Other Income—Gains and Losses from Derecognition of Nonfinancial Assets,</w:t>
      </w:r>
      <w:r>
        <w:rPr>
          <w:rFonts w:ascii="Arial" w:cs="Arial" w:eastAsia="Arial" w:hAnsi="Arial"/>
          <w:sz w:val="16"/>
          <w:szCs w:val="16"/>
          <w:color w:val="auto"/>
        </w:rPr>
        <w:t xml:space="preserve"> but the amendments do not affect the accounting for other assets or liabilities that may arise from acquired customer contracts such as refund liabilities that do not meet the definition of contract liabilities and continue to be recorded at fair value.</w:t>
      </w:r>
    </w:p>
    <w:p>
      <w:pPr>
        <w:spacing w:after="0" w:line="91" w:lineRule="exact"/>
        <w:rPr>
          <w:sz w:val="20"/>
          <w:szCs w:val="20"/>
          <w:color w:val="auto"/>
        </w:rPr>
      </w:pPr>
    </w:p>
    <w:p>
      <w:pPr>
        <w:jc w:val="both"/>
        <w:ind w:right="20" w:firstLine="351"/>
        <w:spacing w:after="0" w:line="248" w:lineRule="auto"/>
        <w:rPr>
          <w:sz w:val="20"/>
          <w:szCs w:val="20"/>
          <w:color w:val="auto"/>
        </w:rPr>
      </w:pPr>
      <w:r>
        <w:rPr>
          <w:rFonts w:ascii="Arial" w:cs="Arial" w:eastAsia="Arial" w:hAnsi="Arial"/>
          <w:sz w:val="16"/>
          <w:szCs w:val="16"/>
          <w:color w:val="auto"/>
        </w:rPr>
        <w:t>The ASU is effective January 1, 2023 and is to be applied prospectively. Early adoption is permitted with retrospective application to all business combinations that occurred during the fiscal year of early adoption.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Acquisitions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Combinations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Digital Bridge Holdings, LLC ("DBH")</w:t>
      </w:r>
    </w:p>
    <w:p>
      <w:pPr>
        <w:spacing w:after="0" w:line="115" w:lineRule="exact"/>
        <w:rPr>
          <w:sz w:val="20"/>
          <w:szCs w:val="20"/>
          <w:color w:val="auto"/>
        </w:rPr>
      </w:pPr>
    </w:p>
    <w:p>
      <w:pPr>
        <w:ind w:right="260" w:firstLine="351"/>
        <w:spacing w:after="0" w:line="248" w:lineRule="auto"/>
        <w:rPr>
          <w:sz w:val="20"/>
          <w:szCs w:val="20"/>
          <w:color w:val="auto"/>
        </w:rPr>
      </w:pPr>
      <w:r>
        <w:rPr>
          <w:rFonts w:ascii="Arial" w:cs="Arial" w:eastAsia="Arial" w:hAnsi="Arial"/>
          <w:sz w:val="16"/>
          <w:szCs w:val="16"/>
          <w:color w:val="auto"/>
        </w:rPr>
        <w:t>On July 25, 2019, the Company acquired DBH in a combination of: (a) cash, a portion of which was deferred until the expiration of certain customary seller indemnification obligations and was paid in full in May 2020 (Note 18); and (b)</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20"/>
        <w:spacing w:after="0" w:line="248" w:lineRule="auto"/>
        <w:rPr>
          <w:sz w:val="20"/>
          <w:szCs w:val="20"/>
          <w:color w:val="auto"/>
        </w:rPr>
      </w:pPr>
      <w:r>
        <w:rPr>
          <w:rFonts w:ascii="Arial" w:cs="Arial" w:eastAsia="Arial" w:hAnsi="Arial"/>
          <w:sz w:val="16"/>
          <w:szCs w:val="16"/>
          <w:color w:val="auto"/>
        </w:rPr>
        <w:t>issuance of 21,478,515 OP Units, which were measured based upon the closing price of the Company's class A common stock on July 24, 2019 of $5.21 per share.</w:t>
      </w:r>
    </w:p>
    <w:p>
      <w:pPr>
        <w:spacing w:after="0" w:line="88" w:lineRule="exact"/>
        <w:rPr>
          <w:sz w:val="20"/>
          <w:szCs w:val="20"/>
          <w:color w:val="auto"/>
        </w:rPr>
      </w:pPr>
    </w:p>
    <w:p>
      <w:pPr>
        <w:ind w:right="40" w:firstLine="351"/>
        <w:spacing w:after="0" w:line="246" w:lineRule="auto"/>
        <w:rPr>
          <w:sz w:val="20"/>
          <w:szCs w:val="20"/>
          <w:color w:val="auto"/>
        </w:rPr>
      </w:pPr>
      <w:r>
        <w:rPr>
          <w:rFonts w:ascii="Arial" w:cs="Arial" w:eastAsia="Arial" w:hAnsi="Arial"/>
          <w:sz w:val="16"/>
          <w:szCs w:val="16"/>
          <w:color w:val="auto"/>
        </w:rPr>
        <w:t>The Company acquired the fee streams but not the equity interests related to the six portfolio companies managed by DBH. The principals of DBH retained their equity investments, including general partner interests in existing DBH investment vehicles and in Digital Bridge Partners, LP (“DBP I,” formerly Digital Colony Partners, LP or DCP I), a fund that was previously co-sponsored by the Company and DBH.</w:t>
      </w:r>
    </w:p>
    <w:p>
      <w:pPr>
        <w:spacing w:after="0" w:line="89" w:lineRule="exact"/>
        <w:rPr>
          <w:sz w:val="20"/>
          <w:szCs w:val="20"/>
          <w:color w:val="auto"/>
        </w:rPr>
      </w:pPr>
    </w:p>
    <w:p>
      <w:pPr>
        <w:ind w:firstLine="351"/>
        <w:spacing w:after="0" w:line="288" w:lineRule="auto"/>
        <w:rPr>
          <w:sz w:val="20"/>
          <w:szCs w:val="20"/>
          <w:color w:val="auto"/>
        </w:rPr>
      </w:pPr>
      <w:r>
        <w:rPr>
          <w:rFonts w:ascii="Arial" w:cs="Arial" w:eastAsia="Arial" w:hAnsi="Arial"/>
          <w:sz w:val="14"/>
          <w:szCs w:val="14"/>
          <w:color w:val="auto"/>
        </w:rPr>
        <w:t>The Company's acquisition of DBH included the remaining 50% equity interest held by DBH in Digital Colony Management, LLC ("DCM"), previously an equity method joint venture with DBH, which manages DBP I. Upon closing of the acquisition, the Company obtained a controlling interest in DCM and remeasured its existing 50% interest at a fair value of $51.4 million. The full amount, representing the excess of fair value over carrying value of the Company's investment in DCM, was recognized in other gain on the Company's statement of operations, as the Company's carrying value of its investment in DCM prior to the business combination was nil. The fair value was based upon the value of 50% of estimated future net cash flows from the DBP I management contract, discounted at 8%.</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DataBank Colocation Data Centers</w:t>
      </w:r>
    </w:p>
    <w:p>
      <w:pPr>
        <w:spacing w:after="0" w:line="115" w:lineRule="exact"/>
        <w:rPr>
          <w:sz w:val="20"/>
          <w:szCs w:val="20"/>
          <w:color w:val="auto"/>
        </w:rPr>
      </w:pPr>
    </w:p>
    <w:p>
      <w:pPr>
        <w:ind w:right="40" w:firstLine="351"/>
        <w:spacing w:after="0" w:line="266" w:lineRule="auto"/>
        <w:rPr>
          <w:sz w:val="20"/>
          <w:szCs w:val="20"/>
          <w:color w:val="auto"/>
        </w:rPr>
      </w:pPr>
      <w:r>
        <w:rPr>
          <w:rFonts w:ascii="Arial" w:cs="Arial" w:eastAsia="Arial" w:hAnsi="Arial"/>
          <w:sz w:val="14"/>
          <w:szCs w:val="14"/>
          <w:color w:val="auto"/>
        </w:rPr>
        <w:t>On December 20, 2019, the Company acquired from third party investors a 20% interest in DataBank, which operates edge colocation data centers in nine U.S. markets, owning eight properties, with leasehold interests in 12 properties. DataBank is a portfolio company managed by DBH and invested in by the principals and senior professionals of DBH. The Company is deemed to have a controlling interest in DataBank as control over the operations of DataBank resides substantially with the Company. Consideration included the payment of cash to third parties for the Company’s interests in DataBank and the issuance of 612,072 OP Units to the DBH principals, Marc Ganzi, the Company's CEO and President, and Ben Jenkins, now the chief investment officer of the Company’s digital real estate platform, for incentive units owned by the DBH principals and allocable to the Company’s acquired interests, measured based upon the closing price of the Company's class A common stock on December 20, 2019 of $4.84 per share. The OP Units were issued to the DBH principals who had previously received incentive units from DataBank, in exchange for certain of their incentive units such that the Company will not be subject to future carried interest payments to the DBH principals with respect to the Company's investment in DataBank (Note 18). The DBH principals otherwise retained their equity interests in DataBank.</w:t>
      </w:r>
    </w:p>
    <w:p>
      <w:pPr>
        <w:spacing w:after="0" w:line="66" w:lineRule="exact"/>
        <w:rPr>
          <w:sz w:val="20"/>
          <w:szCs w:val="20"/>
          <w:color w:val="auto"/>
        </w:rPr>
      </w:pPr>
    </w:p>
    <w:p>
      <w:pPr>
        <w:ind w:right="800" w:firstLine="351"/>
        <w:spacing w:after="0" w:line="236" w:lineRule="auto"/>
        <w:rPr>
          <w:sz w:val="20"/>
          <w:szCs w:val="20"/>
          <w:color w:val="auto"/>
        </w:rPr>
      </w:pPr>
      <w:r>
        <w:rPr>
          <w:rFonts w:ascii="Arial" w:cs="Arial" w:eastAsia="Arial" w:hAnsi="Arial"/>
          <w:sz w:val="16"/>
          <w:szCs w:val="16"/>
          <w:color w:val="auto"/>
        </w:rPr>
        <w:t>In January 2022, the Company and an existing investor acquired additional equity in DataBank resulting from a redemption of interests by a selling shareholder. The Company's share was an additional $32.0 million investment, which increased its ownership in DataBank to 21.9%.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Asset Acquisitions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Vantage SDC Hyperscale Data Centers</w:t>
      </w:r>
    </w:p>
    <w:p>
      <w:pPr>
        <w:spacing w:after="0" w:line="103" w:lineRule="exact"/>
        <w:rPr>
          <w:sz w:val="20"/>
          <w:szCs w:val="20"/>
          <w:color w:val="auto"/>
        </w:rPr>
      </w:pPr>
    </w:p>
    <w:p>
      <w:pPr>
        <w:ind w:right="40" w:firstLine="351"/>
        <w:spacing w:after="0" w:line="278" w:lineRule="auto"/>
        <w:rPr>
          <w:sz w:val="20"/>
          <w:szCs w:val="20"/>
          <w:color w:val="auto"/>
        </w:rPr>
      </w:pPr>
      <w:r>
        <w:rPr>
          <w:rFonts w:ascii="Arial" w:cs="Arial" w:eastAsia="Arial" w:hAnsi="Arial"/>
          <w:sz w:val="14"/>
          <w:szCs w:val="14"/>
          <w:color w:val="auto"/>
        </w:rPr>
        <w:t>In July 2020 and following an additional investment in October 2020, the Company, alongside fee bearing third party capital, invested $1.36 billion for an approximately 90% equity interest in entities that hold Vantage Data Centers Holdings, LLC's ("Vantage") portfolio of 12 stabilized hyperscale data centers in North America and $2.0 billion of secured indebtedness (“Vantage SDC”). The remaining equity interest in Vantage SDC is held by the existing investors of Vantage, and together with the third party capital raised by the Company, represent noncontrolling interests. The Company's balance sheet investment is approximately</w:t>
      </w:r>
    </w:p>
    <w:p>
      <w:pPr>
        <w:spacing w:after="0" w:line="2" w:lineRule="exact"/>
        <w:rPr>
          <w:sz w:val="20"/>
          <w:szCs w:val="20"/>
          <w:color w:val="auto"/>
        </w:rPr>
      </w:pPr>
    </w:p>
    <w:p>
      <w:pPr>
        <w:ind w:right="460"/>
        <w:spacing w:after="0" w:line="245" w:lineRule="auto"/>
        <w:rPr>
          <w:sz w:val="20"/>
          <w:szCs w:val="20"/>
          <w:color w:val="auto"/>
        </w:rPr>
      </w:pPr>
      <w:r>
        <w:rPr>
          <w:rFonts w:ascii="Arial" w:cs="Arial" w:eastAsia="Arial" w:hAnsi="Arial"/>
          <w:sz w:val="16"/>
          <w:szCs w:val="16"/>
          <w:color w:val="auto"/>
        </w:rPr>
        <w:t>$200 million or a 13% equity interest in Vantage SDC. Vantage SDC is a carve-out from Vantage's data center business. The acquisition excluded Vantage's remaining portfolio of development-stage data centers and its employees, all of whom were retained by Vantage. The day-to-day operations of Vantage SDC continue to be managed by Vantage's existing management company in exchange for management fees, and subject to certain approval rights held by the Company and the co-investors in connection with material actions.</w:t>
      </w:r>
    </w:p>
    <w:p>
      <w:pPr>
        <w:spacing w:after="0" w:line="91" w:lineRule="exact"/>
        <w:rPr>
          <w:sz w:val="20"/>
          <w:szCs w:val="20"/>
          <w:color w:val="auto"/>
        </w:rPr>
      </w:pPr>
    </w:p>
    <w:p>
      <w:pPr>
        <w:ind w:right="80" w:firstLine="351"/>
        <w:spacing w:after="0" w:line="244" w:lineRule="auto"/>
        <w:rPr>
          <w:sz w:val="20"/>
          <w:szCs w:val="20"/>
          <w:color w:val="auto"/>
        </w:rPr>
      </w:pPr>
      <w:r>
        <w:rPr>
          <w:rFonts w:ascii="Arial" w:cs="Arial" w:eastAsia="Arial" w:hAnsi="Arial"/>
          <w:sz w:val="16"/>
          <w:szCs w:val="16"/>
          <w:color w:val="auto"/>
        </w:rPr>
        <w:t>The Company and its co-investors have also committed to acquire the future build-out of expansion capacity, along with lease-up of the expanded capacity and existing inventory, including those associated with an add-on acquisition to the Vantage SDC portfolio described below, the costs of which will be borne by the previous owners of Vantage SDC, for estimated payments of approximately $350 million. It is anticipated that most, if not all, of the payments will be funded by Vantage SDC from borrowings under its credit facilities and/or cash from operations. Pursuant to this arrangement, Vantage SDC entered into 11 tenant leases in 2021 related to a portion of the expansion capacity which triggered aggregate payments of $100.8 million. As part of the July 2020 acquisition, the Company had an option to purchase an additional data center in Santa Clara, California. In September 2021, the Company exercised the option and purchased the data center for $404.5 million in cash, funded through borrowings by Vantage SDC, and a deferred amount of $56.9 million to be paid upon future lease-up. All of these payments were made to the previous owners of Vantage SDC and are treated as asset acquisitions.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4" w:name="page135"/>
    <w:bookmarkEnd w:id="134"/>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zColo Colocation Data Centers</w:t>
      </w:r>
    </w:p>
    <w:p>
      <w:pPr>
        <w:spacing w:after="0" w:line="115" w:lineRule="exact"/>
        <w:rPr>
          <w:sz w:val="20"/>
          <w:szCs w:val="20"/>
          <w:color w:val="auto"/>
        </w:rPr>
      </w:pPr>
    </w:p>
    <w:p>
      <w:pPr>
        <w:ind w:left="6" w:right="60" w:firstLine="351"/>
        <w:spacing w:after="0" w:line="245" w:lineRule="auto"/>
        <w:rPr>
          <w:sz w:val="20"/>
          <w:szCs w:val="20"/>
          <w:color w:val="auto"/>
        </w:rPr>
      </w:pPr>
      <w:r>
        <w:rPr>
          <w:rFonts w:ascii="Arial" w:cs="Arial" w:eastAsia="Arial" w:hAnsi="Arial"/>
          <w:sz w:val="16"/>
          <w:szCs w:val="16"/>
          <w:color w:val="auto"/>
        </w:rPr>
        <w:t>In December 2020, the Company's DataBank subsidiary acquired zColo, the colocation business of Zayo Group Holdings, Inc. ("Zayo"), composed of 39 data centers in the U.S. and the U.K., for approximately $1.2 billion through a combination of debt and equity financing, including $0.5 billion of third party co-invest capital raised by the Company. The Company's balance sheet investment is $145 million ($188 million at the time of closing), which maintained the Company's 20% equity interest in DataBank.</w:t>
      </w:r>
    </w:p>
    <w:p>
      <w:pPr>
        <w:spacing w:after="0" w:line="91" w:lineRule="exact"/>
        <w:rPr>
          <w:sz w:val="20"/>
          <w:szCs w:val="20"/>
          <w:color w:val="auto"/>
        </w:rPr>
      </w:pPr>
    </w:p>
    <w:p>
      <w:pPr>
        <w:ind w:left="6" w:right="100" w:firstLine="351"/>
        <w:spacing w:after="0" w:line="248" w:lineRule="auto"/>
        <w:rPr>
          <w:sz w:val="20"/>
          <w:szCs w:val="20"/>
          <w:color w:val="auto"/>
        </w:rPr>
      </w:pPr>
      <w:r>
        <w:rPr>
          <w:rFonts w:ascii="Arial" w:cs="Arial" w:eastAsia="Arial" w:hAnsi="Arial"/>
          <w:sz w:val="16"/>
          <w:szCs w:val="16"/>
          <w:color w:val="auto"/>
        </w:rPr>
        <w:t>Acquisition of zColo's remaining five data centers in France for $33.0 million closed in February 2021. Zayo is an anchor tenant within the zColo facilities and is a significant customer of DataBank.</w:t>
      </w:r>
    </w:p>
    <w:p>
      <w:pPr>
        <w:spacing w:after="0" w:line="70"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Acquisitions by DataBank</w:t>
      </w:r>
    </w:p>
    <w:p>
      <w:pPr>
        <w:spacing w:after="0" w:line="115" w:lineRule="exact"/>
        <w:rPr>
          <w:sz w:val="20"/>
          <w:szCs w:val="20"/>
          <w:color w:val="auto"/>
        </w:rPr>
      </w:pPr>
    </w:p>
    <w:p>
      <w:pPr>
        <w:ind w:left="6" w:right="120" w:firstLine="351"/>
        <w:spacing w:after="0" w:line="248" w:lineRule="auto"/>
        <w:rPr>
          <w:sz w:val="20"/>
          <w:szCs w:val="20"/>
          <w:color w:val="auto"/>
        </w:rPr>
      </w:pPr>
      <w:r>
        <w:rPr>
          <w:rFonts w:ascii="Arial" w:cs="Arial" w:eastAsia="Arial" w:hAnsi="Arial"/>
          <w:sz w:val="16"/>
          <w:szCs w:val="16"/>
          <w:color w:val="auto"/>
        </w:rPr>
        <w:t>In the third quarter of 2021, DataBank and its zColo subsidiary each acquired a building in the U.S. for a combined $38.5 million, to be redeveloped into data centers.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Allocation of Consideration Transferred</w:t>
      </w:r>
    </w:p>
    <w:p>
      <w:pPr>
        <w:spacing w:after="0" w:line="115" w:lineRule="exact"/>
        <w:rPr>
          <w:sz w:val="20"/>
          <w:szCs w:val="20"/>
          <w:color w:val="auto"/>
        </w:rPr>
      </w:pPr>
    </w:p>
    <w:p>
      <w:pPr>
        <w:ind w:left="6" w:right="220" w:firstLine="351"/>
        <w:spacing w:after="0" w:line="233" w:lineRule="auto"/>
        <w:rPr>
          <w:sz w:val="20"/>
          <w:szCs w:val="20"/>
          <w:color w:val="auto"/>
        </w:rPr>
      </w:pPr>
      <w:r>
        <w:rPr>
          <w:rFonts w:ascii="Arial" w:cs="Arial" w:eastAsia="Arial" w:hAnsi="Arial"/>
          <w:sz w:val="16"/>
          <w:szCs w:val="16"/>
          <w:color w:val="auto"/>
        </w:rPr>
        <w:t>The following table summarizes the consideration and allocation to assets acquired, liabilities assumed and noncontrolling interests at acquisition. Consideration for asset acquisitions incorporates capitalized transaction costs, which may include incentive payments to employees for successful closing of the acquisitions.</w:t>
      </w:r>
    </w:p>
    <w:p>
      <w:pPr>
        <w:spacing w:after="0" w:line="103"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8"/>
              </w:rPr>
              <w:t>Asset Acquisitions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1"/>
                <w:szCs w:val="11"/>
                <w:b w:val="1"/>
                <w:bCs w:val="1"/>
                <w:color w:val="auto"/>
              </w:rPr>
              <w:t>Business Combinations</w:t>
            </w: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2020</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1"/>
                <w:szCs w:val="11"/>
                <w:b w:val="1"/>
                <w:bCs w:val="1"/>
                <w:color w:val="auto"/>
              </w:rPr>
              <w:t>2019</w:t>
            </w: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95"/>
              </w:rPr>
              <w:t>Vantage SDC</w:t>
            </w:r>
          </w:p>
        </w:tc>
        <w:tc>
          <w:tcPr>
            <w:tcW w:w="100" w:type="dxa"/>
            <w:vAlign w:val="bottom"/>
          </w:tcPr>
          <w:p>
            <w:pPr>
              <w:spacing w:after="0"/>
              <w:rPr>
                <w:sz w:val="9"/>
                <w:szCs w:val="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6"/>
              </w:rPr>
              <w:t>Acquisitions by</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98"/>
              </w:rPr>
              <w:t>Expansion</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2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w w:val="98"/>
              </w:rPr>
              <w:t>Capacity and Add-</w:t>
            </w: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5"/>
              </w:rPr>
              <w:t>DataBank / zColo</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76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98"/>
              </w:rPr>
              <w:t>On Acquisition</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95"/>
              </w:rPr>
              <w:t>US</w:t>
            </w:r>
          </w:p>
        </w:tc>
        <w:tc>
          <w:tcPr>
            <w:tcW w:w="1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zColo France</w:t>
            </w:r>
          </w:p>
        </w:tc>
        <w:tc>
          <w:tcPr>
            <w:tcW w:w="1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Vantage SDC</w:t>
            </w:r>
          </w:p>
        </w:tc>
        <w:tc>
          <w:tcPr>
            <w:tcW w:w="10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zColo US and UK</w:t>
            </w:r>
          </w:p>
        </w:tc>
        <w:tc>
          <w:tcPr>
            <w:tcW w:w="280" w:type="dxa"/>
            <w:vAlign w:val="bottom"/>
          </w:tcPr>
          <w:p>
            <w:pPr>
              <w:spacing w:after="0"/>
              <w:rPr>
                <w:sz w:val="11"/>
                <w:szCs w:val="11"/>
                <w:color w:val="auto"/>
              </w:rPr>
            </w:pPr>
          </w:p>
        </w:tc>
        <w:tc>
          <w:tcPr>
            <w:tcW w:w="940" w:type="dxa"/>
            <w:vAlign w:val="bottom"/>
            <w:gridSpan w:val="2"/>
          </w:tcPr>
          <w:p>
            <w:pPr>
              <w:ind w:left="180"/>
              <w:spacing w:after="0"/>
              <w:rPr>
                <w:sz w:val="20"/>
                <w:szCs w:val="20"/>
                <w:color w:val="auto"/>
              </w:rPr>
            </w:pPr>
            <w:r>
              <w:rPr>
                <w:rFonts w:ascii="Arial" w:cs="Arial" w:eastAsia="Arial" w:hAnsi="Arial"/>
                <w:sz w:val="11"/>
                <w:szCs w:val="11"/>
                <w:b w:val="1"/>
                <w:bCs w:val="1"/>
                <w:color w:val="auto"/>
              </w:rPr>
              <w:t>DBH</w:t>
            </w:r>
          </w:p>
        </w:tc>
        <w:tc>
          <w:tcPr>
            <w:tcW w:w="180" w:type="dxa"/>
            <w:vAlign w:val="bottom"/>
          </w:tcPr>
          <w:p>
            <w:pPr>
              <w:spacing w:after="0"/>
              <w:rPr>
                <w:sz w:val="11"/>
                <w:szCs w:val="11"/>
                <w:color w:val="auto"/>
              </w:rPr>
            </w:pPr>
          </w:p>
        </w:tc>
        <w:tc>
          <w:tcPr>
            <w:tcW w:w="980" w:type="dxa"/>
            <w:vAlign w:val="bottom"/>
          </w:tcPr>
          <w:p>
            <w:pPr>
              <w:jc w:val="right"/>
              <w:ind w:right="214"/>
              <w:spacing w:after="0" w:line="129" w:lineRule="exact"/>
              <w:rPr>
                <w:sz w:val="20"/>
                <w:szCs w:val="20"/>
                <w:color w:val="auto"/>
              </w:rPr>
            </w:pPr>
            <w:r>
              <w:rPr>
                <w:rFonts w:ascii="Arial" w:cs="Arial" w:eastAsia="Arial" w:hAnsi="Arial"/>
                <w:sz w:val="11"/>
                <w:szCs w:val="11"/>
                <w:b w:val="1"/>
                <w:bCs w:val="1"/>
                <w:color w:val="auto"/>
              </w:rPr>
              <w:t xml:space="preserve">DataBank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Consideration</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60" w:type="dxa"/>
            <w:vAlign w:val="bottom"/>
            <w:gridSpan w:val="2"/>
          </w:tcPr>
          <w:p>
            <w:pPr>
              <w:ind w:left="120"/>
              <w:spacing w:after="0"/>
              <w:rPr>
                <w:sz w:val="20"/>
                <w:szCs w:val="20"/>
                <w:color w:val="auto"/>
              </w:rPr>
            </w:pPr>
            <w:r>
              <w:rPr>
                <w:rFonts w:ascii="Arial" w:cs="Arial" w:eastAsia="Arial" w:hAnsi="Arial"/>
                <w:sz w:val="13"/>
                <w:szCs w:val="13"/>
                <w:color w:val="auto"/>
              </w:rPr>
              <w:t>Cash</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505,301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38,500</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33,018</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1,524,610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1,181,488</w:t>
            </w:r>
          </w:p>
        </w:tc>
        <w:tc>
          <w:tcPr>
            <w:tcW w:w="80" w:type="dxa"/>
            <w:vAlign w:val="bottom"/>
          </w:tcPr>
          <w:p>
            <w:pPr>
              <w:spacing w:after="0"/>
              <w:rPr>
                <w:sz w:val="14"/>
                <w:szCs w:val="14"/>
                <w:color w:val="auto"/>
              </w:rPr>
            </w:pP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181,167</w:t>
            </w:r>
          </w:p>
        </w:tc>
        <w:tc>
          <w:tcPr>
            <w:tcW w:w="80" w:type="dxa"/>
            <w:vAlign w:val="bottom"/>
          </w:tcPr>
          <w:p>
            <w:pPr>
              <w:spacing w:after="0"/>
              <w:rPr>
                <w:sz w:val="14"/>
                <w:szCs w:val="14"/>
                <w:color w:val="auto"/>
              </w:rPr>
            </w:pP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182,731</w:t>
            </w: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consideration</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760" w:type="dxa"/>
            <w:vAlign w:val="bottom"/>
            <w:gridSpan w:val="2"/>
          </w:tcPr>
          <w:p>
            <w:pPr>
              <w:ind w:left="120"/>
              <w:spacing w:after="0"/>
              <w:rPr>
                <w:sz w:val="20"/>
                <w:szCs w:val="20"/>
                <w:color w:val="auto"/>
              </w:rPr>
            </w:pPr>
            <w:r>
              <w:rPr>
                <w:rFonts w:ascii="Arial" w:cs="Arial" w:eastAsia="Arial" w:hAnsi="Arial"/>
                <w:sz w:val="13"/>
                <w:szCs w:val="13"/>
                <w:color w:val="auto"/>
              </w:rPr>
              <w:t>OP Units issued</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111,903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21"/>
        </w:trPr>
        <w:tc>
          <w:tcPr>
            <w:tcW w:w="2760" w:type="dxa"/>
            <w:vAlign w:val="bottom"/>
            <w:tcBorders>
              <w:top w:val="single" w:sz="8" w:color="CCEEFF"/>
            </w:tcBorders>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Total consideration for equity interest</w:t>
            </w: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505,301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1,524,610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1,181,488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328,570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185,693</w:t>
            </w:r>
          </w:p>
        </w:tc>
        <w:tc>
          <w:tcPr>
            <w:tcW w:w="0" w:type="dxa"/>
            <w:vAlign w:val="bottom"/>
          </w:tcPr>
          <w:p>
            <w:pPr>
              <w:spacing w:after="0"/>
              <w:rPr>
                <w:sz w:val="1"/>
                <w:szCs w:val="1"/>
                <w:color w:val="auto"/>
              </w:rPr>
            </w:pPr>
          </w:p>
        </w:tc>
      </w:tr>
      <w:tr>
        <w:trPr>
          <w:trHeight w:val="137"/>
        </w:trPr>
        <w:tc>
          <w:tcPr>
            <w:tcW w:w="2760" w:type="dxa"/>
            <w:vAlign w:val="bottom"/>
            <w:gridSpan w:val="2"/>
          </w:tcPr>
          <w:p>
            <w:pPr>
              <w:spacing w:after="0" w:line="138" w:lineRule="exact"/>
              <w:rPr>
                <w:sz w:val="20"/>
                <w:szCs w:val="20"/>
                <w:color w:val="auto"/>
              </w:rPr>
            </w:pPr>
            <w:r>
              <w:rPr>
                <w:rFonts w:ascii="Arial" w:cs="Arial" w:eastAsia="Arial" w:hAnsi="Arial"/>
                <w:sz w:val="13"/>
                <w:szCs w:val="13"/>
                <w:color w:val="auto"/>
              </w:rPr>
              <w:t>Fair value of equity interest in Digital Colony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60" w:type="dxa"/>
            <w:vAlign w:val="bottom"/>
            <w:gridSpan w:val="2"/>
          </w:tcPr>
          <w:p>
            <w:pPr>
              <w:ind w:left="80"/>
              <w:spacing w:after="0"/>
              <w:rPr>
                <w:sz w:val="20"/>
                <w:szCs w:val="20"/>
                <w:color w:val="auto"/>
              </w:rPr>
            </w:pPr>
            <w:r>
              <w:rPr>
                <w:rFonts w:ascii="Arial" w:cs="Arial" w:eastAsia="Arial" w:hAnsi="Arial"/>
                <w:sz w:val="13"/>
                <w:szCs w:val="13"/>
                <w:color w:val="auto"/>
              </w:rPr>
              <w:t>Manager</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60" w:type="dxa"/>
            <w:vAlign w:val="bottom"/>
            <w:tcBorders>
              <w:top w:val="single" w:sz="8" w:color="CCEEFF"/>
              <w:bottom w:val="single" w:sz="8" w:color="CCEEFF"/>
            </w:tcBorders>
            <w:shd w:val="clear" w:color="auto" w:fill="CCEEFF"/>
          </w:tcPr>
          <w:p>
            <w:pPr>
              <w:spacing w:after="0"/>
              <w:rPr>
                <w:sz w:val="16"/>
                <w:szCs w:val="16"/>
                <w:color w:val="auto"/>
              </w:rPr>
            </w:pPr>
          </w:p>
        </w:tc>
        <w:tc>
          <w:tcPr>
            <w:tcW w:w="2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505,301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1,524,610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1,181,488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379,970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185,693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Assets acquired and liabilities assumed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0" w:type="dxa"/>
            <w:vAlign w:val="bottom"/>
          </w:tcPr>
          <w:p>
            <w:pPr>
              <w:spacing w:after="0"/>
              <w:rPr>
                <w:sz w:val="1"/>
                <w:szCs w:val="1"/>
                <w:color w:val="auto"/>
              </w:rPr>
            </w:pPr>
          </w:p>
        </w:tc>
      </w:tr>
      <w:tr>
        <w:trPr>
          <w:trHeight w:val="172"/>
        </w:trPr>
        <w:tc>
          <w:tcPr>
            <w:tcW w:w="2760" w:type="dxa"/>
            <w:vAlign w:val="bottom"/>
            <w:gridSpan w:val="2"/>
          </w:tcPr>
          <w:p>
            <w:pPr>
              <w:ind w:left="120"/>
              <w:spacing w:after="0"/>
              <w:rPr>
                <w:sz w:val="20"/>
                <w:szCs w:val="20"/>
                <w:color w:val="auto"/>
              </w:rPr>
            </w:pPr>
            <w:r>
              <w:rPr>
                <w:rFonts w:ascii="Arial" w:cs="Arial" w:eastAsia="Arial" w:hAnsi="Arial"/>
                <w:sz w:val="13"/>
                <w:szCs w:val="13"/>
                <w:color w:val="auto"/>
              </w:rPr>
              <w:t>Real estate</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479,587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38,500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26,083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2,720,870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882,327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839,053</w:t>
            </w: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Assets held for disposition</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29,266</w:t>
            </w:r>
          </w:p>
        </w:tc>
        <w:tc>
          <w:tcPr>
            <w:tcW w:w="0" w:type="dxa"/>
            <w:vAlign w:val="bottom"/>
          </w:tcPr>
          <w:p>
            <w:pPr>
              <w:spacing w:after="0"/>
              <w:rPr>
                <w:sz w:val="1"/>
                <w:szCs w:val="1"/>
                <w:color w:val="auto"/>
              </w:rPr>
            </w:pPr>
          </w:p>
        </w:tc>
      </w:tr>
      <w:tr>
        <w:trPr>
          <w:trHeight w:val="172"/>
        </w:trPr>
        <w:tc>
          <w:tcPr>
            <w:tcW w:w="2760" w:type="dxa"/>
            <w:vAlign w:val="bottom"/>
            <w:gridSpan w:val="2"/>
          </w:tcPr>
          <w:p>
            <w:pPr>
              <w:ind w:left="120"/>
              <w:spacing w:after="0"/>
              <w:rPr>
                <w:sz w:val="20"/>
                <w:szCs w:val="20"/>
                <w:color w:val="auto"/>
              </w:rPr>
            </w:pPr>
            <w:r>
              <w:rPr>
                <w:rFonts w:ascii="Arial" w:cs="Arial" w:eastAsia="Arial" w:hAnsi="Arial"/>
                <w:sz w:val="13"/>
                <w:szCs w:val="13"/>
                <w:color w:val="auto"/>
              </w:rPr>
              <w:t>Intangible assets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82,603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765,137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303,119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153,300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219,651</w:t>
            </w: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Lease right-of-use ("ROU") and other assets</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415,038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108,896</w:t>
            </w:r>
          </w:p>
        </w:tc>
        <w:tc>
          <w:tcPr>
            <w:tcW w:w="0" w:type="dxa"/>
            <w:vAlign w:val="bottom"/>
          </w:tcPr>
          <w:p>
            <w:pPr>
              <w:spacing w:after="0"/>
              <w:rPr>
                <w:sz w:val="1"/>
                <w:szCs w:val="1"/>
                <w:color w:val="auto"/>
              </w:rPr>
            </w:pPr>
          </w:p>
        </w:tc>
      </w:tr>
      <w:tr>
        <w:trPr>
          <w:trHeight w:val="172"/>
        </w:trPr>
        <w:tc>
          <w:tcPr>
            <w:tcW w:w="2760" w:type="dxa"/>
            <w:vAlign w:val="bottom"/>
            <w:gridSpan w:val="2"/>
          </w:tcPr>
          <w:p>
            <w:pPr>
              <w:ind w:left="120"/>
              <w:spacing w:after="0"/>
              <w:rPr>
                <w:sz w:val="20"/>
                <w:szCs w:val="20"/>
                <w:color w:val="auto"/>
              </w:rPr>
            </w:pPr>
            <w:r>
              <w:rPr>
                <w:rFonts w:ascii="Arial" w:cs="Arial" w:eastAsia="Arial" w:hAnsi="Arial"/>
                <w:sz w:val="13"/>
                <w:szCs w:val="13"/>
                <w:color w:val="auto"/>
              </w:rPr>
              <w:t>Debt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(2,060,307)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(539,155)</w:t>
            </w: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Tax liabilities</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(100,759)</w:t>
            </w:r>
          </w:p>
        </w:tc>
        <w:tc>
          <w:tcPr>
            <w:tcW w:w="0" w:type="dxa"/>
            <w:vAlign w:val="bottom"/>
          </w:tcPr>
          <w:p>
            <w:pPr>
              <w:spacing w:after="0"/>
              <w:rPr>
                <w:sz w:val="1"/>
                <w:szCs w:val="1"/>
                <w:color w:val="auto"/>
              </w:rPr>
            </w:pPr>
          </w:p>
        </w:tc>
      </w:tr>
      <w:tr>
        <w:trPr>
          <w:trHeight w:val="172"/>
        </w:trPr>
        <w:tc>
          <w:tcPr>
            <w:tcW w:w="2760" w:type="dxa"/>
            <w:vAlign w:val="bottom"/>
            <w:gridSpan w:val="2"/>
          </w:tcPr>
          <w:p>
            <w:pPr>
              <w:ind w:left="100"/>
              <w:spacing w:after="0"/>
              <w:rPr>
                <w:sz w:val="20"/>
                <w:szCs w:val="20"/>
                <w:color w:val="auto"/>
              </w:rPr>
            </w:pPr>
            <w:r>
              <w:rPr>
                <w:rFonts w:ascii="Arial" w:cs="Arial" w:eastAsia="Arial" w:hAnsi="Arial"/>
                <w:sz w:val="13"/>
                <w:szCs w:val="13"/>
                <w:color w:val="auto"/>
              </w:rPr>
              <w:t>Intangible, lease and other liabilities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(56,889)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(11,303)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(419,262)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(16,194)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(120,178)</w:t>
            </w:r>
          </w:p>
        </w:tc>
        <w:tc>
          <w:tcPr>
            <w:tcW w:w="0" w:type="dxa"/>
            <w:vAlign w:val="bottom"/>
          </w:tcPr>
          <w:p>
            <w:pPr>
              <w:spacing w:after="0"/>
              <w:rPr>
                <w:sz w:val="1"/>
                <w:szCs w:val="1"/>
                <w:color w:val="auto"/>
              </w:rPr>
            </w:pPr>
          </w:p>
        </w:tc>
      </w:tr>
      <w:tr>
        <w:trPr>
          <w:trHeight w:val="170"/>
        </w:trPr>
        <w:tc>
          <w:tcPr>
            <w:tcW w:w="2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Fair value of net assets acquired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505,301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38,500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33,018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1,524,610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1,181,488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132,722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447,140</w:t>
            </w:r>
          </w:p>
        </w:tc>
        <w:tc>
          <w:tcPr>
            <w:tcW w:w="0" w:type="dxa"/>
            <w:vAlign w:val="bottom"/>
          </w:tcPr>
          <w:p>
            <w:pPr>
              <w:spacing w:after="0"/>
              <w:rPr>
                <w:sz w:val="1"/>
                <w:szCs w:val="1"/>
                <w:color w:val="auto"/>
              </w:rPr>
            </w:pPr>
          </w:p>
        </w:tc>
      </w:tr>
      <w:tr>
        <w:trPr>
          <w:trHeight w:val="172"/>
        </w:trPr>
        <w:tc>
          <w:tcPr>
            <w:tcW w:w="27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Noncontrolling interests in investment entities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(724,567)</w:t>
            </w:r>
          </w:p>
        </w:tc>
        <w:tc>
          <w:tcPr>
            <w:tcW w:w="0" w:type="dxa"/>
            <w:vAlign w:val="bottom"/>
          </w:tcPr>
          <w:p>
            <w:pPr>
              <w:spacing w:after="0"/>
              <w:rPr>
                <w:sz w:val="1"/>
                <w:szCs w:val="1"/>
                <w:color w:val="auto"/>
              </w:rPr>
            </w:pPr>
          </w:p>
        </w:tc>
      </w:tr>
      <w:tr>
        <w:trPr>
          <w:trHeight w:val="190"/>
        </w:trPr>
        <w:tc>
          <w:tcPr>
            <w:tcW w:w="2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247,248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463,120</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160" w:hanging="206"/>
        <w:spacing w:after="0" w:line="215" w:lineRule="auto"/>
        <w:tabs>
          <w:tab w:leader="none" w:pos="185" w:val="left"/>
        </w:tabs>
        <w:numPr>
          <w:ilvl w:val="0"/>
          <w:numId w:val="91"/>
        </w:numPr>
        <w:rPr>
          <w:rFonts w:ascii="Arial" w:cs="Arial" w:eastAsia="Arial" w:hAnsi="Arial"/>
          <w:sz w:val="16"/>
          <w:szCs w:val="16"/>
          <w:color w:val="auto"/>
          <w:vertAlign w:val="superscript"/>
        </w:rPr>
      </w:pPr>
      <w:r>
        <w:rPr>
          <w:rFonts w:ascii="Arial" w:cs="Arial" w:eastAsia="Arial" w:hAnsi="Arial"/>
          <w:sz w:val="12"/>
          <w:szCs w:val="12"/>
          <w:color w:val="auto"/>
        </w:rPr>
        <w:t>In 2020, adjustments were made to the purchase price allocation of DataBank during its one year measurement period based upon information obtained about facts and circumstances that existed at the time of closing. This includes an $8.8 million decrease to deferred tax liabilities in the fourth quarter of 2020 based upon the final 2019 tax provision for DataBank.</w:t>
      </w:r>
    </w:p>
    <w:p>
      <w:pPr>
        <w:spacing w:after="0" w:line="186" w:lineRule="exact"/>
        <w:rPr>
          <w:rFonts w:ascii="Arial" w:cs="Arial" w:eastAsia="Arial" w:hAnsi="Arial"/>
          <w:sz w:val="16"/>
          <w:szCs w:val="16"/>
          <w:color w:val="auto"/>
          <w:vertAlign w:val="superscript"/>
        </w:rPr>
      </w:pPr>
    </w:p>
    <w:p>
      <w:pPr>
        <w:ind w:left="486" w:hanging="136"/>
        <w:spacing w:after="0" w:line="231" w:lineRule="auto"/>
        <w:tabs>
          <w:tab w:leader="none" w:pos="482" w:val="left"/>
        </w:tabs>
        <w:numPr>
          <w:ilvl w:val="1"/>
          <w:numId w:val="91"/>
        </w:numPr>
        <w:rPr>
          <w:rFonts w:ascii="Arial" w:cs="Arial" w:eastAsia="Arial" w:hAnsi="Arial"/>
          <w:sz w:val="16"/>
          <w:szCs w:val="16"/>
          <w:color w:val="auto"/>
        </w:rPr>
      </w:pPr>
      <w:r>
        <w:rPr>
          <w:rFonts w:ascii="Arial" w:cs="Arial" w:eastAsia="Arial" w:hAnsi="Arial"/>
          <w:sz w:val="16"/>
          <w:szCs w:val="16"/>
          <w:color w:val="auto"/>
        </w:rPr>
        <w:t>Real estate was valued based upon (i) current replacement cost for buildings in an as-vacant state and improvements, estimated using construction cost guidelines; (ii) current replacement cost for data center infrastructure by applying an estimated cost per kilowatt based upon current capacity of each location and also considering the associated indirect costs such as design, engineering, construction and installation; (iii) recent comparable sales or current listings for land; and (iv) contracted price net of estimated selling costs for real estate held for disposition. Useful lives of real estate acquired range from 25 to 50 years for buildings and improvements,</w:t>
      </w:r>
    </w:p>
    <w:p>
      <w:pPr>
        <w:spacing w:after="0" w:line="200" w:lineRule="exact"/>
        <w:rPr>
          <w:sz w:val="20"/>
          <w:szCs w:val="20"/>
          <w:color w:val="auto"/>
        </w:rPr>
      </w:pPr>
    </w:p>
    <w:p>
      <w:pPr>
        <w:spacing w:after="0" w:line="21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sectPr>
      </w:pPr>
    </w:p>
    <w:bookmarkStart w:id="135" w:name="page136"/>
    <w:bookmarkEnd w:id="1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5 to 21 years for site improvements, 10 to 20 years for data center infrastructure, and 1 to 5 years for furniture, fixtures and equipment.</w:t>
      </w:r>
    </w:p>
    <w:p>
      <w:pPr>
        <w:spacing w:after="0" w:line="85" w:lineRule="exact"/>
        <w:rPr>
          <w:sz w:val="20"/>
          <w:szCs w:val="20"/>
          <w:color w:val="auto"/>
        </w:rPr>
      </w:pPr>
    </w:p>
    <w:p>
      <w:pPr>
        <w:ind w:left="480" w:hanging="136"/>
        <w:spacing w:after="0"/>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Lease-related intangibles for real estate acquisitions were composed of the following:</w:t>
      </w:r>
    </w:p>
    <w:p>
      <w:pPr>
        <w:spacing w:after="0" w:line="49" w:lineRule="exact"/>
        <w:rPr>
          <w:rFonts w:ascii="Arial" w:cs="Arial" w:eastAsia="Arial" w:hAnsi="Arial"/>
          <w:sz w:val="16"/>
          <w:szCs w:val="16"/>
          <w:color w:val="auto"/>
        </w:rPr>
      </w:pPr>
    </w:p>
    <w:p>
      <w:pPr>
        <w:ind w:left="760" w:right="80" w:hanging="135"/>
        <w:spacing w:after="0" w:line="236"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In-place leases reflect the value of rental income forgone if the properties had been acquired vacant, and the leasing commissions, legal and marketing costs that would have been incurred to lease up the properties, with remaining lease terms ranging between 1 and 15 years.</w:t>
      </w:r>
    </w:p>
    <w:p>
      <w:pPr>
        <w:spacing w:after="0" w:line="35" w:lineRule="exact"/>
        <w:rPr>
          <w:rFonts w:ascii="Arial" w:cs="Arial" w:eastAsia="Arial" w:hAnsi="Arial"/>
          <w:sz w:val="16"/>
          <w:szCs w:val="16"/>
          <w:color w:val="auto"/>
        </w:rPr>
      </w:pPr>
    </w:p>
    <w:p>
      <w:pPr>
        <w:ind w:left="760" w:right="240" w:hanging="135"/>
        <w:spacing w:after="0" w:line="236"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Above- and below-market leases represent the rent differential for the remaining lease term between contractual rents of acquired leases and market rents at the time of acquisition, discounted at rates between 6% and 8%, with remaining lease terms ranging between 1 and 15 years.</w:t>
      </w:r>
    </w:p>
    <w:p>
      <w:pPr>
        <w:spacing w:after="0" w:line="35" w:lineRule="exact"/>
        <w:rPr>
          <w:rFonts w:ascii="Arial" w:cs="Arial" w:eastAsia="Arial" w:hAnsi="Arial"/>
          <w:sz w:val="16"/>
          <w:szCs w:val="16"/>
          <w:color w:val="auto"/>
        </w:rPr>
      </w:pPr>
    </w:p>
    <w:p>
      <w:pPr>
        <w:jc w:val="both"/>
        <w:ind w:left="760" w:right="300" w:hanging="135"/>
        <w:spacing w:after="0" w:line="233"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Tenant relationships represent the estimated net cash flows attributable to the likelihood of lease renewal by an existing tenant relative to the cost of obtaining a new lease, taking into consideration the estimated time it would require to execute a new lease or backfill a vacant space, discounted at rates between 5.5% and 11.5%, with estimated useful lives between 5 and 15 years.</w:t>
      </w:r>
    </w:p>
    <w:p>
      <w:pPr>
        <w:spacing w:after="0" w:line="83" w:lineRule="exact"/>
        <w:rPr>
          <w:rFonts w:ascii="Arial" w:cs="Arial" w:eastAsia="Arial" w:hAnsi="Arial"/>
          <w:sz w:val="16"/>
          <w:szCs w:val="16"/>
          <w:color w:val="auto"/>
        </w:rPr>
      </w:pPr>
    </w:p>
    <w:p>
      <w:pPr>
        <w:ind w:left="480" w:hanging="136"/>
        <w:spacing w:after="0"/>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investment management intangible assets of DBH were composed of the following:</w:t>
      </w:r>
    </w:p>
    <w:p>
      <w:pPr>
        <w:spacing w:after="0" w:line="49" w:lineRule="exact"/>
        <w:rPr>
          <w:rFonts w:ascii="Arial" w:cs="Arial" w:eastAsia="Arial" w:hAnsi="Arial"/>
          <w:sz w:val="16"/>
          <w:szCs w:val="16"/>
          <w:color w:val="auto"/>
        </w:rPr>
      </w:pPr>
    </w:p>
    <w:p>
      <w:pPr>
        <w:ind w:left="760" w:right="140" w:hanging="135"/>
        <w:spacing w:after="0" w:line="236"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Management contracts are valued based upon estimated net cash flows generated from the contracts, including the Company's 50% interest in Digital Colony Manager, discounted at 8%, with remaining term of the contracts ranging between 3 and 10 years.</w:t>
      </w:r>
    </w:p>
    <w:p>
      <w:pPr>
        <w:spacing w:after="0" w:line="35" w:lineRule="exact"/>
        <w:rPr>
          <w:rFonts w:ascii="Arial" w:cs="Arial" w:eastAsia="Arial" w:hAnsi="Arial"/>
          <w:sz w:val="16"/>
          <w:szCs w:val="16"/>
          <w:color w:val="auto"/>
        </w:rPr>
      </w:pPr>
    </w:p>
    <w:p>
      <w:pPr>
        <w:jc w:val="both"/>
        <w:ind w:left="760" w:right="340" w:hanging="135"/>
        <w:spacing w:after="0" w:line="317" w:lineRule="auto"/>
        <w:tabs>
          <w:tab w:leader="none" w:pos="756" w:val="left"/>
        </w:tabs>
        <w:numPr>
          <w:ilvl w:val="1"/>
          <w:numId w:val="92"/>
        </w:numPr>
        <w:rPr>
          <w:rFonts w:ascii="Arial" w:cs="Arial" w:eastAsia="Arial" w:hAnsi="Arial"/>
          <w:sz w:val="14"/>
          <w:szCs w:val="14"/>
          <w:color w:val="auto"/>
        </w:rPr>
      </w:pPr>
      <w:r>
        <w:rPr>
          <w:rFonts w:ascii="Arial" w:cs="Arial" w:eastAsia="Arial" w:hAnsi="Arial"/>
          <w:sz w:val="14"/>
          <w:szCs w:val="14"/>
          <w:color w:val="auto"/>
        </w:rPr>
        <w:t>Investor relationships—represent the fair value of potential investment management fees, net of operating costs, to be generated from repeat DBH investors in future sponsored vehicles, discounted at 11.5%, and potential carried interest discounted at 25%, with estimated useful life of 10 years.</w:t>
      </w:r>
    </w:p>
    <w:p>
      <w:pPr>
        <w:spacing w:after="0" w:line="42" w:lineRule="exact"/>
        <w:rPr>
          <w:rFonts w:ascii="Arial" w:cs="Arial" w:eastAsia="Arial" w:hAnsi="Arial"/>
          <w:sz w:val="14"/>
          <w:szCs w:val="14"/>
          <w:color w:val="auto"/>
        </w:rPr>
      </w:pPr>
    </w:p>
    <w:p>
      <w:pPr>
        <w:ind w:left="480" w:hanging="136"/>
        <w:spacing w:after="0"/>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Other intangible assets acquired were as follows:</w:t>
      </w:r>
    </w:p>
    <w:p>
      <w:pPr>
        <w:spacing w:after="0" w:line="49" w:lineRule="exact"/>
        <w:rPr>
          <w:rFonts w:ascii="Arial" w:cs="Arial" w:eastAsia="Arial" w:hAnsi="Arial"/>
          <w:sz w:val="16"/>
          <w:szCs w:val="16"/>
          <w:color w:val="auto"/>
        </w:rPr>
      </w:pPr>
    </w:p>
    <w:p>
      <w:pPr>
        <w:ind w:left="760" w:right="80" w:hanging="135"/>
        <w:spacing w:after="0" w:line="233"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Customer service contracts were valued based upon estimated net cash flows generated from the Databank and zColo customer service contracts that would have been forgone if such contracts were not in place, taking into consideration the time it would require to execute a new contract, with remaining term of the contracts ranging between 1 and 15 years.</w:t>
      </w:r>
    </w:p>
    <w:p>
      <w:pPr>
        <w:spacing w:after="0" w:line="37" w:lineRule="exact"/>
        <w:rPr>
          <w:rFonts w:ascii="Arial" w:cs="Arial" w:eastAsia="Arial" w:hAnsi="Arial"/>
          <w:sz w:val="16"/>
          <w:szCs w:val="16"/>
          <w:color w:val="auto"/>
        </w:rPr>
      </w:pPr>
    </w:p>
    <w:p>
      <w:pPr>
        <w:ind w:left="760" w:right="400" w:hanging="135"/>
        <w:spacing w:after="0" w:line="236"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Customer relationships were valued as the incremental net cash flows to the DataBank and zColo businesses attributable to the in-place customer relationships, discounted at 9.5% and 10%, respectively, with estimated useful life of 12 years.</w:t>
      </w:r>
    </w:p>
    <w:p>
      <w:pPr>
        <w:spacing w:after="0" w:line="35" w:lineRule="exact"/>
        <w:rPr>
          <w:rFonts w:ascii="Arial" w:cs="Arial" w:eastAsia="Arial" w:hAnsi="Arial"/>
          <w:sz w:val="16"/>
          <w:szCs w:val="16"/>
          <w:color w:val="auto"/>
        </w:rPr>
      </w:pPr>
    </w:p>
    <w:p>
      <w:pPr>
        <w:ind w:left="760" w:right="80" w:hanging="135"/>
        <w:spacing w:after="0" w:line="248" w:lineRule="auto"/>
        <w:tabs>
          <w:tab w:leader="none" w:pos="756" w:val="left"/>
        </w:tabs>
        <w:numPr>
          <w:ilvl w:val="1"/>
          <w:numId w:val="92"/>
        </w:numPr>
        <w:rPr>
          <w:rFonts w:ascii="Arial" w:cs="Arial" w:eastAsia="Arial" w:hAnsi="Arial"/>
          <w:sz w:val="16"/>
          <w:szCs w:val="16"/>
          <w:color w:val="auto"/>
        </w:rPr>
      </w:pPr>
      <w:r>
        <w:rPr>
          <w:rFonts w:ascii="Arial" w:cs="Arial" w:eastAsia="Arial" w:hAnsi="Arial"/>
          <w:sz w:val="16"/>
          <w:szCs w:val="16"/>
          <w:color w:val="auto"/>
        </w:rPr>
        <w:t>Trade names of Digital Bridge, DataBank and zColo were valued based upon estimated savings from avoided royalty at a rate of 1% or 2%, discounted at rates between 9.5% and 11.5%, with useful lives between 1 and 10 years.</w:t>
      </w:r>
    </w:p>
    <w:p>
      <w:pPr>
        <w:spacing w:after="0" w:line="40" w:lineRule="exact"/>
        <w:rPr>
          <w:rFonts w:ascii="Arial" w:cs="Arial" w:eastAsia="Arial" w:hAnsi="Arial"/>
          <w:sz w:val="16"/>
          <w:szCs w:val="16"/>
          <w:color w:val="auto"/>
        </w:rPr>
      </w:pPr>
    </w:p>
    <w:p>
      <w:pPr>
        <w:ind w:left="760" w:hanging="135"/>
        <w:spacing w:after="0"/>
        <w:tabs>
          <w:tab w:leader="none" w:pos="7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Assembled workforce was valued based upon estimated cost of recruiting and training new data center employees for zColo, with a 3 year useful life.</w:t>
      </w:r>
    </w:p>
    <w:p>
      <w:pPr>
        <w:spacing w:after="0" w:line="119" w:lineRule="exact"/>
        <w:rPr>
          <w:rFonts w:ascii="Arial" w:cs="Arial" w:eastAsia="Arial" w:hAnsi="Arial"/>
          <w:sz w:val="14"/>
          <w:szCs w:val="14"/>
          <w:color w:val="auto"/>
        </w:rPr>
      </w:pPr>
    </w:p>
    <w:p>
      <w:pPr>
        <w:ind w:left="480" w:hanging="136"/>
        <w:spacing w:after="0" w:line="245" w:lineRule="auto"/>
        <w:tabs>
          <w:tab w:leader="none" w:pos="4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Other assets acquired and liabilities assumed include primarily lease ROU assets associated with leasehold data centers and corresponding lease liabilities. Lease liabilities were measured based upon the present value of future lease payments over the lease term, discounted at the incremental borrowing rate of the respective acquirees. Deferred tax liabilities recognized upon acquisition represent the tax effect on book-to-tax basis difference, associated with DataBank real estate assets and DBH management contract intangibles.</w:t>
      </w:r>
    </w:p>
    <w:p>
      <w:pPr>
        <w:spacing w:after="0" w:line="90" w:lineRule="exact"/>
        <w:rPr>
          <w:rFonts w:ascii="Arial" w:cs="Arial" w:eastAsia="Arial" w:hAnsi="Arial"/>
          <w:sz w:val="16"/>
          <w:szCs w:val="16"/>
          <w:color w:val="auto"/>
        </w:rPr>
      </w:pPr>
    </w:p>
    <w:p>
      <w:pPr>
        <w:ind w:left="480" w:right="720" w:hanging="136"/>
        <w:spacing w:after="0" w:line="236" w:lineRule="auto"/>
        <w:tabs>
          <w:tab w:leader="none" w:pos="4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Assumed debt was valued based upon market rates and spreads that prevailed at the time of acquisition for debt with similar terms and remaining maturities.</w:t>
      </w:r>
    </w:p>
    <w:p>
      <w:pPr>
        <w:spacing w:after="0" w:line="82" w:lineRule="exact"/>
        <w:rPr>
          <w:rFonts w:ascii="Arial" w:cs="Arial" w:eastAsia="Arial" w:hAnsi="Arial"/>
          <w:sz w:val="16"/>
          <w:szCs w:val="16"/>
          <w:color w:val="auto"/>
        </w:rPr>
      </w:pPr>
    </w:p>
    <w:p>
      <w:pPr>
        <w:ind w:left="480" w:hanging="136"/>
        <w:spacing w:after="0"/>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Noncontrolling interests in investment entities were valued based upon their proportionate share of the respective net assets at fair value.</w:t>
      </w:r>
    </w:p>
    <w:p>
      <w:pPr>
        <w:spacing w:after="0" w:line="84" w:lineRule="exact"/>
        <w:rPr>
          <w:rFonts w:ascii="Arial" w:cs="Arial" w:eastAsia="Arial" w:hAnsi="Arial"/>
          <w:sz w:val="16"/>
          <w:szCs w:val="16"/>
          <w:color w:val="auto"/>
        </w:rPr>
      </w:pPr>
    </w:p>
    <w:p>
      <w:pPr>
        <w:ind w:left="480" w:right="40" w:hanging="136"/>
        <w:spacing w:after="0" w:line="230" w:lineRule="auto"/>
        <w:tabs>
          <w:tab w:leader="none" w:pos="4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a business combination, the excess of the fair value of consideration transferred over the fair value of identifiable assets acquired, liabilities assumed and noncontrolling interests, is recorded as goodwill. The DBH and DataBank goodwill are each assigned to the Digital IM and Digital Operating segments, respectively. The DBH acquisition is a strategic transaction that is expected to generate meaningful accretion in value to the Company through expansion of the digital investment management platform by combining the industry sector knowledge, experience and relationships from the DBH team with the capital raising resources of the Company, as represented by the value of the DBH goodwill. The DataBank goodwill represents the value embodied in the potential for future customers, revenue and profit growth in the colocation business, and industry knowledge, experience and relationships contributed by the DataBank management team. In an asset acquisition, the cost of the assets acquired and liabilities assumed is allocated based upon their relative fair value and does not give rise to goodwill.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Real Estate</w:t>
      </w:r>
    </w:p>
    <w:p>
      <w:pPr>
        <w:spacing w:after="0" w:line="161" w:lineRule="exact"/>
        <w:rPr>
          <w:sz w:val="20"/>
          <w:szCs w:val="20"/>
          <w:color w:val="auto"/>
        </w:rPr>
      </w:pPr>
    </w:p>
    <w:p>
      <w:pPr>
        <w:ind w:right="40" w:firstLine="351"/>
        <w:spacing w:after="0" w:line="248" w:lineRule="auto"/>
        <w:rPr>
          <w:sz w:val="20"/>
          <w:szCs w:val="20"/>
          <w:color w:val="auto"/>
        </w:rPr>
      </w:pPr>
      <w:r>
        <w:rPr>
          <w:rFonts w:ascii="Arial" w:cs="Arial" w:eastAsia="Arial" w:hAnsi="Arial"/>
          <w:sz w:val="16"/>
          <w:szCs w:val="16"/>
          <w:color w:val="auto"/>
        </w:rPr>
        <w:t>The following table summarizes the Company's real estate held for investment in the digital operating segment. Real estate held for disposition is presented in Note 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0"/>
                <w:szCs w:val="10"/>
                <w:color w:val="auto"/>
              </w:rPr>
            </w:pPr>
          </w:p>
        </w:tc>
        <w:tc>
          <w:tcPr>
            <w:tcW w:w="1380" w:type="dxa"/>
            <w:vAlign w:val="bottom"/>
          </w:tcPr>
          <w:p>
            <w:pPr>
              <w:jc w:val="right"/>
              <w:ind w:right="232"/>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4"/>
        </w:trPr>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168,145</w:t>
            </w:r>
          </w:p>
        </w:tc>
      </w:tr>
      <w:tr>
        <w:trPr>
          <w:trHeight w:val="185"/>
        </w:trPr>
        <w:tc>
          <w:tcPr>
            <w:tcW w:w="8020" w:type="dxa"/>
            <w:vAlign w:val="bottom"/>
            <w:gridSpan w:val="2"/>
          </w:tcPr>
          <w:p>
            <w:pPr>
              <w:spacing w:after="0"/>
              <w:rPr>
                <w:sz w:val="20"/>
                <w:szCs w:val="20"/>
                <w:color w:val="auto"/>
              </w:rPr>
            </w:pPr>
            <w:r>
              <w:rPr>
                <w:rFonts w:ascii="Arial" w:cs="Arial" w:eastAsia="Arial" w:hAnsi="Arial"/>
                <w:sz w:val="14"/>
                <w:szCs w:val="14"/>
                <w:color w:val="auto"/>
              </w:rPr>
              <w:t>Buildings and improvements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1,295,204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966,839</w:t>
            </w:r>
          </w:p>
        </w:tc>
      </w:tr>
      <w:tr>
        <w:trPr>
          <w:trHeight w:val="189"/>
        </w:trPr>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Data center infrastructure</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3,785,561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3,396,854</w:t>
            </w:r>
          </w:p>
        </w:tc>
      </w:tr>
      <w:tr>
        <w:trPr>
          <w:trHeight w:val="185"/>
        </w:trPr>
        <w:tc>
          <w:tcPr>
            <w:tcW w:w="8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Construction in progress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77,014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38,210</w:t>
            </w:r>
          </w:p>
        </w:tc>
      </w:tr>
      <w:tr>
        <w:trPr>
          <w:trHeight w:val="181"/>
        </w:trPr>
        <w:tc>
          <w:tcPr>
            <w:tcW w:w="760" w:type="dxa"/>
            <w:vAlign w:val="bottom"/>
            <w:shd w:val="clear" w:color="auto" w:fill="CCEEFF"/>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5,364,367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4,570,048</w:t>
            </w:r>
          </w:p>
        </w:tc>
      </w:tr>
      <w:tr>
        <w:trPr>
          <w:trHeight w:val="185"/>
        </w:trPr>
        <w:tc>
          <w:tcPr>
            <w:tcW w:w="8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Less: Accumulated depreciation</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(392,083)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(118,184)</w:t>
            </w:r>
          </w:p>
        </w:tc>
      </w:tr>
      <w:tr>
        <w:trPr>
          <w:trHeight w:val="206"/>
        </w:trPr>
        <w:tc>
          <w:tcPr>
            <w:tcW w:w="8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Real estate assets, net</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4,972,284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4,451,864</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Real Estate Depreciation</w:t>
      </w:r>
    </w:p>
    <w:p>
      <w:pPr>
        <w:spacing w:after="0" w:line="115" w:lineRule="exact"/>
        <w:rPr>
          <w:sz w:val="20"/>
          <w:szCs w:val="20"/>
          <w:color w:val="auto"/>
        </w:rPr>
      </w:pPr>
    </w:p>
    <w:p>
      <w:pPr>
        <w:ind w:left="60" w:right="100" w:firstLine="281"/>
        <w:spacing w:after="0" w:line="248" w:lineRule="auto"/>
        <w:rPr>
          <w:sz w:val="20"/>
          <w:szCs w:val="20"/>
          <w:color w:val="auto"/>
        </w:rPr>
      </w:pPr>
      <w:r>
        <w:rPr>
          <w:rFonts w:ascii="Arial" w:cs="Arial" w:eastAsia="Arial" w:hAnsi="Arial"/>
          <w:sz w:val="16"/>
          <w:szCs w:val="16"/>
          <w:color w:val="auto"/>
        </w:rPr>
        <w:t>Depreciation of real estate held for investment was $275.8 million in 2021 and $117.1 million in 2020. Depreciation was immaterial in 2019 as the Company's first digital operating real estate portfolio was acquired in late December 2019.</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Property Operating Income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property operating income in the digital operating segment are as follows. This excludes amounts related to discontinued operations (Note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7"/>
        </w:trPr>
        <w:tc>
          <w:tcPr>
            <w:tcW w:w="63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0"/>
                <w:szCs w:val="10"/>
                <w:color w:val="auto"/>
              </w:rPr>
            </w:pPr>
          </w:p>
        </w:tc>
        <w:tc>
          <w:tcPr>
            <w:tcW w:w="1200" w:type="dxa"/>
            <w:vAlign w:val="bottom"/>
          </w:tcPr>
          <w:p>
            <w:pPr>
              <w:jc w:val="right"/>
              <w:ind w:right="592"/>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right"/>
              <w:ind w:right="594"/>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592"/>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2"/>
        </w:trPr>
        <w:tc>
          <w:tcPr>
            <w:tcW w:w="63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Lease income: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Fixed lease income</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609,005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226,478</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3,779</w:t>
            </w:r>
          </w:p>
        </w:tc>
      </w:tr>
      <w:tr>
        <w:trPr>
          <w:trHeight w:val="187"/>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lease income</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92,701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38,913</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79"/>
        </w:trPr>
        <w:tc>
          <w:tcPr>
            <w:tcW w:w="7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701,706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265,391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4,156</w:t>
            </w:r>
          </w:p>
        </w:tc>
      </w:tr>
      <w:tr>
        <w:trPr>
          <w:trHeight w:val="187"/>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Data center service revenue</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61,044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47,537</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w:t>
            </w:r>
          </w:p>
        </w:tc>
      </w:tr>
      <w:tr>
        <w:trPr>
          <w:trHeight w:val="179"/>
        </w:trPr>
        <w:tc>
          <w:tcPr>
            <w:tcW w:w="7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762,750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312,928</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6,038</w:t>
            </w:r>
          </w:p>
        </w:tc>
      </w:tr>
      <w:tr>
        <w:trPr>
          <w:trHeight w:val="20"/>
        </w:trPr>
        <w:tc>
          <w:tcPr>
            <w:tcW w:w="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20" w:firstLine="351"/>
        <w:spacing w:after="0" w:line="246" w:lineRule="auto"/>
        <w:rPr>
          <w:sz w:val="20"/>
          <w:szCs w:val="20"/>
          <w:color w:val="auto"/>
        </w:rPr>
      </w:pPr>
      <w:r>
        <w:rPr>
          <w:rFonts w:ascii="Arial" w:cs="Arial" w:eastAsia="Arial" w:hAnsi="Arial"/>
          <w:sz w:val="16"/>
          <w:szCs w:val="16"/>
          <w:color w:val="auto"/>
        </w:rPr>
        <w:t>In 2021, property operating income from a single customer accounted for approximately 16.7% of the Company's total revenues from continuing operations, or approximately 7.8% of the Company's share of total revenues from continuing operations, net of amounts attributable to noncontrolling interests in investment entities. There was no similar tenant concentration in 2020 and 2019.</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7" w:name="page138"/>
    <w:bookmarkEnd w:id="137"/>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6"/>
        <w:spacing w:after="0"/>
        <w:rPr>
          <w:sz w:val="20"/>
          <w:szCs w:val="20"/>
          <w:color w:val="auto"/>
        </w:rPr>
      </w:pPr>
      <w:r>
        <w:rPr>
          <w:rFonts w:ascii="Arial" w:cs="Arial" w:eastAsia="Arial" w:hAnsi="Arial"/>
          <w:sz w:val="16"/>
          <w:szCs w:val="16"/>
          <w:b w:val="1"/>
          <w:bCs w:val="1"/>
          <w:i w:val="1"/>
          <w:iCs w:val="1"/>
          <w:color w:val="auto"/>
        </w:rPr>
        <w:t>Future Fixed Lease Income</w:t>
      </w:r>
    </w:p>
    <w:p>
      <w:pPr>
        <w:spacing w:after="0" w:line="115" w:lineRule="exact"/>
        <w:rPr>
          <w:sz w:val="20"/>
          <w:szCs w:val="20"/>
          <w:color w:val="auto"/>
        </w:rPr>
      </w:pPr>
    </w:p>
    <w:p>
      <w:pPr>
        <w:ind w:left="6" w:firstLine="351"/>
        <w:spacing w:after="0" w:line="246" w:lineRule="auto"/>
        <w:rPr>
          <w:sz w:val="20"/>
          <w:szCs w:val="20"/>
          <w:color w:val="auto"/>
        </w:rPr>
      </w:pPr>
      <w:r>
        <w:rPr>
          <w:rFonts w:ascii="Arial" w:cs="Arial" w:eastAsia="Arial" w:hAnsi="Arial"/>
          <w:sz w:val="16"/>
          <w:szCs w:val="16"/>
          <w:color w:val="auto"/>
        </w:rPr>
        <w:t>At December 31, 2021, future fixed lease payments receivable under noncancelable operating leases for real estate held for investment in the digital operating segment were as follows. These operating leases have expiration dates through 2041, excluding month-to-month leases, and renewal options and early termination rights at the lessee's election unless such options or rights are reasonably certain to be exercised.</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1380" w:type="dxa"/>
            <w:vAlign w:val="bottom"/>
          </w:tcPr>
          <w:p>
            <w:pPr>
              <w:spacing w:after="0"/>
              <w:rPr>
                <w:sz w:val="20"/>
                <w:szCs w:val="20"/>
                <w:color w:val="auto"/>
              </w:rPr>
            </w:pPr>
            <w:r>
              <w:rPr>
                <w:rFonts w:ascii="Arial" w:cs="Arial" w:eastAsia="Arial" w:hAnsi="Arial"/>
                <w:sz w:val="11"/>
                <w:szCs w:val="11"/>
                <w:b w:val="1"/>
                <w:bCs w:val="1"/>
                <w:color w:val="auto"/>
                <w:w w:val="97"/>
              </w:rPr>
              <w:t>Year Ending December 31,</w:t>
            </w:r>
          </w:p>
        </w:tc>
        <w:tc>
          <w:tcPr>
            <w:tcW w:w="8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w w:val="94"/>
              </w:rPr>
              <w:t>(In thousands)</w:t>
            </w:r>
          </w:p>
        </w:tc>
      </w:tr>
      <w:tr>
        <w:trPr>
          <w:trHeight w:val="28"/>
        </w:trPr>
        <w:tc>
          <w:tcPr>
            <w:tcW w:w="1380" w:type="dxa"/>
            <w:vAlign w:val="bottom"/>
            <w:shd w:val="clear" w:color="auto" w:fill="000000"/>
          </w:tcPr>
          <w:p>
            <w:pPr>
              <w:spacing w:after="0"/>
              <w:rPr>
                <w:sz w:val="2"/>
                <w:szCs w:val="2"/>
                <w:color w:val="auto"/>
              </w:rPr>
            </w:pPr>
          </w:p>
        </w:tc>
        <w:tc>
          <w:tcPr>
            <w:tcW w:w="8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195"/>
        </w:trPr>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83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555,384</w:t>
            </w:r>
          </w:p>
        </w:tc>
      </w:tr>
      <w:tr>
        <w:trPr>
          <w:trHeight w:val="185"/>
        </w:trPr>
        <w:tc>
          <w:tcPr>
            <w:tcW w:w="1380" w:type="dxa"/>
            <w:vAlign w:val="bottom"/>
          </w:tcPr>
          <w:p>
            <w:pPr>
              <w:spacing w:after="0"/>
              <w:rPr>
                <w:sz w:val="20"/>
                <w:szCs w:val="20"/>
                <w:color w:val="auto"/>
              </w:rPr>
            </w:pPr>
            <w:r>
              <w:rPr>
                <w:rFonts w:ascii="Arial" w:cs="Arial" w:eastAsia="Arial" w:hAnsi="Arial"/>
                <w:sz w:val="14"/>
                <w:szCs w:val="14"/>
                <w:color w:val="auto"/>
              </w:rPr>
              <w:t>2023</w:t>
            </w:r>
          </w:p>
        </w:tc>
        <w:tc>
          <w:tcPr>
            <w:tcW w:w="8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423,557</w:t>
            </w:r>
          </w:p>
        </w:tc>
      </w:tr>
      <w:tr>
        <w:trPr>
          <w:trHeight w:val="189"/>
        </w:trPr>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8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341,937</w:t>
            </w:r>
          </w:p>
        </w:tc>
      </w:tr>
      <w:tr>
        <w:trPr>
          <w:trHeight w:val="185"/>
        </w:trPr>
        <w:tc>
          <w:tcPr>
            <w:tcW w:w="1380" w:type="dxa"/>
            <w:vAlign w:val="bottom"/>
          </w:tcPr>
          <w:p>
            <w:pPr>
              <w:spacing w:after="0"/>
              <w:rPr>
                <w:sz w:val="20"/>
                <w:szCs w:val="20"/>
                <w:color w:val="auto"/>
              </w:rPr>
            </w:pPr>
            <w:r>
              <w:rPr>
                <w:rFonts w:ascii="Arial" w:cs="Arial" w:eastAsia="Arial" w:hAnsi="Arial"/>
                <w:sz w:val="14"/>
                <w:szCs w:val="14"/>
                <w:color w:val="auto"/>
              </w:rPr>
              <w:t>2025</w:t>
            </w:r>
          </w:p>
        </w:tc>
        <w:tc>
          <w:tcPr>
            <w:tcW w:w="8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295,824</w:t>
            </w:r>
          </w:p>
        </w:tc>
      </w:tr>
      <w:tr>
        <w:trPr>
          <w:trHeight w:val="189"/>
        </w:trPr>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8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272,651</w:t>
            </w:r>
          </w:p>
        </w:tc>
      </w:tr>
      <w:tr>
        <w:trPr>
          <w:trHeight w:val="185"/>
        </w:trPr>
        <w:tc>
          <w:tcPr>
            <w:tcW w:w="96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2027 and thereafter</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1,441,452</w:t>
            </w:r>
          </w:p>
        </w:tc>
      </w:tr>
      <w:tr>
        <w:trPr>
          <w:trHeight w:val="206"/>
        </w:trPr>
        <w:tc>
          <w:tcPr>
            <w:tcW w:w="9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3,330,805</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146"/>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In January 2022, the Company's subsidiary, DataBank, entered into a definitive agreement to acquire four colocation data centers in Houston, Texas for</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$670 million, which will add approximately 308,000 built square feet to its portfolio. Based upon the expected equity funding by DataBank, the Company's share 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investment is anticipated to be $91.4 million, following which the Company's interest in DataBank will approximate 21.8% (21.9% in January 2022 preceding</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this transaction, refer to Note 3). The transaction is expected to close in March 2022, subject to customary closing conditions and regulatory approval.</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5. Equity Investments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Company's equity investments, excluding investments held for disposition (Note 11), are represented by the following:</w:t>
      </w:r>
    </w:p>
    <w:p>
      <w:pPr>
        <w:spacing w:after="0" w:line="111"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80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0"/>
                <w:szCs w:val="10"/>
                <w:color w:val="auto"/>
              </w:rPr>
            </w:pPr>
          </w:p>
        </w:tc>
        <w:tc>
          <w:tcPr>
            <w:tcW w:w="1380" w:type="dxa"/>
            <w:vAlign w:val="bottom"/>
          </w:tcPr>
          <w:p>
            <w:pPr>
              <w:jc w:val="right"/>
              <w:ind w:right="231"/>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2"/>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Equity method investments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7"/>
        </w:trPr>
        <w:tc>
          <w:tcPr>
            <w:tcW w:w="8000" w:type="dxa"/>
            <w:vAlign w:val="bottom"/>
            <w:gridSpan w:val="2"/>
          </w:tcPr>
          <w:p>
            <w:pPr>
              <w:ind w:left="100"/>
              <w:spacing w:after="0" w:line="187" w:lineRule="exact"/>
              <w:rPr>
                <w:sz w:val="20"/>
                <w:szCs w:val="20"/>
                <w:color w:val="auto"/>
              </w:rPr>
            </w:pPr>
            <w:r>
              <w:rPr>
                <w:rFonts w:ascii="Arial" w:cs="Arial" w:eastAsia="Arial" w:hAnsi="Arial"/>
                <w:sz w:val="14"/>
                <w:szCs w:val="14"/>
                <w:color w:val="auto"/>
              </w:rPr>
              <w:t xml:space="preserve">BRSP </w:t>
            </w:r>
            <w:r>
              <w:rPr>
                <w:rFonts w:ascii="Arial" w:cs="Arial" w:eastAsia="Arial" w:hAnsi="Arial"/>
                <w:sz w:val="18"/>
                <w:szCs w:val="18"/>
                <w:color w:val="auto"/>
                <w:vertAlign w:val="superscript"/>
              </w:rPr>
              <w:t>(1)</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284,985</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356,772</w:t>
            </w:r>
          </w:p>
        </w:tc>
      </w:tr>
      <w:tr>
        <w:trPr>
          <w:trHeight w:val="187"/>
        </w:trPr>
        <w:tc>
          <w:tcPr>
            <w:tcW w:w="8000" w:type="dxa"/>
            <w:vAlign w:val="bottom"/>
            <w:gridSpan w:val="2"/>
            <w:shd w:val="clear" w:color="auto" w:fill="CCEEFF"/>
          </w:tcPr>
          <w:p>
            <w:pPr>
              <w:ind w:left="100"/>
              <w:spacing w:after="0" w:line="187" w:lineRule="exact"/>
              <w:rPr>
                <w:sz w:val="20"/>
                <w:szCs w:val="20"/>
                <w:color w:val="auto"/>
              </w:rPr>
            </w:pPr>
            <w:r>
              <w:rPr>
                <w:rFonts w:ascii="Arial" w:cs="Arial" w:eastAsia="Arial" w:hAnsi="Arial"/>
                <w:sz w:val="14"/>
                <w:szCs w:val="14"/>
                <w:color w:val="auto"/>
              </w:rPr>
              <w:t xml:space="preserve">Company-sponsored private funds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382,694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173,039</w:t>
            </w:r>
          </w:p>
        </w:tc>
      </w:tr>
      <w:tr>
        <w:trPr>
          <w:trHeight w:val="185"/>
        </w:trPr>
        <w:tc>
          <w:tcPr>
            <w:tcW w:w="8000" w:type="dxa"/>
            <w:vAlign w:val="bottom"/>
            <w:gridSpan w:val="2"/>
          </w:tcPr>
          <w:p>
            <w:pPr>
              <w:ind w:left="100"/>
              <w:spacing w:after="0"/>
              <w:rPr>
                <w:sz w:val="20"/>
                <w:szCs w:val="20"/>
                <w:color w:val="auto"/>
              </w:rPr>
            </w:pPr>
            <w:r>
              <w:rPr>
                <w:rFonts w:ascii="Arial" w:cs="Arial" w:eastAsia="Arial" w:hAnsi="Arial"/>
                <w:sz w:val="14"/>
                <w:szCs w:val="14"/>
                <w:color w:val="auto"/>
              </w:rPr>
              <w:t>Investments under fair value option (Note 13)</w:t>
            </w: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28,540</w:t>
            </w:r>
          </w:p>
        </w:tc>
      </w:tr>
      <w:tr>
        <w:trPr>
          <w:trHeight w:val="187"/>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5,417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16,160</w:t>
            </w:r>
          </w:p>
        </w:tc>
      </w:tr>
      <w:tr>
        <w:trPr>
          <w:trHeight w:val="179"/>
        </w:trPr>
        <w:tc>
          <w:tcPr>
            <w:tcW w:w="7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673,096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574,511</w:t>
            </w:r>
          </w:p>
        </w:tc>
      </w:tr>
      <w:tr>
        <w:trPr>
          <w:trHeight w:val="18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equity investments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5"/>
        </w:trPr>
        <w:tc>
          <w:tcPr>
            <w:tcW w:w="8000" w:type="dxa"/>
            <w:vAlign w:val="bottom"/>
            <w:gridSpan w:val="2"/>
          </w:tcPr>
          <w:p>
            <w:pPr>
              <w:ind w:left="100"/>
              <w:spacing w:after="0"/>
              <w:rPr>
                <w:sz w:val="20"/>
                <w:szCs w:val="20"/>
                <w:color w:val="auto"/>
              </w:rPr>
            </w:pPr>
            <w:r>
              <w:rPr>
                <w:rFonts w:ascii="Arial" w:cs="Arial" w:eastAsia="Arial" w:hAnsi="Arial"/>
                <w:sz w:val="14"/>
                <w:szCs w:val="14"/>
                <w:color w:val="auto"/>
              </w:rPr>
              <w:t>Marketable securities (Note 13)</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201,912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218,485</w:t>
            </w:r>
          </w:p>
        </w:tc>
      </w:tr>
      <w:tr>
        <w:trPr>
          <w:trHeight w:val="189"/>
        </w:trPr>
        <w:tc>
          <w:tcPr>
            <w:tcW w:w="8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Private funds and non-traded REIT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49,575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5"/>
        </w:trPr>
        <w:tc>
          <w:tcPr>
            <w:tcW w:w="8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10,570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r>
      <w:tr>
        <w:trPr>
          <w:trHeight w:val="204"/>
        </w:trPr>
        <w:tc>
          <w:tcPr>
            <w:tcW w:w="76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935,153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792,996</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119" w:lineRule="exact"/>
        <w:rPr>
          <w:sz w:val="20"/>
          <w:szCs w:val="20"/>
          <w:color w:val="auto"/>
        </w:rPr>
      </w:pPr>
    </w:p>
    <w:p>
      <w:pPr>
        <w:ind w:left="206" w:right="40" w:hanging="206"/>
        <w:spacing w:after="0" w:line="215" w:lineRule="auto"/>
        <w:tabs>
          <w:tab w:leader="none" w:pos="185" w:val="left"/>
        </w:tabs>
        <w:numPr>
          <w:ilvl w:val="0"/>
          <w:numId w:val="93"/>
        </w:numPr>
        <w:rPr>
          <w:rFonts w:ascii="Arial" w:cs="Arial" w:eastAsia="Arial" w:hAnsi="Arial"/>
          <w:sz w:val="16"/>
          <w:szCs w:val="16"/>
          <w:color w:val="auto"/>
          <w:vertAlign w:val="superscript"/>
        </w:rPr>
      </w:pPr>
      <w:r>
        <w:rPr>
          <w:rFonts w:ascii="Arial" w:cs="Arial" w:eastAsia="Arial" w:hAnsi="Arial"/>
          <w:sz w:val="12"/>
          <w:szCs w:val="12"/>
          <w:color w:val="auto"/>
        </w:rPr>
        <w:t>Excludes approximately 461,000 shares and 3.1 million units in BRSP held by NRF Holdco that are included in assets held for disposition (Note 11), of the Company's aggregate holdings of 38.5 million shares and units in BRSP at December 31, 2021 (47.9 million at December 31, 2020).</w:t>
      </w:r>
    </w:p>
    <w:p>
      <w:pPr>
        <w:spacing w:after="0" w:line="38" w:lineRule="exact"/>
        <w:rPr>
          <w:rFonts w:ascii="Arial" w:cs="Arial" w:eastAsia="Arial" w:hAnsi="Arial"/>
          <w:sz w:val="16"/>
          <w:szCs w:val="16"/>
          <w:color w:val="auto"/>
          <w:vertAlign w:val="superscript"/>
        </w:rPr>
      </w:pPr>
    </w:p>
    <w:p>
      <w:pPr>
        <w:ind w:left="206" w:right="20" w:hanging="206"/>
        <w:spacing w:after="0" w:line="215" w:lineRule="auto"/>
        <w:tabs>
          <w:tab w:leader="none" w:pos="185" w:val="left"/>
        </w:tabs>
        <w:numPr>
          <w:ilvl w:val="0"/>
          <w:numId w:val="93"/>
        </w:numPr>
        <w:rPr>
          <w:rFonts w:ascii="Arial" w:cs="Arial" w:eastAsia="Arial" w:hAnsi="Arial"/>
          <w:sz w:val="16"/>
          <w:szCs w:val="16"/>
          <w:color w:val="auto"/>
          <w:vertAlign w:val="superscript"/>
        </w:rPr>
      </w:pPr>
      <w:r>
        <w:rPr>
          <w:rFonts w:ascii="Arial" w:cs="Arial" w:eastAsia="Arial" w:hAnsi="Arial"/>
          <w:sz w:val="12"/>
          <w:szCs w:val="12"/>
          <w:color w:val="auto"/>
        </w:rPr>
        <w:t>Includes unrealized carried interest of approximately $112.0 million at December 31, 2021 and $12.7 million at December 31, 2020 in connection with sponsored investment vehicles that are in the early stage of their lifecycle, of which a substantial portion is shared with certain employees.</w:t>
      </w: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38" w:name="page139"/>
    <w:bookmarkEnd w:id="1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351"/>
        <w:spacing w:after="0" w:line="248" w:lineRule="auto"/>
        <w:rPr>
          <w:sz w:val="20"/>
          <w:szCs w:val="20"/>
          <w:color w:val="auto"/>
        </w:rPr>
      </w:pPr>
      <w:r>
        <w:rPr>
          <w:rFonts w:ascii="Arial" w:cs="Arial" w:eastAsia="Arial" w:hAnsi="Arial"/>
          <w:sz w:val="16"/>
          <w:szCs w:val="16"/>
          <w:color w:val="auto"/>
        </w:rPr>
        <w:t>The Company's equity investments represent noncontrolling equity interests in various entities, primarily BRSP, interests in the Company's sponsored digital investment vehicles, and marketable securities held largely by private open-end liquid funds sponsored and consolidated by the Company.</w:t>
      </w:r>
    </w:p>
    <w:p>
      <w:pPr>
        <w:spacing w:after="0" w:line="88" w:lineRule="exact"/>
        <w:rPr>
          <w:sz w:val="20"/>
          <w:szCs w:val="20"/>
          <w:color w:val="auto"/>
        </w:rPr>
      </w:pPr>
    </w:p>
    <w:p>
      <w:pPr>
        <w:ind w:right="220" w:firstLine="351"/>
        <w:spacing w:after="0" w:line="246" w:lineRule="auto"/>
        <w:rPr>
          <w:sz w:val="20"/>
          <w:szCs w:val="20"/>
          <w:color w:val="auto"/>
        </w:rPr>
      </w:pPr>
      <w:r>
        <w:rPr>
          <w:rFonts w:ascii="Arial" w:cs="Arial" w:eastAsia="Arial" w:hAnsi="Arial"/>
          <w:sz w:val="16"/>
          <w:szCs w:val="16"/>
          <w:color w:val="auto"/>
        </w:rPr>
        <w:t>For equity method investments, the liabilities of the investment entities may only be settled using the assets of these entities and there is no recourse to the general credit of the Company for the obligations of these entities. The Company is not required to provide financial or other support in excess of its capital commitments, where applicable, and its exposure is limited to its investment balance.</w:t>
      </w:r>
    </w:p>
    <w:p>
      <w:pPr>
        <w:spacing w:after="0" w:line="89" w:lineRule="exact"/>
        <w:rPr>
          <w:sz w:val="20"/>
          <w:szCs w:val="20"/>
          <w:color w:val="auto"/>
        </w:rPr>
      </w:pPr>
    </w:p>
    <w:p>
      <w:pPr>
        <w:ind w:right="220" w:firstLine="351"/>
        <w:spacing w:after="0" w:line="248" w:lineRule="auto"/>
        <w:rPr>
          <w:sz w:val="20"/>
          <w:szCs w:val="20"/>
          <w:color w:val="auto"/>
        </w:rPr>
      </w:pPr>
      <w:r>
        <w:rPr>
          <w:rFonts w:ascii="Arial" w:cs="Arial" w:eastAsia="Arial" w:hAnsi="Arial"/>
          <w:sz w:val="16"/>
          <w:szCs w:val="16"/>
          <w:color w:val="auto"/>
        </w:rPr>
        <w:t>The Company evaluates its equity method investments for other-than-temporary impairment ("OTTI") at each reporting period. Other than BRSP, OTTI was recorded only on equity method investments held for disposition, as discussed in Note 11.</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BRSP</w:t>
      </w:r>
    </w:p>
    <w:p>
      <w:pPr>
        <w:spacing w:after="0" w:line="115" w:lineRule="exact"/>
        <w:rPr>
          <w:sz w:val="20"/>
          <w:szCs w:val="20"/>
          <w:color w:val="auto"/>
        </w:rPr>
      </w:pPr>
    </w:p>
    <w:p>
      <w:pPr>
        <w:ind w:right="200" w:firstLine="351"/>
        <w:spacing w:after="0" w:line="245" w:lineRule="auto"/>
        <w:rPr>
          <w:sz w:val="20"/>
          <w:szCs w:val="20"/>
          <w:color w:val="auto"/>
        </w:rPr>
      </w:pPr>
      <w:r>
        <w:rPr>
          <w:rFonts w:ascii="Arial" w:cs="Arial" w:eastAsia="Arial" w:hAnsi="Arial"/>
          <w:sz w:val="16"/>
          <w:szCs w:val="16"/>
          <w:color w:val="auto"/>
        </w:rPr>
        <w:t>The Company owned a 29% interest in BRSP at December 31, 2021 (36.4% at December 31, 2020), accounted for under the equity method as it exercises significant influence over BRSP's operating and financial policies through its substantial ownership interest. The following discussion encompasses all of the Company's interest in BRSP. This includes the Company's interest in BRSP held by NRF Holdco that is presented as held for disposition and discontinued operations, and was subsequently disposed in February 2022.</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Disposition</w:t>
      </w:r>
      <w:r>
        <w:rPr>
          <w:rFonts w:ascii="Arial" w:cs="Arial" w:eastAsia="Arial" w:hAnsi="Arial"/>
          <w:sz w:val="16"/>
          <w:szCs w:val="16"/>
          <w:color w:val="auto"/>
        </w:rPr>
        <w:t>—In August 2021, the Company sold 9,487,500 BRSP shares through a secondary offering by BRSP for net proceeds of approximately</w:t>
      </w:r>
    </w:p>
    <w:p>
      <w:pPr>
        <w:spacing w:after="0" w:line="1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$81.8 million, after underwriting discounts. A net gain was recognized in equity method earnings within continuing operations of $7.6 million (including a proportion of basis difference associated with the BRSP shares disposed, as discussed below).</w:t>
      </w:r>
    </w:p>
    <w:p>
      <w:pPr>
        <w:spacing w:after="0" w:line="72" w:lineRule="exact"/>
        <w:rPr>
          <w:sz w:val="20"/>
          <w:szCs w:val="20"/>
          <w:color w:val="auto"/>
        </w:rPr>
      </w:pPr>
    </w:p>
    <w:p>
      <w:pPr>
        <w:ind w:right="20" w:firstLine="351"/>
        <w:spacing w:after="0" w:line="250" w:lineRule="auto"/>
        <w:rPr>
          <w:sz w:val="20"/>
          <w:szCs w:val="20"/>
          <w:color w:val="auto"/>
        </w:rPr>
      </w:pPr>
      <w:r>
        <w:rPr>
          <w:rFonts w:ascii="Arial" w:cs="Arial" w:eastAsia="Arial" w:hAnsi="Arial"/>
          <w:sz w:val="16"/>
          <w:szCs w:val="16"/>
          <w:i w:val="1"/>
          <w:iCs w:val="1"/>
          <w:color w:val="auto"/>
        </w:rPr>
        <w:t>OTTI</w:t>
      </w:r>
      <w:r>
        <w:rPr>
          <w:rFonts w:ascii="Arial" w:cs="Arial" w:eastAsia="Arial" w:hAnsi="Arial"/>
          <w:sz w:val="16"/>
          <w:szCs w:val="16"/>
          <w:color w:val="auto"/>
        </w:rPr>
        <w:t>—The Company determined there was no OTTI on its investment in BRSP in 2021. At December 31, 2021, the fair value of the Company's investment in</w:t>
      </w:r>
      <w:r>
        <w:rPr>
          <w:rFonts w:ascii="Arial" w:cs="Arial" w:eastAsia="Arial" w:hAnsi="Arial"/>
          <w:sz w:val="16"/>
          <w:szCs w:val="16"/>
          <w:i w:val="1"/>
          <w:iCs w:val="1"/>
          <w:color w:val="auto"/>
        </w:rPr>
        <w:t xml:space="preserve"> </w:t>
      </w:r>
      <w:r>
        <w:rPr>
          <w:rFonts w:ascii="Arial" w:cs="Arial" w:eastAsia="Arial" w:hAnsi="Arial"/>
          <w:sz w:val="16"/>
          <w:szCs w:val="16"/>
          <w:color w:val="auto"/>
        </w:rPr>
        <w:t>BRSP, based upon its closing stock price of $10.26 per share, was in excess of its carrying value. In the second quarters of 2020 and 2019, the Company had determined that its investment in BRSP was other-than-temporarily impaired and recorded impairment charges, included in equity method losses, of $274.7 million and $227.9 million, respectively, measured as the excess of carrying value of its investment in BRSP over market value based upon BRSP's closing stock price on June 30, 2020 and June 30, 2019, respectively.</w:t>
      </w:r>
    </w:p>
    <w:p>
      <w:pPr>
        <w:spacing w:after="0" w:line="71" w:lineRule="exact"/>
        <w:rPr>
          <w:sz w:val="20"/>
          <w:szCs w:val="20"/>
          <w:color w:val="auto"/>
        </w:rPr>
      </w:pPr>
    </w:p>
    <w:p>
      <w:pPr>
        <w:ind w:firstLine="351"/>
        <w:spacing w:after="0" w:line="284" w:lineRule="auto"/>
        <w:rPr>
          <w:sz w:val="20"/>
          <w:szCs w:val="20"/>
          <w:color w:val="auto"/>
        </w:rPr>
      </w:pPr>
      <w:r>
        <w:rPr>
          <w:rFonts w:ascii="Arial" w:cs="Arial" w:eastAsia="Arial" w:hAnsi="Arial"/>
          <w:sz w:val="14"/>
          <w:szCs w:val="14"/>
          <w:i w:val="1"/>
          <w:iCs w:val="1"/>
          <w:color w:val="auto"/>
        </w:rPr>
        <w:t>Basis Difference</w:t>
      </w:r>
      <w:r>
        <w:rPr>
          <w:rFonts w:ascii="Arial" w:cs="Arial" w:eastAsia="Arial" w:hAnsi="Arial"/>
          <w:sz w:val="14"/>
          <w:szCs w:val="14"/>
          <w:color w:val="auto"/>
        </w:rPr>
        <w:t>—The impairment charges recorded by the Company on its investment in BRSP in 2020 and 2019 resulted in a basis difference between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carrying value of its investment in BRSP (based upon BRSP's share price at the time of impairment) and the Company's proportionate share of BRSP's book value of equity at the time of impairment. The impairment charges were applied to the Company's investment in BRSP as a whole and were not determined based upon an impairment assessment of individual assets held by BRSP. Therefore, the impairment charges were generally allocated on a relative fair value basis across BRSP's various investments. Accordingly, for any subsequent resolutions or write-downs taken by BRSP on these investments, the Company's share thereof is not recorded as an equity method loss but is applied to reduce the basis difference until such time the basis difference in connection with the respective investments has been fully eliminated. Upon resolution of these investments by BRSP or upon the Company's disposition of its shares in BRSP, the basis difference related to resolved investments or the proportion of basis difference associated with the BRSP shares disposed is applied to calculate the Company's share of net gain or loss resulting from such resolution or disposition. The Company increased its share of net earnings or reduced its share of net losses from BRSP by $110.3 million, $83.9 million and $141.1 million for the years ended December 31, 2021, 2020 and 2019</w:t>
      </w:r>
      <w:r>
        <w:rPr>
          <w:rFonts w:ascii="Arial" w:cs="Arial" w:eastAsia="Arial" w:hAnsi="Arial"/>
          <w:sz w:val="11"/>
          <w:szCs w:val="11"/>
          <w:color w:val="auto"/>
        </w:rPr>
        <w:t>,</w:t>
      </w:r>
      <w:r>
        <w:rPr>
          <w:rFonts w:ascii="Arial" w:cs="Arial" w:eastAsia="Arial" w:hAnsi="Arial"/>
          <w:sz w:val="14"/>
          <w:szCs w:val="14"/>
          <w:color w:val="auto"/>
        </w:rPr>
        <w:t xml:space="preserve"> respectively, representing the basis difference allocated to investments that were resolved or impaired by BRSP during these periods and the basis difference proportionate to the Company's ownership in BRSP that was disposed in August 2021. The remaining basis difference at December 31, 2021 was $167.3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9" w:name="page140"/>
    <w:bookmarkEnd w:id="139"/>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Combined Financial Information of Equity Method Investees</w:t>
      </w:r>
    </w:p>
    <w:p>
      <w:pPr>
        <w:spacing w:after="0" w:line="115" w:lineRule="exact"/>
        <w:rPr>
          <w:sz w:val="20"/>
          <w:szCs w:val="20"/>
          <w:color w:val="auto"/>
        </w:rPr>
      </w:pPr>
    </w:p>
    <w:p>
      <w:pPr>
        <w:ind w:left="6" w:right="300" w:firstLine="386"/>
        <w:spacing w:after="0" w:line="248" w:lineRule="auto"/>
        <w:rPr>
          <w:sz w:val="20"/>
          <w:szCs w:val="20"/>
          <w:color w:val="auto"/>
        </w:rPr>
      </w:pPr>
      <w:r>
        <w:rPr>
          <w:rFonts w:ascii="Arial" w:cs="Arial" w:eastAsia="Arial" w:hAnsi="Arial"/>
          <w:sz w:val="16"/>
          <w:szCs w:val="16"/>
          <w:color w:val="auto"/>
        </w:rPr>
        <w:t>The following tables present selected combined financial information of the Company's equity method investees, excluding investees classified as held for disposition. Amounts presented represent combined totals at the investee level and not the Company's proportionate share.</w:t>
      </w:r>
    </w:p>
    <w:p>
      <w:pPr>
        <w:spacing w:after="0" w:line="72" w:lineRule="exact"/>
        <w:rPr>
          <w:sz w:val="20"/>
          <w:szCs w:val="20"/>
          <w:color w:val="auto"/>
        </w:rPr>
      </w:pPr>
    </w:p>
    <w:p>
      <w:pPr>
        <w:ind w:left="386"/>
        <w:spacing w:after="0"/>
        <w:rPr>
          <w:sz w:val="20"/>
          <w:szCs w:val="20"/>
          <w:color w:val="auto"/>
        </w:rPr>
      </w:pPr>
      <w:r>
        <w:rPr>
          <w:rFonts w:ascii="Arial" w:cs="Arial" w:eastAsia="Arial" w:hAnsi="Arial"/>
          <w:sz w:val="16"/>
          <w:szCs w:val="16"/>
          <w:i w:val="1"/>
          <w:iCs w:val="1"/>
          <w:color w:val="auto"/>
        </w:rPr>
        <w:t>Selected Combined Balance Sheet Information</w:t>
      </w:r>
    </w:p>
    <w:p>
      <w:pPr>
        <w:spacing w:after="0" w:line="116"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180" w:type="dxa"/>
            <w:vAlign w:val="bottom"/>
          </w:tcPr>
          <w:p>
            <w:pPr>
              <w:spacing w:after="0"/>
              <w:rPr>
                <w:sz w:val="10"/>
                <w:szCs w:val="10"/>
                <w:color w:val="auto"/>
              </w:rPr>
            </w:pPr>
          </w:p>
        </w:tc>
        <w:tc>
          <w:tcPr>
            <w:tcW w:w="1380" w:type="dxa"/>
            <w:vAlign w:val="bottom"/>
          </w:tcPr>
          <w:p>
            <w:pPr>
              <w:jc w:val="right"/>
              <w:ind w:right="213"/>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8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19,383,775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15,994,792</w:t>
            </w:r>
          </w:p>
        </w:tc>
      </w:tr>
      <w:tr>
        <w:trPr>
          <w:trHeight w:val="185"/>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5,500,143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8,694,771</w:t>
            </w:r>
          </w:p>
        </w:tc>
      </w:tr>
      <w:tr>
        <w:trPr>
          <w:trHeight w:val="189"/>
        </w:trPr>
        <w:tc>
          <w:tcPr>
            <w:tcW w:w="20" w:type="dxa"/>
            <w:vAlign w:val="bottom"/>
            <w:shd w:val="clear" w:color="auto" w:fill="CCEEFF"/>
          </w:tcPr>
          <w:p>
            <w:pPr>
              <w:spacing w:after="0"/>
              <w:rPr>
                <w:sz w:val="16"/>
                <w:szCs w:val="16"/>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Owners' equity</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13,847,605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6,733,371</w:t>
            </w:r>
          </w:p>
        </w:tc>
      </w:tr>
      <w:tr>
        <w:trPr>
          <w:trHeight w:val="182"/>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36,027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566,650</w:t>
            </w:r>
          </w:p>
        </w:tc>
      </w:tr>
    </w:tbl>
    <w:p>
      <w:pPr>
        <w:spacing w:after="0" w:line="199" w:lineRule="exact"/>
        <w:rPr>
          <w:sz w:val="20"/>
          <w:szCs w:val="20"/>
          <w:color w:val="auto"/>
        </w:rPr>
      </w:pPr>
    </w:p>
    <w:p>
      <w:pPr>
        <w:ind w:left="386"/>
        <w:spacing w:after="0"/>
        <w:rPr>
          <w:sz w:val="20"/>
          <w:szCs w:val="20"/>
          <w:color w:val="auto"/>
        </w:rPr>
      </w:pPr>
      <w:r>
        <w:rPr>
          <w:rFonts w:ascii="Arial" w:cs="Arial" w:eastAsia="Arial" w:hAnsi="Arial"/>
          <w:sz w:val="16"/>
          <w:szCs w:val="16"/>
          <w:i w:val="1"/>
          <w:iCs w:val="1"/>
          <w:color w:val="auto"/>
        </w:rPr>
        <w:t>Selected Combined Statements of Operations Information</w:t>
      </w:r>
    </w:p>
    <w:p>
      <w:pPr>
        <w:spacing w:after="0" w:line="120"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7"/>
        </w:trPr>
        <w:tc>
          <w:tcPr>
            <w:tcW w:w="63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0"/>
                <w:szCs w:val="10"/>
                <w:color w:val="auto"/>
              </w:rPr>
            </w:pPr>
          </w:p>
        </w:tc>
        <w:tc>
          <w:tcPr>
            <w:tcW w:w="1200" w:type="dxa"/>
            <w:vAlign w:val="bottom"/>
          </w:tcPr>
          <w:p>
            <w:pPr>
              <w:jc w:val="right"/>
              <w:ind w:right="593"/>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right"/>
              <w:ind w:right="595"/>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593"/>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4"/>
        </w:trPr>
        <w:tc>
          <w:tcPr>
            <w:tcW w:w="63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Total revenues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345,053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855,634</w:t>
            </w:r>
          </w:p>
        </w:tc>
      </w:tr>
      <w:tr>
        <w:trPr>
          <w:trHeight w:val="185"/>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667,381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(323,058)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(956,908)</w:t>
            </w:r>
          </w:p>
        </w:tc>
      </w:tr>
      <w:tr>
        <w:trPr>
          <w:trHeight w:val="189"/>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(84,296)</w:t>
            </w:r>
          </w:p>
        </w:tc>
      </w:tr>
      <w:tr>
        <w:trPr>
          <w:trHeight w:val="182"/>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 (loss) attributable to owners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670,916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(288,456)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(872,612)</w:t>
            </w:r>
          </w:p>
        </w:tc>
      </w:tr>
    </w:tbl>
    <w:p>
      <w:pPr>
        <w:spacing w:after="0" w:line="208"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Investment and Lending Commitments</w:t>
      </w:r>
    </w:p>
    <w:p>
      <w:pPr>
        <w:spacing w:after="0" w:line="99" w:lineRule="exact"/>
        <w:rPr>
          <w:sz w:val="20"/>
          <w:szCs w:val="20"/>
          <w:color w:val="auto"/>
        </w:rPr>
      </w:pPr>
    </w:p>
    <w:p>
      <w:pPr>
        <w:ind w:left="346"/>
        <w:spacing w:after="0"/>
        <w:rPr>
          <w:sz w:val="20"/>
          <w:szCs w:val="20"/>
          <w:color w:val="auto"/>
        </w:rPr>
      </w:pPr>
      <w:r>
        <w:rPr>
          <w:rFonts w:ascii="Arial" w:cs="Arial" w:eastAsia="Arial" w:hAnsi="Arial"/>
          <w:sz w:val="16"/>
          <w:szCs w:val="16"/>
          <w:i w:val="1"/>
          <w:iCs w:val="1"/>
          <w:color w:val="auto"/>
        </w:rPr>
        <w:t>Sponsored Funds</w:t>
      </w:r>
    </w:p>
    <w:p>
      <w:pPr>
        <w:spacing w:after="0" w:line="113" w:lineRule="exact"/>
        <w:rPr>
          <w:sz w:val="20"/>
          <w:szCs w:val="20"/>
          <w:color w:val="auto"/>
        </w:rPr>
      </w:pPr>
    </w:p>
    <w:p>
      <w:pPr>
        <w:ind w:left="6" w:right="520" w:firstLine="351"/>
        <w:spacing w:after="0" w:line="248" w:lineRule="auto"/>
        <w:rPr>
          <w:sz w:val="20"/>
          <w:szCs w:val="20"/>
          <w:color w:val="auto"/>
        </w:rPr>
      </w:pPr>
      <w:r>
        <w:rPr>
          <w:rFonts w:ascii="Arial" w:cs="Arial" w:eastAsia="Arial" w:hAnsi="Arial"/>
          <w:sz w:val="16"/>
          <w:szCs w:val="16"/>
          <w:color w:val="auto"/>
        </w:rPr>
        <w:t>At December 31, 2021, the Company had unfunded commitments of $88.8 million to the Company's sponsored funds in its flagship digital opportunistic strategy, DBP I and Digital Bridge Partners II, LP ("DBP II," formerly Digital Colony Partners II, LP or DCP II).</w:t>
      </w:r>
    </w:p>
    <w:p>
      <w:pPr>
        <w:spacing w:after="0" w:line="72" w:lineRule="exact"/>
        <w:rPr>
          <w:sz w:val="20"/>
          <w:szCs w:val="20"/>
          <w:color w:val="auto"/>
        </w:rPr>
      </w:pPr>
    </w:p>
    <w:p>
      <w:pPr>
        <w:ind w:left="346"/>
        <w:spacing w:after="0"/>
        <w:rPr>
          <w:sz w:val="20"/>
          <w:szCs w:val="20"/>
          <w:color w:val="auto"/>
        </w:rPr>
      </w:pPr>
      <w:r>
        <w:rPr>
          <w:rFonts w:ascii="Arial" w:cs="Arial" w:eastAsia="Arial" w:hAnsi="Arial"/>
          <w:sz w:val="16"/>
          <w:szCs w:val="16"/>
          <w:i w:val="1"/>
          <w:iCs w:val="1"/>
          <w:color w:val="auto"/>
        </w:rPr>
        <w:t>Loans Receivable</w:t>
      </w:r>
    </w:p>
    <w:p>
      <w:pPr>
        <w:spacing w:after="0" w:line="97" w:lineRule="exact"/>
        <w:rPr>
          <w:sz w:val="20"/>
          <w:szCs w:val="20"/>
          <w:color w:val="auto"/>
        </w:rPr>
      </w:pPr>
    </w:p>
    <w:p>
      <w:pPr>
        <w:ind w:left="6" w:right="60" w:firstLine="351"/>
        <w:spacing w:after="0" w:line="256" w:lineRule="auto"/>
        <w:rPr>
          <w:sz w:val="20"/>
          <w:szCs w:val="20"/>
          <w:color w:val="auto"/>
        </w:rPr>
      </w:pPr>
      <w:r>
        <w:rPr>
          <w:rFonts w:ascii="Arial" w:cs="Arial" w:eastAsia="Arial" w:hAnsi="Arial"/>
          <w:sz w:val="16"/>
          <w:szCs w:val="16"/>
          <w:i w:val="1"/>
          <w:iCs w:val="1"/>
          <w:color w:val="auto"/>
        </w:rPr>
        <w:t>DataBank—</w:t>
      </w:r>
      <w:r>
        <w:rPr>
          <w:rFonts w:ascii="Arial" w:cs="Arial" w:eastAsia="Arial" w:hAnsi="Arial"/>
          <w:sz w:val="16"/>
          <w:szCs w:val="16"/>
          <w:color w:val="auto"/>
        </w:rPr>
        <w:t>The Company's DataBank subsidiary has a lending commitment to a borrower, the funding of which is contingent on the borrower meeting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criteria such as agreed upon benchmarks, financial and operating metrics and approved budgets. At December 31, 2021, the unfunded lending commitment was $25.0 million, of which the Company's share was $5.0 million, net of amounts attributable to noncontrolling interests in investment entities.</w:t>
      </w:r>
    </w:p>
    <w:p>
      <w:pPr>
        <w:spacing w:after="0" w:line="66" w:lineRule="exact"/>
        <w:rPr>
          <w:sz w:val="20"/>
          <w:szCs w:val="20"/>
          <w:color w:val="auto"/>
        </w:rPr>
      </w:pPr>
    </w:p>
    <w:p>
      <w:pPr>
        <w:ind w:left="6" w:right="640" w:firstLine="351"/>
        <w:spacing w:after="0" w:line="268" w:lineRule="auto"/>
        <w:rPr>
          <w:sz w:val="20"/>
          <w:szCs w:val="20"/>
          <w:color w:val="auto"/>
        </w:rPr>
      </w:pPr>
      <w:r>
        <w:rPr>
          <w:rFonts w:ascii="Arial" w:cs="Arial" w:eastAsia="Arial" w:hAnsi="Arial"/>
          <w:sz w:val="16"/>
          <w:szCs w:val="16"/>
          <w:i w:val="1"/>
          <w:iCs w:val="1"/>
          <w:color w:val="auto"/>
        </w:rPr>
        <w:t>Warehoused Loans—</w:t>
      </w:r>
      <w:r>
        <w:rPr>
          <w:rFonts w:ascii="Arial" w:cs="Arial" w:eastAsia="Arial" w:hAnsi="Arial"/>
          <w:sz w:val="16"/>
          <w:szCs w:val="16"/>
          <w:color w:val="auto"/>
        </w:rPr>
        <w:t>At December 31, 2021, the Company had unsettled trades on $91.1 million of loans receivable that are warehoused for a future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vehicle, of which up to 75% will be funded through a credit facility that is earmarked to finance the acquisition of such loans.</w:t>
      </w:r>
    </w:p>
    <w:p>
      <w:pPr>
        <w:spacing w:after="0" w:line="265" w:lineRule="exact"/>
        <w:rPr>
          <w:sz w:val="20"/>
          <w:szCs w:val="20"/>
          <w:color w:val="auto"/>
        </w:rPr>
      </w:pPr>
    </w:p>
    <w:p>
      <w:pPr>
        <w:ind w:left="6" w:right="6960" w:hanging="6"/>
        <w:spacing w:after="0" w:line="438" w:lineRule="auto"/>
        <w:tabs>
          <w:tab w:leader="none" w:pos="18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Goodwill, Deferred Leasing Costs and Other Intangibles Goodwill</w:t>
      </w:r>
    </w:p>
    <w:p>
      <w:pPr>
        <w:spacing w:after="0" w:line="1" w:lineRule="exact"/>
        <w:rPr>
          <w:rFonts w:ascii="Arial" w:cs="Arial" w:eastAsia="Arial" w:hAnsi="Arial"/>
          <w:sz w:val="16"/>
          <w:szCs w:val="16"/>
          <w:b w:val="1"/>
          <w:bCs w:val="1"/>
          <w:color w:val="auto"/>
        </w:rPr>
      </w:pPr>
    </w:p>
    <w:p>
      <w:pPr>
        <w:ind w:left="346"/>
        <w:spacing w:after="0"/>
        <w:rPr>
          <w:rFonts w:ascii="Arial" w:cs="Arial" w:eastAsia="Arial" w:hAnsi="Arial"/>
          <w:sz w:val="16"/>
          <w:szCs w:val="16"/>
          <w:b w:val="1"/>
          <w:bCs w:val="1"/>
          <w:color w:val="auto"/>
        </w:rPr>
      </w:pPr>
      <w:r>
        <w:rPr>
          <w:rFonts w:ascii="Arial" w:cs="Arial" w:eastAsia="Arial" w:hAnsi="Arial"/>
          <w:sz w:val="16"/>
          <w:szCs w:val="16"/>
          <w:color w:val="auto"/>
        </w:rPr>
        <w:t>Goodwill balance by reportable segment at both December 31, 2021 and 2020 is as follows.</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9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 thousands)</w:t>
            </w:r>
          </w:p>
        </w:tc>
        <w:tc>
          <w:tcPr>
            <w:tcW w:w="4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35"/>
        </w:trPr>
        <w:tc>
          <w:tcPr>
            <w:tcW w:w="760" w:type="dxa"/>
            <w:vAlign w:val="bottom"/>
            <w:shd w:val="clear" w:color="auto" w:fill="000000"/>
          </w:tcPr>
          <w:p>
            <w:pPr>
              <w:spacing w:after="0"/>
              <w:rPr>
                <w:sz w:val="3"/>
                <w:szCs w:val="3"/>
                <w:color w:val="auto"/>
              </w:rPr>
            </w:pPr>
          </w:p>
        </w:tc>
        <w:tc>
          <w:tcPr>
            <w:tcW w:w="9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87"/>
        </w:trPr>
        <w:tc>
          <w:tcPr>
            <w:tcW w:w="9940" w:type="dxa"/>
            <w:vAlign w:val="bottom"/>
            <w:gridSpan w:val="2"/>
          </w:tcPr>
          <w:p>
            <w:pPr>
              <w:spacing w:after="0" w:line="187" w:lineRule="exact"/>
              <w:rPr>
                <w:sz w:val="20"/>
                <w:szCs w:val="20"/>
                <w:color w:val="auto"/>
              </w:rPr>
            </w:pPr>
            <w:r>
              <w:rPr>
                <w:rFonts w:ascii="Arial" w:cs="Arial" w:eastAsia="Arial" w:hAnsi="Arial"/>
                <w:sz w:val="14"/>
                <w:szCs w:val="14"/>
                <w:color w:val="auto"/>
              </w:rPr>
              <w:t xml:space="preserve">Digital Investment Management </w:t>
            </w:r>
            <w:r>
              <w:rPr>
                <w:rFonts w:ascii="Arial" w:cs="Arial" w:eastAsia="Arial" w:hAnsi="Arial"/>
                <w:sz w:val="18"/>
                <w:szCs w:val="18"/>
                <w:color w:val="auto"/>
                <w:vertAlign w:val="superscript"/>
              </w:rPr>
              <w:t>(1)</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298,248</w:t>
            </w:r>
          </w:p>
        </w:tc>
      </w:tr>
      <w:tr>
        <w:trPr>
          <w:trHeight w:val="185"/>
        </w:trPr>
        <w:tc>
          <w:tcPr>
            <w:tcW w:w="9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Digital Operating</w:t>
            </w: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463,120</w:t>
            </w:r>
          </w:p>
        </w:tc>
      </w:tr>
      <w:tr>
        <w:trPr>
          <w:trHeight w:val="181"/>
        </w:trPr>
        <w:tc>
          <w:tcPr>
            <w:tcW w:w="9940" w:type="dxa"/>
            <w:vAlign w:val="bottom"/>
            <w:gridSpan w:val="2"/>
          </w:tcPr>
          <w:p>
            <w:pPr>
              <w:ind w:left="140"/>
              <w:spacing w:after="0"/>
              <w:rPr>
                <w:sz w:val="20"/>
                <w:szCs w:val="20"/>
                <w:color w:val="auto"/>
              </w:rPr>
            </w:pPr>
            <w:r>
              <w:rPr>
                <w:rFonts w:ascii="Arial" w:cs="Arial" w:eastAsia="Arial" w:hAnsi="Arial"/>
                <w:sz w:val="14"/>
                <w:szCs w:val="14"/>
                <w:color w:val="auto"/>
              </w:rPr>
              <w:t>Total goodwill</w:t>
            </w: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761,368</w:t>
            </w:r>
          </w:p>
        </w:tc>
      </w:tr>
      <w:tr>
        <w:trPr>
          <w:trHeight w:val="20"/>
        </w:trPr>
        <w:tc>
          <w:tcPr>
            <w:tcW w:w="76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14" w:lineRule="exact"/>
        <w:rPr>
          <w:sz w:val="20"/>
          <w:szCs w:val="20"/>
          <w:color w:val="auto"/>
        </w:rPr>
      </w:pPr>
    </w:p>
    <w:p>
      <w:pPr>
        <w:ind w:left="186" w:hanging="186"/>
        <w:spacing w:after="0"/>
        <w:tabs>
          <w:tab w:leader="none" w:pos="186" w:val="left"/>
        </w:tabs>
        <w:numPr>
          <w:ilvl w:val="0"/>
          <w:numId w:val="95"/>
        </w:numPr>
        <w:rPr>
          <w:rFonts w:ascii="Arial" w:cs="Arial" w:eastAsia="Arial" w:hAnsi="Arial"/>
          <w:sz w:val="16"/>
          <w:szCs w:val="16"/>
          <w:color w:val="auto"/>
          <w:vertAlign w:val="superscript"/>
        </w:rPr>
      </w:pPr>
      <w:r>
        <w:rPr>
          <w:rFonts w:ascii="Arial" w:cs="Arial" w:eastAsia="Arial" w:hAnsi="Arial"/>
          <w:sz w:val="12"/>
          <w:szCs w:val="12"/>
          <w:color w:val="auto"/>
        </w:rPr>
        <w:t>Goodwill of $133.0 million is deductible for income tax purposes.</w:t>
      </w:r>
    </w:p>
    <w:p>
      <w:pPr>
        <w:spacing w:after="0" w:line="174"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Company determined that there were no indicators of impairment to goodwill in the digital reportable segments in 2021 and 2020.</w:t>
      </w:r>
    </w:p>
    <w:p>
      <w:pPr>
        <w:spacing w:after="0" w:line="200" w:lineRule="exact"/>
        <w:rPr>
          <w:sz w:val="20"/>
          <w:szCs w:val="20"/>
          <w:color w:val="auto"/>
        </w:rPr>
      </w:pP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0" w:name="page141"/>
    <w:bookmarkEnd w:id="140"/>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Deferred Leasing Costs, Other Intangible Assets and Intangible Liabilities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Deferred leasing costs and identifiable intangible assets and liabilities, excluding those related to assets held for disposition, are as follows.</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December 31, 2021</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December 31, 2020</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340" w:type="dxa"/>
            <w:vAlign w:val="bottom"/>
            <w:gridSpan w:val="3"/>
          </w:tcPr>
          <w:p>
            <w:pPr>
              <w:jc w:val="center"/>
              <w:ind w:right="80"/>
              <w:spacing w:after="0" w:line="104" w:lineRule="exact"/>
              <w:rPr>
                <w:sz w:val="20"/>
                <w:szCs w:val="20"/>
                <w:color w:val="auto"/>
              </w:rPr>
            </w:pPr>
            <w:r>
              <w:rPr>
                <w:rFonts w:ascii="Arial" w:cs="Arial" w:eastAsia="Arial" w:hAnsi="Arial"/>
                <w:sz w:val="11"/>
                <w:szCs w:val="11"/>
                <w:b w:val="1"/>
                <w:bCs w:val="1"/>
                <w:color w:val="auto"/>
                <w:w w:val="99"/>
              </w:rPr>
              <w:t>Carrying Amount (Net</w:t>
            </w:r>
          </w:p>
        </w:tc>
        <w:tc>
          <w:tcPr>
            <w:tcW w:w="180" w:type="dxa"/>
            <w:vAlign w:val="bottom"/>
          </w:tcPr>
          <w:p>
            <w:pPr>
              <w:spacing w:after="0"/>
              <w:rPr>
                <w:sz w:val="9"/>
                <w:szCs w:val="9"/>
                <w:color w:val="auto"/>
              </w:rPr>
            </w:pPr>
          </w:p>
        </w:tc>
        <w:tc>
          <w:tcPr>
            <w:tcW w:w="1160" w:type="dxa"/>
            <w:vAlign w:val="bottom"/>
            <w:gridSpan w:val="2"/>
          </w:tcPr>
          <w:p>
            <w:pPr>
              <w:jc w:val="center"/>
              <w:ind w:right="280"/>
              <w:spacing w:after="0" w:line="104" w:lineRule="exact"/>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9"/>
                <w:szCs w:val="9"/>
                <w:color w:val="auto"/>
              </w:rPr>
            </w:pPr>
          </w:p>
        </w:tc>
        <w:tc>
          <w:tcPr>
            <w:tcW w:w="980" w:type="dxa"/>
            <w:vAlign w:val="bottom"/>
          </w:tcPr>
          <w:p>
            <w:pPr>
              <w:jc w:val="center"/>
              <w:ind w:right="114"/>
              <w:spacing w:after="0" w:line="104" w:lineRule="exact"/>
              <w:rPr>
                <w:sz w:val="20"/>
                <w:szCs w:val="20"/>
                <w:color w:val="auto"/>
              </w:rPr>
            </w:pPr>
            <w:r>
              <w:rPr>
                <w:rFonts w:ascii="Arial" w:cs="Arial" w:eastAsia="Arial" w:hAnsi="Arial"/>
                <w:sz w:val="11"/>
                <w:szCs w:val="11"/>
                <w:b w:val="1"/>
                <w:bCs w:val="1"/>
                <w:color w:val="auto"/>
                <w:w w:val="96"/>
              </w:rPr>
              <w:t>Net Carrying</w:t>
            </w:r>
          </w:p>
        </w:tc>
        <w:tc>
          <w:tcPr>
            <w:tcW w:w="80" w:type="dxa"/>
            <w:vAlign w:val="bottom"/>
          </w:tcPr>
          <w:p>
            <w:pPr>
              <w:spacing w:after="0"/>
              <w:rPr>
                <w:sz w:val="9"/>
                <w:szCs w:val="9"/>
                <w:color w:val="auto"/>
              </w:rPr>
            </w:pPr>
          </w:p>
        </w:tc>
        <w:tc>
          <w:tcPr>
            <w:tcW w:w="1340" w:type="dxa"/>
            <w:vAlign w:val="bottom"/>
            <w:gridSpan w:val="3"/>
          </w:tcPr>
          <w:p>
            <w:pPr>
              <w:jc w:val="center"/>
              <w:ind w:right="80"/>
              <w:spacing w:after="0" w:line="104" w:lineRule="exact"/>
              <w:rPr>
                <w:sz w:val="20"/>
                <w:szCs w:val="20"/>
                <w:color w:val="auto"/>
              </w:rPr>
            </w:pPr>
            <w:r>
              <w:rPr>
                <w:rFonts w:ascii="Arial" w:cs="Arial" w:eastAsia="Arial" w:hAnsi="Arial"/>
                <w:sz w:val="11"/>
                <w:szCs w:val="11"/>
                <w:b w:val="1"/>
                <w:bCs w:val="1"/>
                <w:color w:val="auto"/>
                <w:w w:val="99"/>
              </w:rPr>
              <w:t>Carrying Amount (Net</w:t>
            </w:r>
          </w:p>
        </w:tc>
        <w:tc>
          <w:tcPr>
            <w:tcW w:w="180" w:type="dxa"/>
            <w:vAlign w:val="bottom"/>
          </w:tcPr>
          <w:p>
            <w:pPr>
              <w:spacing w:after="0"/>
              <w:rPr>
                <w:sz w:val="9"/>
                <w:szCs w:val="9"/>
                <w:color w:val="auto"/>
              </w:rPr>
            </w:pPr>
          </w:p>
        </w:tc>
        <w:tc>
          <w:tcPr>
            <w:tcW w:w="118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9"/>
                <w:szCs w:val="9"/>
                <w:color w:val="auto"/>
              </w:rPr>
            </w:pPr>
          </w:p>
        </w:tc>
        <w:tc>
          <w:tcPr>
            <w:tcW w:w="980" w:type="dxa"/>
            <w:vAlign w:val="bottom"/>
          </w:tcPr>
          <w:p>
            <w:pPr>
              <w:jc w:val="right"/>
              <w:ind w:right="174"/>
              <w:spacing w:after="0" w:line="104" w:lineRule="exact"/>
              <w:rPr>
                <w:sz w:val="20"/>
                <w:szCs w:val="20"/>
                <w:color w:val="auto"/>
              </w:rPr>
            </w:pPr>
            <w:r>
              <w:rPr>
                <w:rFonts w:ascii="Arial" w:cs="Arial" w:eastAsia="Arial" w:hAnsi="Arial"/>
                <w:sz w:val="11"/>
                <w:szCs w:val="11"/>
                <w:b w:val="1"/>
                <w:bCs w:val="1"/>
                <w:color w:val="auto"/>
              </w:rPr>
              <w:t>Net Carrying</w:t>
            </w:r>
          </w:p>
        </w:tc>
        <w:tc>
          <w:tcPr>
            <w:tcW w:w="0" w:type="dxa"/>
            <w:vAlign w:val="bottom"/>
          </w:tcPr>
          <w:p>
            <w:pPr>
              <w:spacing w:after="0"/>
              <w:rPr>
                <w:sz w:val="1"/>
                <w:szCs w:val="1"/>
                <w:color w:val="auto"/>
              </w:rPr>
            </w:pPr>
          </w:p>
        </w:tc>
      </w:tr>
      <w:tr>
        <w:trPr>
          <w:trHeight w:val="117"/>
        </w:trPr>
        <w:tc>
          <w:tcPr>
            <w:tcW w:w="34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17" w:lineRule="exact"/>
              <w:rPr>
                <w:sz w:val="20"/>
                <w:szCs w:val="20"/>
                <w:color w:val="auto"/>
              </w:rPr>
            </w:pPr>
            <w:r>
              <w:rPr>
                <w:rFonts w:ascii="Arial" w:cs="Arial" w:eastAsia="Arial" w:hAnsi="Arial"/>
                <w:sz w:val="10"/>
                <w:szCs w:val="10"/>
                <w:b w:val="1"/>
                <w:bCs w:val="1"/>
                <w:color w:val="auto"/>
              </w:rPr>
              <w:t>of Impairment)</w:t>
            </w:r>
            <w:r>
              <w:rPr>
                <w:rFonts w:ascii="Arial" w:cs="Arial" w:eastAsia="Arial" w:hAnsi="Arial"/>
                <w:sz w:val="13"/>
                <w:szCs w:val="13"/>
                <w:b w:val="1"/>
                <w:bCs w:val="1"/>
                <w:color w:val="auto"/>
                <w:vertAlign w:val="superscript"/>
              </w:rPr>
              <w:t>(1)</w:t>
            </w: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17" w:lineRule="exact"/>
              <w:rPr>
                <w:sz w:val="20"/>
                <w:szCs w:val="20"/>
                <w:color w:val="auto"/>
              </w:rPr>
            </w:pPr>
            <w:r>
              <w:rPr>
                <w:rFonts w:ascii="Arial" w:cs="Arial" w:eastAsia="Arial" w:hAnsi="Arial"/>
                <w:sz w:val="10"/>
                <w:szCs w:val="10"/>
                <w:b w:val="1"/>
                <w:bCs w:val="1"/>
                <w:color w:val="auto"/>
              </w:rPr>
              <w:t>Amortization</w:t>
            </w:r>
            <w:r>
              <w:rPr>
                <w:rFonts w:ascii="Arial" w:cs="Arial" w:eastAsia="Arial" w:hAnsi="Arial"/>
                <w:sz w:val="13"/>
                <w:szCs w:val="13"/>
                <w:b w:val="1"/>
                <w:bCs w:val="1"/>
                <w:color w:val="auto"/>
                <w:vertAlign w:val="superscript"/>
              </w:rPr>
              <w:t>(1)</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17" w:lineRule="exact"/>
              <w:rPr>
                <w:sz w:val="20"/>
                <w:szCs w:val="20"/>
                <w:color w:val="auto"/>
              </w:rPr>
            </w:pPr>
            <w:r>
              <w:rPr>
                <w:rFonts w:ascii="Arial" w:cs="Arial" w:eastAsia="Arial" w:hAnsi="Arial"/>
                <w:sz w:val="10"/>
                <w:szCs w:val="10"/>
                <w:b w:val="1"/>
                <w:bCs w:val="1"/>
                <w:color w:val="auto"/>
              </w:rPr>
              <w:t>Amount</w:t>
            </w:r>
            <w:r>
              <w:rPr>
                <w:rFonts w:ascii="Arial" w:cs="Arial" w:eastAsia="Arial" w:hAnsi="Arial"/>
                <w:sz w:val="13"/>
                <w:szCs w:val="13"/>
                <w:b w:val="1"/>
                <w:bCs w:val="1"/>
                <w:color w:val="auto"/>
                <w:vertAlign w:val="superscript"/>
              </w:rPr>
              <w:t>(1)</w:t>
            </w:r>
          </w:p>
        </w:tc>
        <w:tc>
          <w:tcPr>
            <w:tcW w:w="160" w:type="dxa"/>
            <w:vAlign w:val="bottom"/>
          </w:tcPr>
          <w:p>
            <w:pPr>
              <w:spacing w:after="0"/>
              <w:rPr>
                <w:sz w:val="10"/>
                <w:szCs w:val="10"/>
                <w:color w:val="auto"/>
              </w:rPr>
            </w:pPr>
          </w:p>
        </w:tc>
        <w:tc>
          <w:tcPr>
            <w:tcW w:w="1180" w:type="dxa"/>
            <w:vAlign w:val="bottom"/>
            <w:gridSpan w:val="2"/>
          </w:tcPr>
          <w:p>
            <w:pPr>
              <w:jc w:val="center"/>
              <w:ind w:right="240"/>
              <w:spacing w:after="0" w:line="117" w:lineRule="exact"/>
              <w:rPr>
                <w:sz w:val="20"/>
                <w:szCs w:val="20"/>
                <w:color w:val="auto"/>
              </w:rPr>
            </w:pPr>
            <w:r>
              <w:rPr>
                <w:rFonts w:ascii="Arial" w:cs="Arial" w:eastAsia="Arial" w:hAnsi="Arial"/>
                <w:sz w:val="10"/>
                <w:szCs w:val="10"/>
                <w:b w:val="1"/>
                <w:bCs w:val="1"/>
                <w:color w:val="auto"/>
              </w:rPr>
              <w:t>of Impairment)</w:t>
            </w:r>
            <w:r>
              <w:rPr>
                <w:rFonts w:ascii="Arial" w:cs="Arial" w:eastAsia="Arial" w:hAnsi="Arial"/>
                <w:sz w:val="13"/>
                <w:szCs w:val="13"/>
                <w:b w:val="1"/>
                <w:bCs w:val="1"/>
                <w:color w:val="auto"/>
                <w:vertAlign w:val="superscript"/>
              </w:rPr>
              <w:t>(1)</w:t>
            </w:r>
          </w:p>
        </w:tc>
        <w:tc>
          <w:tcPr>
            <w:tcW w:w="180" w:type="dxa"/>
            <w:vAlign w:val="bottom"/>
          </w:tcPr>
          <w:p>
            <w:pPr>
              <w:spacing w:after="0"/>
              <w:rPr>
                <w:sz w:val="10"/>
                <w:szCs w:val="10"/>
                <w:color w:val="auto"/>
              </w:rPr>
            </w:pPr>
          </w:p>
        </w:tc>
        <w:tc>
          <w:tcPr>
            <w:tcW w:w="1180" w:type="dxa"/>
            <w:vAlign w:val="bottom"/>
            <w:gridSpan w:val="2"/>
          </w:tcPr>
          <w:p>
            <w:pPr>
              <w:jc w:val="center"/>
              <w:ind w:right="260"/>
              <w:spacing w:after="0" w:line="117" w:lineRule="exact"/>
              <w:rPr>
                <w:sz w:val="20"/>
                <w:szCs w:val="20"/>
                <w:color w:val="auto"/>
              </w:rPr>
            </w:pPr>
            <w:r>
              <w:rPr>
                <w:rFonts w:ascii="Arial" w:cs="Arial" w:eastAsia="Arial" w:hAnsi="Arial"/>
                <w:sz w:val="10"/>
                <w:szCs w:val="10"/>
                <w:b w:val="1"/>
                <w:bCs w:val="1"/>
                <w:color w:val="auto"/>
              </w:rPr>
              <w:t>Amortization</w:t>
            </w:r>
            <w:r>
              <w:rPr>
                <w:rFonts w:ascii="Arial" w:cs="Arial" w:eastAsia="Arial" w:hAnsi="Arial"/>
                <w:sz w:val="13"/>
                <w:szCs w:val="13"/>
                <w:b w:val="1"/>
                <w:bCs w:val="1"/>
                <w:color w:val="auto"/>
                <w:vertAlign w:val="superscript"/>
              </w:rPr>
              <w:t>(1)</w:t>
            </w:r>
          </w:p>
        </w:tc>
        <w:tc>
          <w:tcPr>
            <w:tcW w:w="160" w:type="dxa"/>
            <w:vAlign w:val="bottom"/>
          </w:tcPr>
          <w:p>
            <w:pPr>
              <w:spacing w:after="0"/>
              <w:rPr>
                <w:sz w:val="10"/>
                <w:szCs w:val="10"/>
                <w:color w:val="auto"/>
              </w:rPr>
            </w:pPr>
          </w:p>
        </w:tc>
        <w:tc>
          <w:tcPr>
            <w:tcW w:w="980" w:type="dxa"/>
            <w:vAlign w:val="bottom"/>
          </w:tcPr>
          <w:p>
            <w:pPr>
              <w:jc w:val="right"/>
              <w:ind w:right="254"/>
              <w:spacing w:after="0" w:line="117" w:lineRule="exact"/>
              <w:rPr>
                <w:sz w:val="20"/>
                <w:szCs w:val="20"/>
                <w:color w:val="auto"/>
              </w:rPr>
            </w:pPr>
            <w:r>
              <w:rPr>
                <w:rFonts w:ascii="Arial" w:cs="Arial" w:eastAsia="Arial" w:hAnsi="Arial"/>
                <w:sz w:val="10"/>
                <w:szCs w:val="10"/>
                <w:b w:val="1"/>
                <w:bCs w:val="1"/>
                <w:color w:val="auto"/>
              </w:rPr>
              <w:t>Amount</w:t>
            </w:r>
            <w:r>
              <w:rPr>
                <w:rFonts w:ascii="Arial" w:cs="Arial" w:eastAsia="Arial" w:hAnsi="Arial"/>
                <w:sz w:val="13"/>
                <w:szCs w:val="13"/>
                <w:b w:val="1"/>
                <w:bCs w:val="1"/>
                <w:color w:val="auto"/>
                <w:vertAlign w:val="superscript"/>
              </w:rPr>
              <w:t>(1)</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Deferred Leasing Costs and Intangible Assets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6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Deferred leasing costs and lease-related intangible</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140"/>
              <w:spacing w:after="0" w:line="187" w:lineRule="exact"/>
              <w:rPr>
                <w:sz w:val="20"/>
                <w:szCs w:val="20"/>
                <w:color w:val="auto"/>
              </w:rPr>
            </w:pPr>
            <w:r>
              <w:rPr>
                <w:rFonts w:ascii="Arial" w:cs="Arial" w:eastAsia="Arial" w:hAnsi="Arial"/>
                <w:sz w:val="14"/>
                <w:szCs w:val="14"/>
                <w:color w:val="auto"/>
              </w:rPr>
              <w:t xml:space="preserve">assets </w:t>
            </w:r>
            <w:r>
              <w:rPr>
                <w:rFonts w:ascii="Arial" w:cs="Arial" w:eastAsia="Arial" w:hAnsi="Arial"/>
                <w:sz w:val="18"/>
                <w:szCs w:val="18"/>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1,148,441</w:t>
            </w:r>
          </w:p>
        </w:tc>
        <w:tc>
          <w:tcPr>
            <w:tcW w:w="100" w:type="dxa"/>
            <w:vAlign w:val="bottom"/>
          </w:tcPr>
          <w:p>
            <w:pPr>
              <w:spacing w:after="0"/>
              <w:rPr>
                <w:sz w:val="16"/>
                <w:szCs w:val="16"/>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(256,987)</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4"/>
              <w:spacing w:after="0"/>
              <w:rPr>
                <w:sz w:val="20"/>
                <w:szCs w:val="20"/>
                <w:color w:val="auto"/>
              </w:rPr>
            </w:pPr>
            <w:r>
              <w:rPr>
                <w:rFonts w:ascii="Arial" w:cs="Arial" w:eastAsia="Arial" w:hAnsi="Arial"/>
                <w:sz w:val="14"/>
                <w:szCs w:val="14"/>
                <w:color w:val="auto"/>
              </w:rPr>
              <w:t>891,454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1,046,095</w:t>
            </w:r>
          </w:p>
        </w:tc>
        <w:tc>
          <w:tcPr>
            <w:tcW w:w="80" w:type="dxa"/>
            <w:vAlign w:val="bottom"/>
          </w:tcPr>
          <w:p>
            <w:pPr>
              <w:spacing w:after="0"/>
              <w:rPr>
                <w:sz w:val="16"/>
                <w:szCs w:val="16"/>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(81,547)</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964,548</w:t>
            </w:r>
          </w:p>
        </w:tc>
        <w:tc>
          <w:tcPr>
            <w:tcW w:w="0" w:type="dxa"/>
            <w:vAlign w:val="bottom"/>
          </w:tcPr>
          <w:p>
            <w:pPr>
              <w:spacing w:after="0"/>
              <w:rPr>
                <w:sz w:val="1"/>
                <w:szCs w:val="1"/>
                <w:color w:val="auto"/>
              </w:rPr>
            </w:pPr>
          </w:p>
        </w:tc>
      </w:tr>
      <w:tr>
        <w:trPr>
          <w:trHeight w:val="187"/>
        </w:trPr>
        <w:tc>
          <w:tcPr>
            <w:tcW w:w="3460" w:type="dxa"/>
            <w:vAlign w:val="bottom"/>
            <w:gridSpan w:val="2"/>
            <w:shd w:val="clear" w:color="auto" w:fill="CCEEFF"/>
          </w:tcPr>
          <w:p>
            <w:pPr>
              <w:ind w:left="80"/>
              <w:spacing w:after="0" w:line="187" w:lineRule="exact"/>
              <w:rPr>
                <w:sz w:val="20"/>
                <w:szCs w:val="20"/>
                <w:color w:val="auto"/>
              </w:rPr>
            </w:pPr>
            <w:r>
              <w:rPr>
                <w:rFonts w:ascii="Arial" w:cs="Arial" w:eastAsia="Arial" w:hAnsi="Arial"/>
                <w:sz w:val="14"/>
                <w:szCs w:val="14"/>
                <w:color w:val="auto"/>
              </w:rPr>
              <w:t xml:space="preserve">Investment management intangibles </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102,754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164,188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128,783</w:t>
            </w:r>
          </w:p>
        </w:tc>
        <w:tc>
          <w:tcPr>
            <w:tcW w:w="0" w:type="dxa"/>
            <w:vAlign w:val="bottom"/>
          </w:tcPr>
          <w:p>
            <w:pPr>
              <w:spacing w:after="0"/>
              <w:rPr>
                <w:sz w:val="1"/>
                <w:szCs w:val="1"/>
                <w:color w:val="auto"/>
              </w:rPr>
            </w:pPr>
          </w:p>
        </w:tc>
      </w:tr>
      <w:tr>
        <w:trPr>
          <w:trHeight w:val="187"/>
        </w:trPr>
        <w:tc>
          <w:tcPr>
            <w:tcW w:w="3460" w:type="dxa"/>
            <w:vAlign w:val="bottom"/>
            <w:gridSpan w:val="2"/>
          </w:tcPr>
          <w:p>
            <w:pPr>
              <w:ind w:left="80"/>
              <w:spacing w:after="0" w:line="187" w:lineRule="exact"/>
              <w:rPr>
                <w:sz w:val="20"/>
                <w:szCs w:val="20"/>
                <w:color w:val="auto"/>
              </w:rPr>
            </w:pPr>
            <w:r>
              <w:rPr>
                <w:rFonts w:ascii="Arial" w:cs="Arial" w:eastAsia="Arial" w:hAnsi="Arial"/>
                <w:sz w:val="14"/>
                <w:szCs w:val="14"/>
                <w:color w:val="auto"/>
              </w:rPr>
              <w:t xml:space="preserve">Customer relationships and service contracts </w:t>
            </w:r>
            <w:r>
              <w:rPr>
                <w:rFonts w:ascii="Arial" w:cs="Arial" w:eastAsia="Arial" w:hAnsi="Arial"/>
                <w:sz w:val="18"/>
                <w:szCs w:val="18"/>
                <w:color w:val="auto"/>
                <w:vertAlign w:val="superscript"/>
              </w:rPr>
              <w:t>(4)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218,064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Arial" w:cs="Arial" w:eastAsia="Arial" w:hAnsi="Arial"/>
                <w:sz w:val="14"/>
                <w:szCs w:val="14"/>
                <w:color w:val="auto"/>
              </w:rPr>
              <w:t>173,568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217,808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204,262</w:t>
            </w:r>
          </w:p>
        </w:tc>
        <w:tc>
          <w:tcPr>
            <w:tcW w:w="0" w:type="dxa"/>
            <w:vAlign w:val="bottom"/>
          </w:tcPr>
          <w:p>
            <w:pPr>
              <w:spacing w:after="0"/>
              <w:rPr>
                <w:sz w:val="1"/>
                <w:szCs w:val="1"/>
                <w:color w:val="auto"/>
              </w:rPr>
            </w:pPr>
          </w:p>
        </w:tc>
      </w:tr>
      <w:tr>
        <w:trPr>
          <w:trHeight w:val="187"/>
        </w:trPr>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Trade names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15,134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37,187</w:t>
            </w:r>
          </w:p>
        </w:tc>
        <w:tc>
          <w:tcPr>
            <w:tcW w:w="0" w:type="dxa"/>
            <w:vAlign w:val="bottom"/>
          </w:tcPr>
          <w:p>
            <w:pPr>
              <w:spacing w:after="0"/>
              <w:rPr>
                <w:sz w:val="1"/>
                <w:szCs w:val="1"/>
                <w:color w:val="auto"/>
              </w:rPr>
            </w:pPr>
          </w:p>
        </w:tc>
      </w:tr>
      <w:tr>
        <w:trPr>
          <w:trHeight w:val="187"/>
        </w:trPr>
        <w:tc>
          <w:tcPr>
            <w:tcW w:w="3460" w:type="dxa"/>
            <w:vAlign w:val="bottom"/>
            <w:tcBorders>
              <w:bottom w:val="single" w:sz="8" w:color="CCEEFF"/>
            </w:tcBorders>
            <w:gridSpan w:val="2"/>
          </w:tcPr>
          <w:p>
            <w:pPr>
              <w:ind w:left="80"/>
              <w:spacing w:after="0" w:line="187"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(5)</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4,717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5,980</w:t>
            </w:r>
          </w:p>
        </w:tc>
        <w:tc>
          <w:tcPr>
            <w:tcW w:w="0" w:type="dxa"/>
            <w:vAlign w:val="bottom"/>
          </w:tcPr>
          <w:p>
            <w:pPr>
              <w:spacing w:after="0"/>
              <w:rPr>
                <w:sz w:val="1"/>
                <w:szCs w:val="1"/>
                <w:color w:val="auto"/>
              </w:rPr>
            </w:pPr>
          </w:p>
        </w:tc>
      </w:tr>
      <w:tr>
        <w:trPr>
          <w:trHeight w:val="204"/>
        </w:trPr>
        <w:tc>
          <w:tcPr>
            <w:tcW w:w="3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deferred leasing costs and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1,563,912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(376,285)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1,187,627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1,476,191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1,340,760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Intangible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gridSpan w:val="2"/>
            <w:shd w:val="clear" w:color="auto" w:fill="CCEEFF"/>
          </w:tcPr>
          <w:p>
            <w:pPr>
              <w:ind w:left="80"/>
              <w:spacing w:after="0" w:line="189" w:lineRule="exact"/>
              <w:rPr>
                <w:sz w:val="20"/>
                <w:szCs w:val="20"/>
                <w:color w:val="auto"/>
              </w:rPr>
            </w:pPr>
            <w:r>
              <w:rPr>
                <w:rFonts w:ascii="Arial" w:cs="Arial" w:eastAsia="Arial" w:hAnsi="Arial"/>
                <w:sz w:val="14"/>
                <w:szCs w:val="14"/>
                <w:color w:val="auto"/>
              </w:rPr>
              <w:t xml:space="preserve">Lease intangible liabilities </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33,301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39,788</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26" w:hanging="226"/>
        <w:spacing w:after="0"/>
        <w:tabs>
          <w:tab w:leader="none" w:pos="226" w:val="left"/>
        </w:tabs>
        <w:numPr>
          <w:ilvl w:val="0"/>
          <w:numId w:val="96"/>
        </w:numPr>
        <w:rPr>
          <w:rFonts w:ascii="Arial" w:cs="Arial" w:eastAsia="Arial" w:hAnsi="Arial"/>
          <w:sz w:val="8"/>
          <w:szCs w:val="8"/>
          <w:color w:val="auto"/>
        </w:rPr>
      </w:pPr>
      <w:r>
        <w:rPr>
          <w:rFonts w:ascii="Arial" w:cs="Arial" w:eastAsia="Arial" w:hAnsi="Arial"/>
          <w:sz w:val="12"/>
          <w:szCs w:val="12"/>
          <w:color w:val="auto"/>
        </w:rPr>
        <w:t>Amounts are presented net of impairments and write-offs.</w:t>
      </w:r>
    </w:p>
    <w:p>
      <w:pPr>
        <w:spacing w:after="0" w:line="49" w:lineRule="exact"/>
        <w:rPr>
          <w:rFonts w:ascii="Arial" w:cs="Arial" w:eastAsia="Arial" w:hAnsi="Arial"/>
          <w:sz w:val="8"/>
          <w:szCs w:val="8"/>
          <w:color w:val="auto"/>
        </w:rPr>
      </w:pPr>
    </w:p>
    <w:p>
      <w:pPr>
        <w:ind w:left="186" w:hanging="186"/>
        <w:spacing w:after="0"/>
        <w:tabs>
          <w:tab w:leader="none" w:pos="186" w:val="left"/>
        </w:tabs>
        <w:numPr>
          <w:ilvl w:val="0"/>
          <w:numId w:val="96"/>
        </w:numPr>
        <w:rPr>
          <w:rFonts w:ascii="Arial" w:cs="Arial" w:eastAsia="Arial" w:hAnsi="Arial"/>
          <w:sz w:val="8"/>
          <w:szCs w:val="8"/>
          <w:color w:val="auto"/>
        </w:rPr>
      </w:pPr>
      <w:r>
        <w:rPr>
          <w:rFonts w:ascii="Arial" w:cs="Arial" w:eastAsia="Arial" w:hAnsi="Arial"/>
          <w:sz w:val="12"/>
          <w:szCs w:val="12"/>
          <w:color w:val="auto"/>
        </w:rPr>
        <w:t>Lease intangible assets are composed of in-place leases, above-market leases and tenant relationships. Lease-intangible liabilities are composed of below-market leases.</w:t>
      </w:r>
    </w:p>
    <w:p>
      <w:pPr>
        <w:spacing w:after="0" w:line="49" w:lineRule="exact"/>
        <w:rPr>
          <w:rFonts w:ascii="Arial" w:cs="Arial" w:eastAsia="Arial" w:hAnsi="Arial"/>
          <w:sz w:val="8"/>
          <w:szCs w:val="8"/>
          <w:color w:val="auto"/>
        </w:rPr>
      </w:pPr>
    </w:p>
    <w:p>
      <w:pPr>
        <w:ind w:left="186" w:hanging="186"/>
        <w:spacing w:after="0"/>
        <w:tabs>
          <w:tab w:leader="none" w:pos="186" w:val="left"/>
        </w:tabs>
        <w:numPr>
          <w:ilvl w:val="0"/>
          <w:numId w:val="96"/>
        </w:numPr>
        <w:rPr>
          <w:rFonts w:ascii="Arial" w:cs="Arial" w:eastAsia="Arial" w:hAnsi="Arial"/>
          <w:sz w:val="8"/>
          <w:szCs w:val="8"/>
          <w:color w:val="auto"/>
        </w:rPr>
      </w:pPr>
      <w:r>
        <w:rPr>
          <w:rFonts w:ascii="Arial" w:cs="Arial" w:eastAsia="Arial" w:hAnsi="Arial"/>
          <w:sz w:val="12"/>
          <w:szCs w:val="12"/>
          <w:color w:val="auto"/>
        </w:rPr>
        <w:t>Composed of investment management contracts and investor relationships.</w:t>
      </w:r>
    </w:p>
    <w:p>
      <w:pPr>
        <w:spacing w:after="0" w:line="49" w:lineRule="exact"/>
        <w:rPr>
          <w:rFonts w:ascii="Arial" w:cs="Arial" w:eastAsia="Arial" w:hAnsi="Arial"/>
          <w:sz w:val="8"/>
          <w:szCs w:val="8"/>
          <w:color w:val="auto"/>
        </w:rPr>
      </w:pPr>
    </w:p>
    <w:p>
      <w:pPr>
        <w:ind w:left="186" w:hanging="186"/>
        <w:spacing w:after="0"/>
        <w:tabs>
          <w:tab w:leader="none" w:pos="186" w:val="left"/>
        </w:tabs>
        <w:numPr>
          <w:ilvl w:val="0"/>
          <w:numId w:val="96"/>
        </w:numPr>
        <w:rPr>
          <w:rFonts w:ascii="Arial" w:cs="Arial" w:eastAsia="Arial" w:hAnsi="Arial"/>
          <w:sz w:val="8"/>
          <w:szCs w:val="8"/>
          <w:color w:val="auto"/>
        </w:rPr>
      </w:pPr>
      <w:r>
        <w:rPr>
          <w:rFonts w:ascii="Arial" w:cs="Arial" w:eastAsia="Arial" w:hAnsi="Arial"/>
          <w:sz w:val="12"/>
          <w:szCs w:val="12"/>
          <w:color w:val="auto"/>
        </w:rPr>
        <w:t>In connection with data center services provided in the colocation data center business.</w:t>
      </w:r>
    </w:p>
    <w:p>
      <w:pPr>
        <w:spacing w:after="0" w:line="49" w:lineRule="exact"/>
        <w:rPr>
          <w:rFonts w:ascii="Arial" w:cs="Arial" w:eastAsia="Arial" w:hAnsi="Arial"/>
          <w:sz w:val="8"/>
          <w:szCs w:val="8"/>
          <w:color w:val="auto"/>
        </w:rPr>
      </w:pPr>
    </w:p>
    <w:p>
      <w:pPr>
        <w:ind w:left="186" w:hanging="186"/>
        <w:spacing w:after="0"/>
        <w:tabs>
          <w:tab w:leader="none" w:pos="186" w:val="left"/>
        </w:tabs>
        <w:numPr>
          <w:ilvl w:val="0"/>
          <w:numId w:val="96"/>
        </w:numPr>
        <w:rPr>
          <w:rFonts w:ascii="Arial" w:cs="Arial" w:eastAsia="Arial" w:hAnsi="Arial"/>
          <w:sz w:val="8"/>
          <w:szCs w:val="8"/>
          <w:color w:val="auto"/>
        </w:rPr>
      </w:pPr>
      <w:r>
        <w:rPr>
          <w:rFonts w:ascii="Arial" w:cs="Arial" w:eastAsia="Arial" w:hAnsi="Arial"/>
          <w:sz w:val="12"/>
          <w:szCs w:val="12"/>
          <w:color w:val="auto"/>
        </w:rPr>
        <w:t>Represents primarily the value of an acquired domain name and assembled workforce in an asset acquisition.</w:t>
      </w:r>
    </w:p>
    <w:p>
      <w:pPr>
        <w:spacing w:after="0" w:line="120"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Impairment of Identifiable Intangible Assets</w:t>
      </w:r>
    </w:p>
    <w:p>
      <w:pPr>
        <w:spacing w:after="0" w:line="115" w:lineRule="exact"/>
        <w:rPr>
          <w:sz w:val="20"/>
          <w:szCs w:val="20"/>
          <w:color w:val="auto"/>
        </w:rPr>
      </w:pPr>
    </w:p>
    <w:p>
      <w:pPr>
        <w:ind w:left="6" w:right="200" w:firstLine="351"/>
        <w:spacing w:after="0" w:line="246" w:lineRule="auto"/>
        <w:rPr>
          <w:sz w:val="20"/>
          <w:szCs w:val="20"/>
          <w:color w:val="auto"/>
        </w:rPr>
      </w:pPr>
      <w:r>
        <w:rPr>
          <w:rFonts w:ascii="Arial" w:cs="Arial" w:eastAsia="Arial" w:hAnsi="Arial"/>
          <w:sz w:val="16"/>
          <w:szCs w:val="16"/>
          <w:color w:val="auto"/>
        </w:rPr>
        <w:t>In 2020, an investment management contract was written down by $3.8 million to a fair value of $4.0 million at the time of impairment. Fair value was based upon the revised future net cash flows over the remaining life of the contract, and represents fair value using Level 3 inputs. In 2021 and 2019, impairment was recorded only on identifiable intangible assets held for disposition, as discussed in Note 11.</w:t>
      </w:r>
    </w:p>
    <w:p>
      <w:pPr>
        <w:spacing w:after="0" w:line="118"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Amortization of Intangible Assets and Liabilities</w:t>
      </w:r>
    </w:p>
    <w:p>
      <w:pPr>
        <w:spacing w:after="0" w:line="115" w:lineRule="exact"/>
        <w:rPr>
          <w:sz w:val="20"/>
          <w:szCs w:val="20"/>
          <w:color w:val="auto"/>
        </w:rPr>
      </w:pPr>
    </w:p>
    <w:p>
      <w:pPr>
        <w:ind w:left="6" w:right="120" w:firstLine="351"/>
        <w:spacing w:after="0" w:line="248" w:lineRule="auto"/>
        <w:rPr>
          <w:sz w:val="20"/>
          <w:szCs w:val="20"/>
          <w:color w:val="auto"/>
        </w:rPr>
      </w:pPr>
      <w:r>
        <w:rPr>
          <w:rFonts w:ascii="Arial" w:cs="Arial" w:eastAsia="Arial" w:hAnsi="Arial"/>
          <w:sz w:val="16"/>
          <w:szCs w:val="16"/>
          <w:color w:val="auto"/>
        </w:rPr>
        <w:t>The following table summarizes amortization of deferred leasing costs and finite-lived intangible assets and intangible liabilities, excluding amounts related to discontinued operations (Note 12):</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17"/>
        </w:trPr>
        <w:tc>
          <w:tcPr>
            <w:tcW w:w="70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7000" w:type="dxa"/>
            <w:vAlign w:val="bottom"/>
            <w:tcBorders>
              <w:bottom w:val="single" w:sz="8" w:color="CCEEFF"/>
            </w:tcBorders>
            <w:gridSpan w:val="2"/>
            <w:shd w:val="clear" w:color="auto" w:fill="CCEEFF"/>
          </w:tcPr>
          <w:p>
            <w:pPr>
              <w:spacing w:after="0" w:line="174" w:lineRule="exact"/>
              <w:rPr>
                <w:sz w:val="20"/>
                <w:szCs w:val="20"/>
                <w:color w:val="auto"/>
              </w:rPr>
            </w:pPr>
            <w:r>
              <w:rPr>
                <w:rFonts w:ascii="Arial" w:cs="Arial" w:eastAsia="Arial" w:hAnsi="Arial"/>
                <w:sz w:val="14"/>
                <w:szCs w:val="14"/>
                <w:color w:val="auto"/>
              </w:rPr>
              <w:t xml:space="preserve">Net decrease to rental income </w:t>
            </w:r>
            <w:r>
              <w:rPr>
                <w:rFonts w:ascii="Arial" w:cs="Arial" w:eastAsia="Arial" w:hAnsi="Arial"/>
                <w:sz w:val="18"/>
                <w:szCs w:val="18"/>
                <w:color w:val="auto"/>
                <w:vertAlign w:val="superscript"/>
              </w:rPr>
              <w:t>(1)</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30"/>
        </w:trPr>
        <w:tc>
          <w:tcPr>
            <w:tcW w:w="7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87"/>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expense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5"/>
        </w:trPr>
        <w:tc>
          <w:tcPr>
            <w:tcW w:w="7000" w:type="dxa"/>
            <w:vAlign w:val="bottom"/>
            <w:gridSpan w:val="2"/>
          </w:tcPr>
          <w:p>
            <w:pPr>
              <w:ind w:left="120"/>
              <w:spacing w:after="0"/>
              <w:rPr>
                <w:sz w:val="20"/>
                <w:szCs w:val="20"/>
                <w:color w:val="auto"/>
              </w:rPr>
            </w:pPr>
            <w:r>
              <w:rPr>
                <w:rFonts w:ascii="Arial" w:cs="Arial" w:eastAsia="Arial" w:hAnsi="Arial"/>
                <w:sz w:val="14"/>
                <w:szCs w:val="14"/>
                <w:color w:val="auto"/>
              </w:rPr>
              <w:t>Deferred leasing costs and lease-related intangibles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165,940</w:t>
            </w:r>
          </w:p>
        </w:tc>
        <w:tc>
          <w:tcPr>
            <w:tcW w:w="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75,099</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189"/>
        </w:trPr>
        <w:tc>
          <w:tcPr>
            <w:tcW w:w="7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 management intangibles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9,213</w:t>
            </w:r>
          </w:p>
        </w:tc>
      </w:tr>
      <w:tr>
        <w:trPr>
          <w:trHeight w:val="185"/>
        </w:trPr>
        <w:tc>
          <w:tcPr>
            <w:tcW w:w="7000" w:type="dxa"/>
            <w:vAlign w:val="bottom"/>
            <w:gridSpan w:val="2"/>
          </w:tcPr>
          <w:p>
            <w:pPr>
              <w:ind w:left="120"/>
              <w:spacing w:after="0"/>
              <w:rPr>
                <w:sz w:val="20"/>
                <w:szCs w:val="20"/>
                <w:color w:val="auto"/>
              </w:rPr>
            </w:pPr>
            <w:r>
              <w:rPr>
                <w:rFonts w:ascii="Arial" w:cs="Arial" w:eastAsia="Arial" w:hAnsi="Arial"/>
                <w:sz w:val="14"/>
                <w:szCs w:val="14"/>
                <w:color w:val="auto"/>
              </w:rPr>
              <w:t>Customer relationships and service contracts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31,040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1,156</w:t>
            </w:r>
          </w:p>
        </w:tc>
      </w:tr>
      <w:tr>
        <w:trPr>
          <w:trHeight w:val="189"/>
        </w:trPr>
        <w:tc>
          <w:tcPr>
            <w:tcW w:w="7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Trade name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85"/>
        </w:trPr>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04"/>
        </w:trPr>
        <w:tc>
          <w:tcPr>
            <w:tcW w:w="76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246,943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11,082</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14" w:lineRule="exact"/>
        <w:rPr>
          <w:sz w:val="20"/>
          <w:szCs w:val="20"/>
          <w:color w:val="auto"/>
        </w:rPr>
      </w:pPr>
    </w:p>
    <w:p>
      <w:pPr>
        <w:ind w:left="246" w:hanging="246"/>
        <w:spacing w:after="0"/>
        <w:tabs>
          <w:tab w:leader="none" w:pos="246" w:val="left"/>
        </w:tabs>
        <w:numPr>
          <w:ilvl w:val="0"/>
          <w:numId w:val="97"/>
        </w:numPr>
        <w:rPr>
          <w:rFonts w:ascii="Arial" w:cs="Arial" w:eastAsia="Arial" w:hAnsi="Arial"/>
          <w:sz w:val="16"/>
          <w:szCs w:val="16"/>
          <w:color w:val="auto"/>
          <w:vertAlign w:val="superscript"/>
        </w:rPr>
      </w:pPr>
      <w:r>
        <w:rPr>
          <w:rFonts w:ascii="Arial" w:cs="Arial" w:eastAsia="Arial" w:hAnsi="Arial"/>
          <w:sz w:val="12"/>
          <w:szCs w:val="12"/>
          <w:color w:val="auto"/>
        </w:rPr>
        <w:t>Represents the net effect of amortizing above- and below-market leases.</w:t>
      </w: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1" w:name="page142"/>
    <w:bookmarkEnd w:id="141"/>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60" w:firstLine="351"/>
        <w:spacing w:after="0" w:line="248" w:lineRule="auto"/>
        <w:rPr>
          <w:sz w:val="20"/>
          <w:szCs w:val="20"/>
          <w:color w:val="auto"/>
        </w:rPr>
      </w:pPr>
      <w:r>
        <w:rPr>
          <w:rFonts w:ascii="Arial" w:cs="Arial" w:eastAsia="Arial" w:hAnsi="Arial"/>
          <w:sz w:val="16"/>
          <w:szCs w:val="16"/>
          <w:color w:val="auto"/>
        </w:rPr>
        <w:t>The following table presents the future amortization of deferred leasing costs and finite-lived intangible assets and intangible liabilities, excluding those related to assets and liabilities held for disposition.</w:t>
      </w:r>
    </w:p>
    <w:p>
      <w:pPr>
        <w:spacing w:after="0" w:line="94"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Year Ending December 31,</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17"/>
        </w:trPr>
        <w:tc>
          <w:tcPr>
            <w:tcW w:w="33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240" w:type="dxa"/>
            <w:vAlign w:val="bottom"/>
          </w:tcPr>
          <w:p>
            <w:pPr>
              <w:spacing w:after="0"/>
              <w:rPr>
                <w:sz w:val="10"/>
                <w:szCs w:val="10"/>
                <w:color w:val="auto"/>
              </w:rPr>
            </w:pPr>
          </w:p>
        </w:tc>
        <w:tc>
          <w:tcPr>
            <w:tcW w:w="800" w:type="dxa"/>
            <w:vAlign w:val="bottom"/>
          </w:tcPr>
          <w:p>
            <w:pPr>
              <w:jc w:val="right"/>
              <w:ind w:right="335"/>
              <w:spacing w:after="0" w:line="117" w:lineRule="exact"/>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35"/>
              <w:spacing w:after="0" w:line="117" w:lineRule="exact"/>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338"/>
              <w:spacing w:after="0" w:line="117" w:lineRule="exact"/>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335"/>
              <w:spacing w:after="0" w:line="117" w:lineRule="exact"/>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35"/>
              <w:spacing w:after="0" w:line="117" w:lineRule="exact"/>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0"/>
                <w:szCs w:val="10"/>
                <w:color w:val="auto"/>
              </w:rPr>
            </w:pPr>
          </w:p>
        </w:tc>
        <w:tc>
          <w:tcPr>
            <w:tcW w:w="104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2027 and thereafter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35"/>
              <w:spacing w:after="0" w:line="117" w:lineRule="exact"/>
              <w:rPr>
                <w:sz w:val="20"/>
                <w:szCs w:val="20"/>
                <w:color w:val="auto"/>
              </w:rPr>
            </w:pPr>
            <w:r>
              <w:rPr>
                <w:rFonts w:ascii="Arial" w:cs="Arial" w:eastAsia="Arial" w:hAnsi="Arial"/>
                <w:sz w:val="11"/>
                <w:szCs w:val="11"/>
                <w:b w:val="1"/>
                <w:bCs w:val="1"/>
                <w:color w:val="auto"/>
              </w:rPr>
              <w:t>Total</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(decrease) to rental income</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(5,346)</w:t>
            </w:r>
          </w:p>
        </w:tc>
      </w:tr>
      <w:tr>
        <w:trPr>
          <w:trHeight w:val="182"/>
        </w:trPr>
        <w:tc>
          <w:tcPr>
            <w:tcW w:w="33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157,362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137,974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18"/>
              <w:spacing w:after="0"/>
              <w:rPr>
                <w:sz w:val="20"/>
                <w:szCs w:val="20"/>
                <w:color w:val="auto"/>
              </w:rPr>
            </w:pPr>
            <w:r>
              <w:rPr>
                <w:rFonts w:ascii="Arial" w:cs="Arial" w:eastAsia="Arial" w:hAnsi="Arial"/>
                <w:sz w:val="14"/>
                <w:szCs w:val="14"/>
                <w:color w:val="auto"/>
              </w:rPr>
              <w:t>112,619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102,698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97,274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541,053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1,148,980</w:t>
            </w:r>
          </w:p>
        </w:tc>
      </w:tr>
    </w:tbl>
    <w:p>
      <w:pPr>
        <w:spacing w:after="0" w:line="24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7. Restricted Cash, Other Assets and Other Liabilities</w:t>
      </w:r>
    </w:p>
    <w:p>
      <w:pPr>
        <w:spacing w:after="0" w:line="143"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Restricted Cash</w:t>
      </w:r>
    </w:p>
    <w:p>
      <w:pPr>
        <w:spacing w:after="0" w:line="115" w:lineRule="exact"/>
        <w:rPr>
          <w:sz w:val="20"/>
          <w:szCs w:val="20"/>
          <w:color w:val="auto"/>
        </w:rPr>
      </w:pPr>
    </w:p>
    <w:p>
      <w:pPr>
        <w:ind w:left="6" w:right="720" w:firstLine="351"/>
        <w:spacing w:after="0" w:line="248" w:lineRule="auto"/>
        <w:rPr>
          <w:sz w:val="20"/>
          <w:szCs w:val="20"/>
          <w:color w:val="auto"/>
        </w:rPr>
      </w:pPr>
      <w:r>
        <w:rPr>
          <w:rFonts w:ascii="Arial" w:cs="Arial" w:eastAsia="Arial" w:hAnsi="Arial"/>
          <w:sz w:val="16"/>
          <w:szCs w:val="16"/>
          <w:color w:val="auto"/>
        </w:rPr>
        <w:t>Restricted cash represents principally cash reserves that are maintained pursuant to the governing agreements of the various securitized debt of the Company and its subsidiaries.</w:t>
      </w:r>
    </w:p>
    <w:p>
      <w:pPr>
        <w:spacing w:after="0" w:line="163"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Other Assets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summarizes the Company's other assets:</w:t>
      </w:r>
    </w:p>
    <w:p>
      <w:pPr>
        <w:spacing w:after="0" w:line="100"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80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0"/>
                <w:szCs w:val="10"/>
                <w:color w:val="auto"/>
              </w:rPr>
            </w:pPr>
          </w:p>
        </w:tc>
        <w:tc>
          <w:tcPr>
            <w:tcW w:w="1380" w:type="dxa"/>
            <w:vAlign w:val="bottom"/>
          </w:tcPr>
          <w:p>
            <w:pPr>
              <w:jc w:val="right"/>
              <w:ind w:right="231"/>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4"/>
        </w:trPr>
        <w:tc>
          <w:tcPr>
            <w:tcW w:w="8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Straight-line rents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25,516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8,991</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Investment deposits and pending deal costs</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22,238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33,802</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Prefunded capital expenditures for Vantage SDC</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24,293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48,881</w:t>
            </w:r>
          </w:p>
        </w:tc>
      </w:tr>
      <w:tr>
        <w:trPr>
          <w:trHeight w:val="187"/>
        </w:trPr>
        <w:tc>
          <w:tcPr>
            <w:tcW w:w="8000" w:type="dxa"/>
            <w:vAlign w:val="bottom"/>
            <w:gridSpan w:val="2"/>
          </w:tcPr>
          <w:p>
            <w:pPr>
              <w:spacing w:after="0" w:line="187" w:lineRule="exact"/>
              <w:rPr>
                <w:sz w:val="20"/>
                <w:szCs w:val="20"/>
                <w:color w:val="auto"/>
              </w:rPr>
            </w:pPr>
            <w:r>
              <w:rPr>
                <w:rFonts w:ascii="Arial" w:cs="Arial" w:eastAsia="Arial" w:hAnsi="Arial"/>
                <w:sz w:val="14"/>
                <w:szCs w:val="14"/>
                <w:color w:val="auto"/>
              </w:rPr>
              <w:t xml:space="preserve">Deferred financing costs, net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1,186</w:t>
            </w:r>
          </w:p>
        </w:tc>
      </w:tr>
      <w:tr>
        <w:trPr>
          <w:trHeight w:val="187"/>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944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99</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Prepaid taxes and deferred tax assets, net</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29,347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49,729</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Receivables from resolution of investment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10,463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7"/>
        </w:trPr>
        <w:tc>
          <w:tcPr>
            <w:tcW w:w="8000" w:type="dxa"/>
            <w:vAlign w:val="bottom"/>
            <w:gridSpan w:val="2"/>
          </w:tcPr>
          <w:p>
            <w:pPr>
              <w:spacing w:after="0" w:line="187" w:lineRule="exact"/>
              <w:rPr>
                <w:sz w:val="20"/>
                <w:szCs w:val="20"/>
                <w:color w:val="auto"/>
              </w:rPr>
            </w:pPr>
            <w:r>
              <w:rPr>
                <w:rFonts w:ascii="Arial" w:cs="Arial" w:eastAsia="Arial" w:hAnsi="Arial"/>
                <w:sz w:val="14"/>
                <w:szCs w:val="14"/>
                <w:color w:val="auto"/>
              </w:rPr>
              <w:t xml:space="preserve">Operating lease right-of-use asset, net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349,509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363,829</w:t>
            </w:r>
          </w:p>
        </w:tc>
      </w:tr>
      <w:tr>
        <w:trPr>
          <w:trHeight w:val="187"/>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right-of-use asset, net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131,909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143,182</w:t>
            </w:r>
          </w:p>
        </w:tc>
      </w:tr>
      <w:tr>
        <w:trPr>
          <w:trHeight w:val="187"/>
        </w:trPr>
        <w:tc>
          <w:tcPr>
            <w:tcW w:w="8000" w:type="dxa"/>
            <w:vAlign w:val="bottom"/>
            <w:gridSpan w:val="2"/>
          </w:tcPr>
          <w:p>
            <w:pPr>
              <w:spacing w:after="0" w:line="187" w:lineRule="exact"/>
              <w:rPr>
                <w:sz w:val="20"/>
                <w:szCs w:val="20"/>
                <w:color w:val="auto"/>
              </w:rPr>
            </w:pPr>
            <w:r>
              <w:rPr>
                <w:rFonts w:ascii="Arial" w:cs="Arial" w:eastAsia="Arial" w:hAnsi="Arial"/>
                <w:sz w:val="14"/>
                <w:szCs w:val="14"/>
                <w:color w:val="auto"/>
              </w:rPr>
              <w:t xml:space="preserve">Accounts receivable, net </w:t>
            </w:r>
            <w:r>
              <w:rPr>
                <w:rFonts w:ascii="Arial" w:cs="Arial" w:eastAsia="Arial" w:hAnsi="Arial"/>
                <w:sz w:val="18"/>
                <w:szCs w:val="18"/>
                <w:color w:val="auto"/>
                <w:vertAlign w:val="superscript"/>
              </w:rPr>
              <w:t>(3)</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83,878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50,808</w:t>
            </w:r>
          </w:p>
        </w:tc>
      </w:tr>
      <w:tr>
        <w:trPr>
          <w:trHeight w:val="187"/>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20,303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19,897</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24,835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43,262</w:t>
            </w:r>
          </w:p>
        </w:tc>
      </w:tr>
      <w:tr>
        <w:trPr>
          <w:trHeight w:val="189"/>
        </w:trPr>
        <w:tc>
          <w:tcPr>
            <w:tcW w:w="800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 xml:space="preserve">Fixed assets, net </w:t>
            </w:r>
            <w:r>
              <w:rPr>
                <w:rFonts w:ascii="Arial" w:cs="Arial" w:eastAsia="Arial" w:hAnsi="Arial"/>
                <w:sz w:val="18"/>
                <w:szCs w:val="18"/>
                <w:color w:val="auto"/>
                <w:vertAlign w:val="superscript"/>
              </w:rPr>
              <w:t>(4)</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17,160</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21,246</w:t>
            </w:r>
          </w:p>
        </w:tc>
      </w:tr>
      <w:tr>
        <w:trPr>
          <w:trHeight w:val="176"/>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Total other assets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740,395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784,912</w:t>
            </w:r>
          </w:p>
        </w:tc>
      </w:tr>
      <w:tr>
        <w:trPr>
          <w:trHeight w:val="20"/>
        </w:trPr>
        <w:tc>
          <w:tcPr>
            <w:tcW w:w="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186" w:hanging="186"/>
        <w:spacing w:after="0"/>
        <w:tabs>
          <w:tab w:leader="none" w:pos="186" w:val="left"/>
        </w:tabs>
        <w:numPr>
          <w:ilvl w:val="0"/>
          <w:numId w:val="98"/>
        </w:numPr>
        <w:rPr>
          <w:rFonts w:ascii="Arial" w:cs="Arial" w:eastAsia="Arial" w:hAnsi="Arial"/>
          <w:sz w:val="16"/>
          <w:szCs w:val="16"/>
          <w:color w:val="auto"/>
          <w:vertAlign w:val="superscript"/>
        </w:rPr>
      </w:pPr>
      <w:r>
        <w:rPr>
          <w:rFonts w:ascii="Arial" w:cs="Arial" w:eastAsia="Arial" w:hAnsi="Arial"/>
          <w:sz w:val="12"/>
          <w:szCs w:val="12"/>
          <w:color w:val="auto"/>
        </w:rPr>
        <w:t>Deferred financing costs relate to revolving credit arrangements originated by the Company and its subsidiaries. The Company's corporate credit facility was terminated in July 2021.</w:t>
      </w:r>
    </w:p>
    <w:p>
      <w:pPr>
        <w:spacing w:after="0" w:line="38" w:lineRule="exact"/>
        <w:rPr>
          <w:rFonts w:ascii="Arial" w:cs="Arial" w:eastAsia="Arial" w:hAnsi="Arial"/>
          <w:sz w:val="16"/>
          <w:szCs w:val="16"/>
          <w:color w:val="auto"/>
          <w:vertAlign w:val="superscript"/>
        </w:rPr>
      </w:pPr>
    </w:p>
    <w:p>
      <w:pPr>
        <w:ind w:left="206" w:right="140" w:hanging="206"/>
        <w:spacing w:after="0" w:line="215" w:lineRule="auto"/>
        <w:tabs>
          <w:tab w:leader="none" w:pos="185" w:val="left"/>
        </w:tabs>
        <w:numPr>
          <w:ilvl w:val="0"/>
          <w:numId w:val="98"/>
        </w:numPr>
        <w:rPr>
          <w:rFonts w:ascii="Arial" w:cs="Arial" w:eastAsia="Arial" w:hAnsi="Arial"/>
          <w:sz w:val="16"/>
          <w:szCs w:val="16"/>
          <w:color w:val="auto"/>
          <w:vertAlign w:val="superscript"/>
        </w:rPr>
      </w:pPr>
      <w:r>
        <w:rPr>
          <w:rFonts w:ascii="Arial" w:cs="Arial" w:eastAsia="Arial" w:hAnsi="Arial"/>
          <w:sz w:val="12"/>
          <w:szCs w:val="12"/>
          <w:color w:val="auto"/>
        </w:rPr>
        <w:t>Net of impairment of $9.4 million at December 31, 2020 for corporate office leases as the Company determined there is a reduced need for office space based upon the Company's current operations and had abandoned certain leased spaces.</w:t>
      </w:r>
    </w:p>
    <w:p>
      <w:pPr>
        <w:spacing w:after="0" w:line="3" w:lineRule="exact"/>
        <w:rPr>
          <w:rFonts w:ascii="Arial" w:cs="Arial" w:eastAsia="Arial" w:hAnsi="Arial"/>
          <w:sz w:val="16"/>
          <w:szCs w:val="16"/>
          <w:color w:val="auto"/>
          <w:vertAlign w:val="superscript"/>
        </w:rPr>
      </w:pPr>
    </w:p>
    <w:p>
      <w:pPr>
        <w:ind w:left="186" w:hanging="186"/>
        <w:spacing w:after="0"/>
        <w:tabs>
          <w:tab w:leader="none" w:pos="186" w:val="left"/>
        </w:tabs>
        <w:numPr>
          <w:ilvl w:val="0"/>
          <w:numId w:val="98"/>
        </w:numPr>
        <w:rPr>
          <w:rFonts w:ascii="Arial" w:cs="Arial" w:eastAsia="Arial" w:hAnsi="Arial"/>
          <w:sz w:val="16"/>
          <w:szCs w:val="16"/>
          <w:color w:val="auto"/>
          <w:vertAlign w:val="superscript"/>
        </w:rPr>
      </w:pPr>
      <w:r>
        <w:rPr>
          <w:rFonts w:ascii="Arial" w:cs="Arial" w:eastAsia="Arial" w:hAnsi="Arial"/>
          <w:sz w:val="12"/>
          <w:szCs w:val="12"/>
          <w:color w:val="auto"/>
        </w:rPr>
        <w:t>Includes primarily receivables from tenants and is presented net of immaterial allowance for doubtful accounts, where applicable.</w:t>
      </w:r>
    </w:p>
    <w:p>
      <w:pPr>
        <w:spacing w:after="0" w:line="38" w:lineRule="exact"/>
        <w:rPr>
          <w:rFonts w:ascii="Arial" w:cs="Arial" w:eastAsia="Arial" w:hAnsi="Arial"/>
          <w:sz w:val="16"/>
          <w:szCs w:val="16"/>
          <w:color w:val="auto"/>
          <w:vertAlign w:val="superscript"/>
        </w:rPr>
      </w:pPr>
    </w:p>
    <w:p>
      <w:pPr>
        <w:ind w:left="186" w:hanging="186"/>
        <w:spacing w:after="0" w:line="194" w:lineRule="auto"/>
        <w:tabs>
          <w:tab w:leader="none" w:pos="186" w:val="left"/>
        </w:tabs>
        <w:numPr>
          <w:ilvl w:val="0"/>
          <w:numId w:val="98"/>
        </w:numPr>
        <w:rPr>
          <w:rFonts w:ascii="Arial" w:cs="Arial" w:eastAsia="Arial" w:hAnsi="Arial"/>
          <w:sz w:val="16"/>
          <w:szCs w:val="16"/>
          <w:color w:val="auto"/>
          <w:vertAlign w:val="superscript"/>
        </w:rPr>
      </w:pPr>
      <w:r>
        <w:rPr>
          <w:rFonts w:ascii="Arial" w:cs="Arial" w:eastAsia="Arial" w:hAnsi="Arial"/>
          <w:sz w:val="12"/>
          <w:szCs w:val="12"/>
          <w:color w:val="auto"/>
        </w:rPr>
        <w:t>Net of accumulated depreciation of $19.2 million in 2021 and $13.5 million in 2020.</w:t>
      </w: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2" w:name="page143"/>
    <w:bookmarkEnd w:id="142"/>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Accrued and Other Liabilities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summarizes the Company's accrued and other liabilities:</w:t>
      </w:r>
    </w:p>
    <w:p>
      <w:pPr>
        <w:spacing w:after="0" w:line="100"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80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0"/>
                <w:szCs w:val="10"/>
                <w:color w:val="auto"/>
              </w:rPr>
            </w:pPr>
          </w:p>
        </w:tc>
        <w:tc>
          <w:tcPr>
            <w:tcW w:w="1380" w:type="dxa"/>
            <w:vAlign w:val="bottom"/>
          </w:tcPr>
          <w:p>
            <w:pPr>
              <w:jc w:val="right"/>
              <w:ind w:right="231"/>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4"/>
        </w:trPr>
        <w:tc>
          <w:tcPr>
            <w:tcW w:w="8000" w:type="dxa"/>
            <w:vAlign w:val="bottom"/>
            <w:gridSpan w:val="2"/>
            <w:shd w:val="clear" w:color="auto" w:fill="CCEEFF"/>
          </w:tcPr>
          <w:p>
            <w:pPr>
              <w:spacing w:after="0" w:line="174" w:lineRule="exact"/>
              <w:rPr>
                <w:sz w:val="20"/>
                <w:szCs w:val="20"/>
                <w:color w:val="auto"/>
              </w:rPr>
            </w:pPr>
            <w:r>
              <w:rPr>
                <w:rFonts w:ascii="Arial" w:cs="Arial" w:eastAsia="Arial" w:hAnsi="Arial"/>
                <w:sz w:val="14"/>
                <w:szCs w:val="14"/>
                <w:color w:val="auto"/>
              </w:rPr>
              <w:t xml:space="preserve">Deferred income </w:t>
            </w:r>
            <w:r>
              <w:rPr>
                <w:rFonts w:ascii="Arial" w:cs="Arial" w:eastAsia="Arial" w:hAnsi="Arial"/>
                <w:sz w:val="18"/>
                <w:szCs w:val="18"/>
                <w:color w:val="auto"/>
                <w:vertAlign w:val="superscript"/>
              </w:rPr>
              <w:t>(1)</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37,143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23,870</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Interest payable</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14,870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13,653</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103,772</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Current and deferred income tax liability (Note 19)</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99,470</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liability</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342,510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341,561</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Finance lease liability</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142,777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148,974</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64,100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75,666</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Accrued carried interest and incentive fee compensation</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67,258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1,907</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real estate and other taxes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10,523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6,658</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Payable for Vantage SDC expansion capacity (Note 3)</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55,896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121,931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120,683</w:t>
            </w:r>
          </w:p>
        </w:tc>
      </w:tr>
      <w:tr>
        <w:trPr>
          <w:trHeight w:val="185"/>
        </w:trPr>
        <w:tc>
          <w:tcPr>
            <w:tcW w:w="8000" w:type="dxa"/>
            <w:vAlign w:val="bottom"/>
            <w:gridSpan w:val="2"/>
          </w:tcPr>
          <w:p>
            <w:pPr>
              <w:spacing w:after="0"/>
              <w:rPr>
                <w:sz w:val="20"/>
                <w:szCs w:val="20"/>
                <w:color w:val="auto"/>
              </w:rPr>
            </w:pPr>
            <w:r>
              <w:rPr>
                <w:rFonts w:ascii="Arial" w:cs="Arial" w:eastAsia="Arial" w:hAnsi="Arial"/>
                <w:sz w:val="14"/>
                <w:szCs w:val="14"/>
                <w:color w:val="auto"/>
              </w:rPr>
              <w:t>Due to affiliates (Note 18)</w:t>
            </w: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601</w:t>
            </w:r>
          </w:p>
        </w:tc>
      </w:tr>
      <w:tr>
        <w:trPr>
          <w:trHeight w:val="189"/>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69,018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98,068</w:t>
            </w:r>
          </w:p>
        </w:tc>
      </w:tr>
      <w:tr>
        <w:trPr>
          <w:trHeight w:val="176"/>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Accrued and other liabilities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928,042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1,034,883</w:t>
            </w:r>
          </w:p>
        </w:tc>
      </w:tr>
      <w:tr>
        <w:trPr>
          <w:trHeight w:val="20"/>
        </w:trPr>
        <w:tc>
          <w:tcPr>
            <w:tcW w:w="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160" w:hanging="206"/>
        <w:spacing w:after="0" w:line="262" w:lineRule="auto"/>
        <w:tabs>
          <w:tab w:leader="none" w:pos="185" w:val="left"/>
        </w:tabs>
        <w:numPr>
          <w:ilvl w:val="0"/>
          <w:numId w:val="99"/>
        </w:numPr>
        <w:rPr>
          <w:rFonts w:ascii="Arial" w:cs="Arial" w:eastAsia="Arial" w:hAnsi="Arial"/>
          <w:sz w:val="8"/>
          <w:szCs w:val="8"/>
          <w:color w:val="auto"/>
        </w:rPr>
      </w:pPr>
      <w:r>
        <w:rPr>
          <w:rFonts w:ascii="Arial" w:cs="Arial" w:eastAsia="Arial" w:hAnsi="Arial"/>
          <w:sz w:val="12"/>
          <w:szCs w:val="12"/>
          <w:color w:val="auto"/>
        </w:rPr>
        <w:t>Represents primarily prepaid rental income, upfront payment received for data center installation services, and deferred investment management fees. Deferred investment management fees of $6.0 million at December 31, 2021 and $6.1 million at December 31, 2020 are expected to be recognized as fee income over a weighted average period of 3.2 years and 1.9 years, respectively.</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8. Debt</w:t>
      </w:r>
    </w:p>
    <w:p>
      <w:pPr>
        <w:spacing w:after="0" w:line="115" w:lineRule="exact"/>
        <w:rPr>
          <w:sz w:val="20"/>
          <w:szCs w:val="20"/>
          <w:color w:val="auto"/>
        </w:rPr>
      </w:pPr>
    </w:p>
    <w:p>
      <w:pPr>
        <w:ind w:left="6" w:right="160" w:firstLine="351"/>
        <w:spacing w:after="0" w:line="248" w:lineRule="auto"/>
        <w:rPr>
          <w:sz w:val="20"/>
          <w:szCs w:val="20"/>
          <w:color w:val="auto"/>
        </w:rPr>
      </w:pPr>
      <w:r>
        <w:rPr>
          <w:rFonts w:ascii="Arial" w:cs="Arial" w:eastAsia="Arial" w:hAnsi="Arial"/>
          <w:sz w:val="16"/>
          <w:szCs w:val="16"/>
          <w:color w:val="auto"/>
        </w:rPr>
        <w:t>The Company's debt balance is composed of the following components, excluding debt related to assets held for disposition that is expected to be assumed by the counterparty upon disposition, which is included in liabilities related to assets held for disposition (Note 11).</w:t>
      </w:r>
    </w:p>
    <w:p>
      <w:pPr>
        <w:spacing w:after="0" w:line="79"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Securitized Financing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Convertible and</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9"/>
              </w:rPr>
              <w:t>Investment-Level Secured</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1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rPr>
              <w:t>Exchangeable Senior</w:t>
            </w:r>
          </w:p>
        </w:tc>
        <w:tc>
          <w:tcPr>
            <w:tcW w:w="15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restart"/>
          </w:tcPr>
          <w:p>
            <w:pPr>
              <w:jc w:val="right"/>
              <w:ind w:right="412"/>
              <w:spacing w:after="0"/>
              <w:rPr>
                <w:sz w:val="20"/>
                <w:szCs w:val="20"/>
                <w:color w:val="auto"/>
              </w:rPr>
            </w:pPr>
            <w:r>
              <w:rPr>
                <w:rFonts w:ascii="Arial" w:cs="Arial" w:eastAsia="Arial" w:hAnsi="Arial"/>
                <w:sz w:val="11"/>
                <w:szCs w:val="11"/>
                <w:b w:val="1"/>
                <w:bCs w:val="1"/>
                <w:color w:val="auto"/>
              </w:rPr>
              <w:t>Total Debt</w:t>
            </w:r>
          </w:p>
        </w:tc>
        <w:tc>
          <w:tcPr>
            <w:tcW w:w="0" w:type="dxa"/>
            <w:vAlign w:val="bottom"/>
          </w:tcPr>
          <w:p>
            <w:pPr>
              <w:spacing w:after="0"/>
              <w:rPr>
                <w:sz w:val="1"/>
                <w:szCs w:val="1"/>
                <w:color w:val="auto"/>
              </w:rPr>
            </w:pPr>
          </w:p>
        </w:tc>
      </w:tr>
      <w:tr>
        <w:trPr>
          <w:trHeight w:val="117"/>
        </w:trPr>
        <w:tc>
          <w:tcPr>
            <w:tcW w:w="5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Facility</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rPr>
              <w:t>Notes</w:t>
            </w:r>
          </w:p>
        </w:tc>
        <w:tc>
          <w:tcPr>
            <w:tcW w:w="340" w:type="dxa"/>
            <w:vAlign w:val="bottom"/>
          </w:tcPr>
          <w:p>
            <w:pPr>
              <w:spacing w:after="0"/>
              <w:rPr>
                <w:sz w:val="10"/>
                <w:szCs w:val="10"/>
                <w:color w:val="auto"/>
              </w:rPr>
            </w:pPr>
          </w:p>
        </w:tc>
        <w:tc>
          <w:tcPr>
            <w:tcW w:w="1200" w:type="dxa"/>
            <w:vAlign w:val="bottom"/>
            <w:gridSpan w:val="2"/>
          </w:tcPr>
          <w:p>
            <w:pPr>
              <w:jc w:val="center"/>
              <w:ind w:right="440"/>
              <w:spacing w:after="0" w:line="117" w:lineRule="exact"/>
              <w:rPr>
                <w:sz w:val="20"/>
                <w:szCs w:val="20"/>
                <w:color w:val="auto"/>
              </w:rPr>
            </w:pPr>
            <w:r>
              <w:rPr>
                <w:rFonts w:ascii="Arial" w:cs="Arial" w:eastAsia="Arial" w:hAnsi="Arial"/>
                <w:sz w:val="11"/>
                <w:szCs w:val="11"/>
                <w:b w:val="1"/>
                <w:bCs w:val="1"/>
                <w:color w:val="auto"/>
                <w:w w:val="97"/>
              </w:rPr>
              <w:t>Debt</w:t>
            </w: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8"/>
              </w:rPr>
              <w:t>December 31, 2021</w:t>
            </w:r>
          </w:p>
        </w:tc>
        <w:tc>
          <w:tcPr>
            <w:tcW w:w="4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00" w:type="dxa"/>
            <w:vAlign w:val="bottom"/>
            <w:tcBorders>
              <w:bottom w:val="single" w:sz="8" w:color="auto"/>
            </w:tcBorders>
            <w:gridSpan w:val="2"/>
            <w:vMerge w:val="continue"/>
          </w:tcPr>
          <w:p>
            <w:pPr>
              <w:spacing w:after="0"/>
              <w:rPr>
                <w:sz w:val="8"/>
                <w:szCs w:val="8"/>
                <w:color w:val="auto"/>
              </w:rPr>
            </w:pPr>
          </w:p>
        </w:tc>
        <w:tc>
          <w:tcPr>
            <w:tcW w:w="4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Debt at amortized cost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3"/>
          </w:tcPr>
          <w:p>
            <w:pPr>
              <w:ind w:left="120"/>
              <w:spacing w:after="0"/>
              <w:rPr>
                <w:sz w:val="20"/>
                <w:szCs w:val="20"/>
                <w:color w:val="auto"/>
              </w:rPr>
            </w:pPr>
            <w:r>
              <w:rPr>
                <w:rFonts w:ascii="Arial" w:cs="Arial" w:eastAsia="Arial" w:hAnsi="Arial"/>
                <w:sz w:val="14"/>
                <w:szCs w:val="14"/>
                <w:color w:val="auto"/>
              </w:rPr>
              <w:t>Principal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338,739</w:t>
            </w:r>
          </w:p>
        </w:tc>
        <w:tc>
          <w:tcPr>
            <w:tcW w:w="100" w:type="dxa"/>
            <w:vAlign w:val="bottom"/>
          </w:tcPr>
          <w:p>
            <w:pPr>
              <w:spacing w:after="0"/>
              <w:rPr>
                <w:sz w:val="16"/>
                <w:szCs w:val="16"/>
                <w:color w:val="auto"/>
              </w:rPr>
            </w:pPr>
          </w:p>
        </w:tc>
        <w:tc>
          <w:tcPr>
            <w:tcW w:w="34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4,283,983</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4,922,722</w:t>
            </w:r>
          </w:p>
        </w:tc>
        <w:tc>
          <w:tcPr>
            <w:tcW w:w="0" w:type="dxa"/>
            <w:vAlign w:val="bottom"/>
          </w:tcPr>
          <w:p>
            <w:pPr>
              <w:spacing w:after="0"/>
              <w:rPr>
                <w:sz w:val="1"/>
                <w:szCs w:val="1"/>
                <w:color w:val="auto"/>
              </w:rPr>
            </w:pPr>
          </w:p>
        </w:tc>
      </w:tr>
      <w:tr>
        <w:trPr>
          <w:trHeight w:val="189"/>
        </w:trPr>
        <w:tc>
          <w:tcPr>
            <w:tcW w:w="5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Premium (discount), net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14,538</w:t>
            </w: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Deferred financing costs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(76,858)</w:t>
            </w:r>
          </w:p>
        </w:tc>
        <w:tc>
          <w:tcPr>
            <w:tcW w:w="0" w:type="dxa"/>
            <w:vAlign w:val="bottom"/>
          </w:tcPr>
          <w:p>
            <w:pPr>
              <w:spacing w:after="0"/>
              <w:rPr>
                <w:sz w:val="1"/>
                <w:szCs w:val="1"/>
                <w:color w:val="auto"/>
              </w:rPr>
            </w:pPr>
          </w:p>
        </w:tc>
      </w:tr>
      <w:tr>
        <w:trPr>
          <w:trHeight w:val="204"/>
        </w:trPr>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291,394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334,264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4,234,744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4,860,402</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bottom w:val="single" w:sz="8" w:color="CCEEFF"/>
            </w:tcBorders>
            <w:gridSpan w:val="2"/>
            <w:vMerge w:val="restart"/>
          </w:tcPr>
          <w:p>
            <w:pPr>
              <w:spacing w:after="0" w:line="103" w:lineRule="exact"/>
              <w:rPr>
                <w:sz w:val="20"/>
                <w:szCs w:val="20"/>
                <w:color w:val="auto"/>
              </w:rPr>
            </w:pPr>
            <w:r>
              <w:rPr>
                <w:rFonts w:ascii="Arial" w:cs="Arial" w:eastAsia="Arial" w:hAnsi="Arial"/>
                <w:sz w:val="11"/>
                <w:szCs w:val="11"/>
                <w:b w:val="1"/>
                <w:bCs w:val="1"/>
                <w:color w:val="auto"/>
                <w:w w:val="98"/>
              </w:rPr>
              <w:t>December 31, 2020</w:t>
            </w:r>
          </w:p>
        </w:tc>
        <w:tc>
          <w:tcPr>
            <w:tcW w:w="4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000" w:type="dxa"/>
            <w:vAlign w:val="bottom"/>
            <w:tcBorders>
              <w:bottom w:val="single" w:sz="8" w:color="auto"/>
            </w:tcBorders>
            <w:gridSpan w:val="2"/>
            <w:vMerge w:val="continue"/>
          </w:tcPr>
          <w:p>
            <w:pPr>
              <w:spacing w:after="0"/>
              <w:rPr>
                <w:sz w:val="6"/>
                <w:szCs w:val="6"/>
                <w:color w:val="auto"/>
              </w:rPr>
            </w:pPr>
          </w:p>
        </w:tc>
        <w:tc>
          <w:tcPr>
            <w:tcW w:w="4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Debt at amortized cost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3"/>
          </w:tcPr>
          <w:p>
            <w:pPr>
              <w:ind w:left="120"/>
              <w:spacing w:after="0"/>
              <w:rPr>
                <w:sz w:val="20"/>
                <w:szCs w:val="20"/>
                <w:color w:val="auto"/>
              </w:rPr>
            </w:pPr>
            <w:r>
              <w:rPr>
                <w:rFonts w:ascii="Arial" w:cs="Arial" w:eastAsia="Arial" w:hAnsi="Arial"/>
                <w:sz w:val="14"/>
                <w:szCs w:val="14"/>
                <w:color w:val="auto"/>
              </w:rPr>
              <w:t>Principal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531,502</w:t>
            </w:r>
          </w:p>
        </w:tc>
        <w:tc>
          <w:tcPr>
            <w:tcW w:w="100" w:type="dxa"/>
            <w:vAlign w:val="bottom"/>
          </w:tcPr>
          <w:p>
            <w:pPr>
              <w:spacing w:after="0"/>
              <w:rPr>
                <w:sz w:val="16"/>
                <w:szCs w:val="16"/>
                <w:color w:val="auto"/>
              </w:rPr>
            </w:pPr>
          </w:p>
        </w:tc>
        <w:tc>
          <w:tcPr>
            <w:tcW w:w="34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3,424,130</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3,955,632</w:t>
            </w:r>
          </w:p>
        </w:tc>
        <w:tc>
          <w:tcPr>
            <w:tcW w:w="0" w:type="dxa"/>
            <w:vAlign w:val="bottom"/>
          </w:tcPr>
          <w:p>
            <w:pPr>
              <w:spacing w:after="0"/>
              <w:rPr>
                <w:sz w:val="1"/>
                <w:szCs w:val="1"/>
                <w:color w:val="auto"/>
              </w:rPr>
            </w:pPr>
          </w:p>
        </w:tc>
      </w:tr>
      <w:tr>
        <w:trPr>
          <w:trHeight w:val="189"/>
        </w:trPr>
        <w:tc>
          <w:tcPr>
            <w:tcW w:w="5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Premium (discount), net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16,234</w:t>
            </w: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Deferred financing costs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3,410,467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3,930,989</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sectPr>
      </w:pPr>
    </w:p>
    <w:bookmarkStart w:id="143" w:name="page144"/>
    <w:bookmarkEnd w:id="143"/>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summarizes certain key terms of the Company's debt.</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Fixed Rate</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Variable Rate</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100"/>
              <w:spacing w:after="0" w:line="104" w:lineRule="exact"/>
              <w:rPr>
                <w:sz w:val="20"/>
                <w:szCs w:val="20"/>
                <w:color w:val="auto"/>
              </w:rPr>
            </w:pPr>
            <w:r>
              <w:rPr>
                <w:rFonts w:ascii="Arial" w:cs="Arial" w:eastAsia="Arial" w:hAnsi="Arial"/>
                <w:sz w:val="11"/>
                <w:szCs w:val="11"/>
                <w:b w:val="1"/>
                <w:bCs w:val="1"/>
                <w:color w:val="auto"/>
                <w:w w:val="96"/>
              </w:rPr>
              <w:t>Weighted</w:t>
            </w:r>
          </w:p>
        </w:tc>
        <w:tc>
          <w:tcPr>
            <w:tcW w:w="84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4" w:lineRule="exact"/>
              <w:rPr>
                <w:sz w:val="20"/>
                <w:szCs w:val="20"/>
                <w:color w:val="auto"/>
              </w:rPr>
            </w:pPr>
            <w:r>
              <w:rPr>
                <w:rFonts w:ascii="Arial" w:cs="Arial" w:eastAsia="Arial" w:hAnsi="Arial"/>
                <w:sz w:val="11"/>
                <w:szCs w:val="11"/>
                <w:b w:val="1"/>
                <w:bCs w:val="1"/>
                <w:color w:val="auto"/>
              </w:rPr>
              <w:t>Weighted</w:t>
            </w:r>
          </w:p>
        </w:tc>
        <w:tc>
          <w:tcPr>
            <w:tcW w:w="86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6"/>
              </w:rPr>
              <w:t>Weighted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4" w:lineRule="exact"/>
              <w:rPr>
                <w:sz w:val="20"/>
                <w:szCs w:val="20"/>
                <w:color w:val="auto"/>
              </w:rPr>
            </w:pPr>
            <w:r>
              <w:rPr>
                <w:rFonts w:ascii="Arial" w:cs="Arial" w:eastAsia="Arial" w:hAnsi="Arial"/>
                <w:sz w:val="11"/>
                <w:szCs w:val="11"/>
                <w:b w:val="1"/>
                <w:bCs w:val="1"/>
                <w:color w:val="auto"/>
              </w:rPr>
              <w:t>Weighted</w:t>
            </w:r>
          </w:p>
        </w:tc>
        <w:tc>
          <w:tcPr>
            <w:tcW w:w="86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9"/>
                <w:szCs w:val="9"/>
                <w:color w:val="auto"/>
              </w:rPr>
            </w:pPr>
          </w:p>
        </w:tc>
        <w:tc>
          <w:tcPr>
            <w:tcW w:w="102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7"/>
              </w:rPr>
              <w:t>Average Interest</w:t>
            </w:r>
          </w:p>
        </w:tc>
        <w:tc>
          <w:tcPr>
            <w:tcW w:w="94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Average Years</w:t>
            </w:r>
          </w:p>
        </w:tc>
        <w:tc>
          <w:tcPr>
            <w:tcW w:w="140" w:type="dxa"/>
            <w:vAlign w:val="bottom"/>
          </w:tcPr>
          <w:p>
            <w:pPr>
              <w:spacing w:after="0"/>
              <w:rPr>
                <w:sz w:val="9"/>
                <w:szCs w:val="9"/>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Average Interest</w:t>
            </w:r>
          </w:p>
        </w:tc>
        <w:tc>
          <w:tcPr>
            <w:tcW w:w="940" w:type="dxa"/>
            <w:vAlign w:val="bottom"/>
            <w:gridSpan w:val="2"/>
          </w:tcPr>
          <w:p>
            <w:pPr>
              <w:jc w:val="center"/>
              <w:ind w:right="80"/>
              <w:spacing w:after="0" w:line="105" w:lineRule="exact"/>
              <w:rPr>
                <w:sz w:val="20"/>
                <w:szCs w:val="20"/>
                <w:color w:val="auto"/>
              </w:rPr>
            </w:pPr>
            <w:r>
              <w:rPr>
                <w:rFonts w:ascii="Arial" w:cs="Arial" w:eastAsia="Arial" w:hAnsi="Arial"/>
                <w:sz w:val="11"/>
                <w:szCs w:val="11"/>
                <w:b w:val="1"/>
                <w:bCs w:val="1"/>
                <w:color w:val="auto"/>
                <w:w w:val="96"/>
              </w:rPr>
              <w:t>Average Years</w:t>
            </w:r>
          </w:p>
        </w:tc>
        <w:tc>
          <w:tcPr>
            <w:tcW w:w="140" w:type="dxa"/>
            <w:vAlign w:val="bottom"/>
          </w:tcPr>
          <w:p>
            <w:pPr>
              <w:spacing w:after="0"/>
              <w:rPr>
                <w:sz w:val="9"/>
                <w:szCs w:val="9"/>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Average Interest</w:t>
            </w:r>
          </w:p>
        </w:tc>
        <w:tc>
          <w:tcPr>
            <w:tcW w:w="8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6"/>
              </w:rPr>
              <w:t>Average Years</w:t>
            </w:r>
          </w:p>
        </w:tc>
        <w:tc>
          <w:tcPr>
            <w:tcW w:w="0" w:type="dxa"/>
            <w:vAlign w:val="bottom"/>
          </w:tcPr>
          <w:p>
            <w:pPr>
              <w:spacing w:after="0"/>
              <w:rPr>
                <w:sz w:val="1"/>
                <w:szCs w:val="1"/>
                <w:color w:val="auto"/>
              </w:rPr>
            </w:pPr>
          </w:p>
        </w:tc>
      </w:tr>
      <w:tr>
        <w:trPr>
          <w:trHeight w:val="105"/>
        </w:trPr>
        <w:tc>
          <w:tcPr>
            <w:tcW w:w="860" w:type="dxa"/>
            <w:vAlign w:val="bottom"/>
            <w:gridSpan w:val="3"/>
            <w:vMerge w:val="restart"/>
          </w:tcPr>
          <w:p>
            <w:pPr>
              <w:spacing w:after="0"/>
              <w:rPr>
                <w:sz w:val="20"/>
                <w:szCs w:val="20"/>
                <w:color w:val="auto"/>
              </w:rPr>
            </w:pPr>
            <w:r>
              <w:rPr>
                <w:rFonts w:ascii="Arial" w:cs="Arial" w:eastAsia="Arial" w:hAnsi="Arial"/>
                <w:sz w:val="11"/>
                <w:szCs w:val="11"/>
                <w:b w:val="1"/>
                <w:bCs w:val="1"/>
                <w:u w:val="single" w:color="auto"/>
                <w:color w:val="auto"/>
                <w:w w:val="98"/>
              </w:rPr>
              <w:t>(</w:t>
            </w:r>
            <w:r>
              <w:rPr>
                <w:rFonts w:ascii="Arial" w:cs="Arial" w:eastAsia="Arial" w:hAnsi="Arial"/>
                <w:sz w:val="11"/>
                <w:szCs w:val="11"/>
                <w:b w:val="1"/>
                <w:bCs w:val="1"/>
                <w:color w:val="auto"/>
                <w:w w:val="98"/>
              </w:rPr>
              <w:t>$ in thousands)</w:t>
            </w:r>
          </w:p>
        </w:tc>
        <w:tc>
          <w:tcPr>
            <w:tcW w:w="1300" w:type="dxa"/>
            <w:vAlign w:val="bottom"/>
            <w:gridSpan w:val="2"/>
            <w:vMerge w:val="restart"/>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9"/>
              </w:rPr>
              <w:t>Rate (Per</w:t>
            </w:r>
          </w:p>
        </w:tc>
        <w:tc>
          <w:tcPr>
            <w:tcW w:w="94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7"/>
              </w:rPr>
              <w:t>Remaining to</w:t>
            </w: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99"/>
              </w:rPr>
              <w:t>Rate (Per</w:t>
            </w:r>
          </w:p>
        </w:tc>
        <w:tc>
          <w:tcPr>
            <w:tcW w:w="94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7"/>
              </w:rPr>
              <w:t>Remaining to</w:t>
            </w: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80"/>
              <w:spacing w:after="0" w:line="105" w:lineRule="exact"/>
              <w:rPr>
                <w:sz w:val="20"/>
                <w:szCs w:val="20"/>
                <w:color w:val="auto"/>
              </w:rPr>
            </w:pPr>
            <w:r>
              <w:rPr>
                <w:rFonts w:ascii="Arial" w:cs="Arial" w:eastAsia="Arial" w:hAnsi="Arial"/>
                <w:sz w:val="11"/>
                <w:szCs w:val="11"/>
                <w:b w:val="1"/>
                <w:bCs w:val="1"/>
                <w:color w:val="auto"/>
                <w:w w:val="99"/>
              </w:rPr>
              <w:t>Rate (Per</w:t>
            </w:r>
          </w:p>
        </w:tc>
        <w:tc>
          <w:tcPr>
            <w:tcW w:w="8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Remaining to</w:t>
            </w:r>
          </w:p>
        </w:tc>
        <w:tc>
          <w:tcPr>
            <w:tcW w:w="0" w:type="dxa"/>
            <w:vAlign w:val="bottom"/>
          </w:tcPr>
          <w:p>
            <w:pPr>
              <w:spacing w:after="0"/>
              <w:rPr>
                <w:sz w:val="1"/>
                <w:szCs w:val="1"/>
                <w:color w:val="auto"/>
              </w:rPr>
            </w:pPr>
          </w:p>
        </w:tc>
      </w:tr>
      <w:tr>
        <w:trPr>
          <w:trHeight w:val="122"/>
        </w:trPr>
        <w:tc>
          <w:tcPr>
            <w:tcW w:w="860" w:type="dxa"/>
            <w:vAlign w:val="bottom"/>
            <w:tcBorders>
              <w:bottom w:val="single" w:sz="8" w:color="auto"/>
            </w:tcBorders>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19"/>
              <w:spacing w:after="0" w:line="117" w:lineRule="exact"/>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1020" w:type="dxa"/>
            <w:vAlign w:val="bottom"/>
            <w:gridSpan w:val="2"/>
          </w:tcPr>
          <w:p>
            <w:pPr>
              <w:jc w:val="center"/>
              <w:ind w:right="80"/>
              <w:spacing w:after="0" w:line="117" w:lineRule="exact"/>
              <w:rPr>
                <w:sz w:val="20"/>
                <w:szCs w:val="20"/>
                <w:color w:val="auto"/>
              </w:rPr>
            </w:pPr>
            <w:r>
              <w:rPr>
                <w:rFonts w:ascii="Arial" w:cs="Arial" w:eastAsia="Arial" w:hAnsi="Arial"/>
                <w:sz w:val="10"/>
                <w:szCs w:val="10"/>
                <w:b w:val="1"/>
                <w:bCs w:val="1"/>
                <w:color w:val="auto"/>
              </w:rPr>
              <w:t>Annum)</w:t>
            </w:r>
            <w:r>
              <w:rPr>
                <w:rFonts w:ascii="Arial" w:cs="Arial" w:eastAsia="Arial" w:hAnsi="Arial"/>
                <w:sz w:val="13"/>
                <w:szCs w:val="13"/>
                <w:b w:val="1"/>
                <w:bCs w:val="1"/>
                <w:color w:val="auto"/>
                <w:vertAlign w:val="superscript"/>
              </w:rPr>
              <w:t>(1)</w:t>
            </w:r>
          </w:p>
        </w:tc>
        <w:tc>
          <w:tcPr>
            <w:tcW w:w="940" w:type="dxa"/>
            <w:vAlign w:val="bottom"/>
            <w:gridSpan w:val="2"/>
          </w:tcPr>
          <w:p>
            <w:pPr>
              <w:jc w:val="center"/>
              <w:ind w:right="100"/>
              <w:spacing w:after="0" w:line="117" w:lineRule="exact"/>
              <w:rPr>
                <w:sz w:val="20"/>
                <w:szCs w:val="20"/>
                <w:color w:val="auto"/>
              </w:rPr>
            </w:pPr>
            <w:r>
              <w:rPr>
                <w:rFonts w:ascii="Arial" w:cs="Arial" w:eastAsia="Arial" w:hAnsi="Arial"/>
                <w:sz w:val="10"/>
                <w:szCs w:val="10"/>
                <w:b w:val="1"/>
                <w:bCs w:val="1"/>
                <w:color w:val="auto"/>
              </w:rPr>
              <w:t>Maturity</w:t>
            </w:r>
            <w:r>
              <w:rPr>
                <w:rFonts w:ascii="Arial" w:cs="Arial" w:eastAsia="Arial" w:hAnsi="Arial"/>
                <w:sz w:val="13"/>
                <w:szCs w:val="13"/>
                <w:b w:val="1"/>
                <w:bCs w:val="1"/>
                <w:color w:val="auto"/>
                <w:vertAlign w:val="superscript"/>
              </w:rPr>
              <w:t>(2)</w:t>
            </w:r>
          </w:p>
        </w:tc>
        <w:tc>
          <w:tcPr>
            <w:tcW w:w="140" w:type="dxa"/>
            <w:vAlign w:val="bottom"/>
          </w:tcPr>
          <w:p>
            <w:pPr>
              <w:spacing w:after="0"/>
              <w:rPr>
                <w:sz w:val="10"/>
                <w:szCs w:val="10"/>
                <w:color w:val="auto"/>
              </w:rPr>
            </w:pPr>
          </w:p>
        </w:tc>
        <w:tc>
          <w:tcPr>
            <w:tcW w:w="880" w:type="dxa"/>
            <w:vAlign w:val="bottom"/>
          </w:tcPr>
          <w:p>
            <w:pPr>
              <w:jc w:val="right"/>
              <w:ind w:right="219"/>
              <w:spacing w:after="0" w:line="117" w:lineRule="exact"/>
              <w:rPr>
                <w:sz w:val="20"/>
                <w:szCs w:val="20"/>
                <w:color w:val="auto"/>
              </w:rPr>
            </w:pPr>
            <w:r>
              <w:rPr>
                <w:rFonts w:ascii="Arial" w:cs="Arial" w:eastAsia="Arial" w:hAnsi="Arial"/>
                <w:sz w:val="11"/>
                <w:szCs w:val="11"/>
                <w:b w:val="1"/>
                <w:bCs w:val="1"/>
                <w:color w:val="auto"/>
              </w:rPr>
              <w:t>Principal</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17" w:lineRule="exact"/>
              <w:rPr>
                <w:sz w:val="20"/>
                <w:szCs w:val="20"/>
                <w:color w:val="auto"/>
              </w:rPr>
            </w:pPr>
            <w:r>
              <w:rPr>
                <w:rFonts w:ascii="Arial" w:cs="Arial" w:eastAsia="Arial" w:hAnsi="Arial"/>
                <w:sz w:val="10"/>
                <w:szCs w:val="10"/>
                <w:b w:val="1"/>
                <w:bCs w:val="1"/>
                <w:color w:val="auto"/>
              </w:rPr>
              <w:t>Annum)</w:t>
            </w:r>
            <w:r>
              <w:rPr>
                <w:rFonts w:ascii="Arial" w:cs="Arial" w:eastAsia="Arial" w:hAnsi="Arial"/>
                <w:sz w:val="13"/>
                <w:szCs w:val="13"/>
                <w:b w:val="1"/>
                <w:bCs w:val="1"/>
                <w:color w:val="auto"/>
                <w:vertAlign w:val="superscript"/>
              </w:rPr>
              <w:t>(1)</w:t>
            </w:r>
          </w:p>
        </w:tc>
        <w:tc>
          <w:tcPr>
            <w:tcW w:w="940" w:type="dxa"/>
            <w:vAlign w:val="bottom"/>
            <w:gridSpan w:val="2"/>
          </w:tcPr>
          <w:p>
            <w:pPr>
              <w:jc w:val="center"/>
              <w:ind w:right="100"/>
              <w:spacing w:after="0" w:line="117" w:lineRule="exact"/>
              <w:rPr>
                <w:sz w:val="20"/>
                <w:szCs w:val="20"/>
                <w:color w:val="auto"/>
              </w:rPr>
            </w:pPr>
            <w:r>
              <w:rPr>
                <w:rFonts w:ascii="Arial" w:cs="Arial" w:eastAsia="Arial" w:hAnsi="Arial"/>
                <w:sz w:val="10"/>
                <w:szCs w:val="10"/>
                <w:b w:val="1"/>
                <w:bCs w:val="1"/>
                <w:color w:val="auto"/>
              </w:rPr>
              <w:t>Maturity</w:t>
            </w:r>
            <w:r>
              <w:rPr>
                <w:rFonts w:ascii="Arial" w:cs="Arial" w:eastAsia="Arial" w:hAnsi="Arial"/>
                <w:sz w:val="13"/>
                <w:szCs w:val="13"/>
                <w:b w:val="1"/>
                <w:bCs w:val="1"/>
                <w:color w:val="auto"/>
                <w:vertAlign w:val="superscript"/>
              </w:rPr>
              <w:t>(2)</w:t>
            </w:r>
          </w:p>
        </w:tc>
        <w:tc>
          <w:tcPr>
            <w:tcW w:w="140" w:type="dxa"/>
            <w:vAlign w:val="bottom"/>
          </w:tcPr>
          <w:p>
            <w:pPr>
              <w:spacing w:after="0"/>
              <w:rPr>
                <w:sz w:val="10"/>
                <w:szCs w:val="10"/>
                <w:color w:val="auto"/>
              </w:rPr>
            </w:pPr>
          </w:p>
        </w:tc>
        <w:tc>
          <w:tcPr>
            <w:tcW w:w="880" w:type="dxa"/>
            <w:vAlign w:val="bottom"/>
          </w:tcPr>
          <w:p>
            <w:pPr>
              <w:jc w:val="right"/>
              <w:ind w:right="219"/>
              <w:spacing w:after="0" w:line="117" w:lineRule="exact"/>
              <w:rPr>
                <w:sz w:val="20"/>
                <w:szCs w:val="20"/>
                <w:color w:val="auto"/>
              </w:rPr>
            </w:pPr>
            <w:r>
              <w:rPr>
                <w:rFonts w:ascii="Arial" w:cs="Arial" w:eastAsia="Arial" w:hAnsi="Arial"/>
                <w:sz w:val="11"/>
                <w:szCs w:val="11"/>
                <w:b w:val="1"/>
                <w:bCs w:val="1"/>
                <w:color w:val="auto"/>
              </w:rPr>
              <w:t>Principal</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17" w:lineRule="exact"/>
              <w:rPr>
                <w:sz w:val="20"/>
                <w:szCs w:val="20"/>
                <w:color w:val="auto"/>
              </w:rPr>
            </w:pPr>
            <w:r>
              <w:rPr>
                <w:rFonts w:ascii="Arial" w:cs="Arial" w:eastAsia="Arial" w:hAnsi="Arial"/>
                <w:sz w:val="10"/>
                <w:szCs w:val="10"/>
                <w:b w:val="1"/>
                <w:bCs w:val="1"/>
                <w:color w:val="auto"/>
              </w:rPr>
              <w:t>Annum)</w:t>
            </w:r>
            <w:r>
              <w:rPr>
                <w:rFonts w:ascii="Arial" w:cs="Arial" w:eastAsia="Arial" w:hAnsi="Arial"/>
                <w:sz w:val="13"/>
                <w:szCs w:val="13"/>
                <w:b w:val="1"/>
                <w:bCs w:val="1"/>
                <w:color w:val="auto"/>
                <w:vertAlign w:val="superscript"/>
              </w:rPr>
              <w:t>(1)</w:t>
            </w:r>
          </w:p>
        </w:tc>
        <w:tc>
          <w:tcPr>
            <w:tcW w:w="860" w:type="dxa"/>
            <w:vAlign w:val="bottom"/>
          </w:tcPr>
          <w:p>
            <w:pPr>
              <w:jc w:val="center"/>
              <w:spacing w:after="0" w:line="117" w:lineRule="exact"/>
              <w:rPr>
                <w:sz w:val="20"/>
                <w:szCs w:val="20"/>
                <w:color w:val="auto"/>
              </w:rPr>
            </w:pPr>
            <w:r>
              <w:rPr>
                <w:rFonts w:ascii="Arial" w:cs="Arial" w:eastAsia="Arial" w:hAnsi="Arial"/>
                <w:sz w:val="10"/>
                <w:szCs w:val="10"/>
                <w:b w:val="1"/>
                <w:bCs w:val="1"/>
                <w:color w:val="auto"/>
              </w:rPr>
              <w:t>Maturity</w:t>
            </w:r>
            <w:r>
              <w:rPr>
                <w:rFonts w:ascii="Arial" w:cs="Arial" w:eastAsia="Arial" w:hAnsi="Arial"/>
                <w:sz w:val="13"/>
                <w:szCs w:val="13"/>
                <w:b w:val="1"/>
                <w:bCs w:val="1"/>
                <w:color w:val="auto"/>
                <w:vertAlign w:val="superscript"/>
              </w:rPr>
              <w:t>(2)</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spacing w:after="0"/>
              <w:rPr>
                <w:sz w:val="20"/>
                <w:szCs w:val="20"/>
                <w:color w:val="auto"/>
              </w:rPr>
            </w:pPr>
            <w:r>
              <w:rPr>
                <w:rFonts w:ascii="Arial" w:cs="Arial" w:eastAsia="Arial" w:hAnsi="Arial"/>
                <w:sz w:val="11"/>
                <w:szCs w:val="11"/>
                <w:b w:val="1"/>
                <w:bCs w:val="1"/>
                <w:color w:val="auto"/>
                <w:w w:val="98"/>
              </w:rPr>
              <w:t>December 31, 2021</w:t>
            </w:r>
          </w:p>
        </w:tc>
        <w:tc>
          <w:tcPr>
            <w:tcW w:w="1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00" w:type="dxa"/>
            <w:vAlign w:val="bottom"/>
            <w:tcBorders>
              <w:bottom w:val="single" w:sz="8" w:color="auto"/>
            </w:tcBorders>
            <w:gridSpan w:val="4"/>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Recourse</w:t>
            </w:r>
          </w:p>
        </w:tc>
        <w:tc>
          <w:tcPr>
            <w:tcW w:w="1580" w:type="dxa"/>
            <w:vAlign w:val="bottom"/>
            <w:tcBorders>
              <w:bottom w:val="single" w:sz="8" w:color="CCEEFF"/>
            </w:tcBorders>
            <w:gridSpan w:val="4"/>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160" w:type="dxa"/>
            <w:vAlign w:val="bottom"/>
            <w:gridSpan w:val="5"/>
          </w:tcPr>
          <w:p>
            <w:pPr>
              <w:spacing w:after="0" w:line="164" w:lineRule="exact"/>
              <w:rPr>
                <w:sz w:val="20"/>
                <w:szCs w:val="20"/>
                <w:color w:val="auto"/>
              </w:rPr>
            </w:pPr>
            <w:r>
              <w:rPr>
                <w:rFonts w:ascii="Arial" w:cs="Arial" w:eastAsia="Arial" w:hAnsi="Arial"/>
                <w:sz w:val="12"/>
                <w:szCs w:val="12"/>
                <w:color w:val="auto"/>
              </w:rPr>
              <w:t xml:space="preserve">Secured Fund Fee Revenue Notes </w:t>
            </w:r>
            <w:r>
              <w:rPr>
                <w:rFonts w:ascii="Arial" w:cs="Arial" w:eastAsia="Arial" w:hAnsi="Arial"/>
                <w:sz w:val="16"/>
                <w:szCs w:val="16"/>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300,000</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3.93 %</w:t>
            </w:r>
          </w:p>
        </w:tc>
        <w:tc>
          <w:tcPr>
            <w:tcW w:w="100" w:type="dxa"/>
            <w:vAlign w:val="bottom"/>
          </w:tcPr>
          <w:p>
            <w:pPr>
              <w:spacing w:after="0"/>
              <w:rPr>
                <w:sz w:val="14"/>
                <w:szCs w:val="14"/>
                <w:color w:val="auto"/>
              </w:rPr>
            </w:pPr>
          </w:p>
        </w:tc>
        <w:tc>
          <w:tcPr>
            <w:tcW w:w="840" w:type="dxa"/>
            <w:vAlign w:val="bottom"/>
          </w:tcPr>
          <w:p>
            <w:pPr>
              <w:ind w:left="660"/>
              <w:spacing w:after="0"/>
              <w:rPr>
                <w:sz w:val="20"/>
                <w:szCs w:val="20"/>
                <w:color w:val="auto"/>
              </w:rPr>
            </w:pPr>
            <w:r>
              <w:rPr>
                <w:rFonts w:ascii="Arial" w:cs="Arial" w:eastAsia="Arial" w:hAnsi="Arial"/>
                <w:sz w:val="12"/>
                <w:szCs w:val="12"/>
                <w:color w:val="auto"/>
                <w:w w:val="95"/>
              </w:rPr>
              <w:t>4.7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300,000</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3.93 %</w:t>
            </w:r>
          </w:p>
        </w:tc>
        <w:tc>
          <w:tcPr>
            <w:tcW w:w="100" w:type="dxa"/>
            <w:vAlign w:val="bottom"/>
          </w:tcPr>
          <w:p>
            <w:pPr>
              <w:spacing w:after="0"/>
              <w:rPr>
                <w:sz w:val="14"/>
                <w:szCs w:val="14"/>
                <w:color w:val="auto"/>
              </w:rPr>
            </w:pPr>
          </w:p>
        </w:tc>
        <w:tc>
          <w:tcPr>
            <w:tcW w:w="860" w:type="dxa"/>
            <w:vAlign w:val="bottom"/>
          </w:tcPr>
          <w:p>
            <w:pPr>
              <w:ind w:left="66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29"/>
        </w:trPr>
        <w:tc>
          <w:tcPr>
            <w:tcW w:w="216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Convertible and exchangeable senior</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338,739</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5.31 %</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660"/>
              <w:spacing w:after="0"/>
              <w:rPr>
                <w:sz w:val="20"/>
                <w:szCs w:val="20"/>
                <w:color w:val="auto"/>
              </w:rPr>
            </w:pPr>
            <w:r>
              <w:rPr>
                <w:rFonts w:ascii="Arial" w:cs="Arial" w:eastAsia="Arial" w:hAnsi="Arial"/>
                <w:sz w:val="12"/>
                <w:szCs w:val="12"/>
                <w:color w:val="auto"/>
                <w:w w:val="95"/>
              </w:rPr>
              <w:t>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338,739</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5.31 %</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2"/>
        </w:trPr>
        <w:tc>
          <w:tcPr>
            <w:tcW w:w="2160" w:type="dxa"/>
            <w:vAlign w:val="bottom"/>
            <w:gridSpan w:val="5"/>
            <w:shd w:val="clear" w:color="auto" w:fill="CCEEFF"/>
          </w:tcPr>
          <w:p>
            <w:pPr>
              <w:ind w:left="80"/>
              <w:spacing w:after="0" w:line="152" w:lineRule="exact"/>
              <w:rPr>
                <w:sz w:val="20"/>
                <w:szCs w:val="20"/>
                <w:color w:val="auto"/>
              </w:rPr>
            </w:pPr>
            <w:r>
              <w:rPr>
                <w:rFonts w:ascii="Arial" w:cs="Arial" w:eastAsia="Arial" w:hAnsi="Arial"/>
                <w:sz w:val="12"/>
                <w:szCs w:val="12"/>
                <w:color w:val="auto"/>
              </w:rPr>
              <w:t xml:space="preserve">notes </w:t>
            </w:r>
            <w:r>
              <w:rPr>
                <w:rFonts w:ascii="Arial" w:cs="Arial" w:eastAsia="Arial" w:hAnsi="Arial"/>
                <w:sz w:val="16"/>
                <w:szCs w:val="16"/>
                <w:color w:val="auto"/>
                <w:vertAlign w:val="superscript"/>
              </w:rPr>
              <w:t>(4)</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638,739</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638,739</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20" w:type="dxa"/>
            <w:vAlign w:val="bottom"/>
            <w:tcBorders>
              <w:bottom w:val="single" w:sz="8" w:color="auto"/>
            </w:tcBorders>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Non-recourse</w:t>
            </w:r>
          </w:p>
        </w:tc>
        <w:tc>
          <w:tcPr>
            <w:tcW w:w="1340" w:type="dxa"/>
            <w:vAlign w:val="bottom"/>
            <w:tcBorders>
              <w:bottom w:val="single" w:sz="8" w:color="CCEEFF"/>
            </w:tcBorders>
            <w:gridSpan w:val="3"/>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gridSpan w:val="5"/>
          </w:tcPr>
          <w:p>
            <w:pPr>
              <w:spacing w:after="0"/>
              <w:rPr>
                <w:sz w:val="20"/>
                <w:szCs w:val="20"/>
                <w:color w:val="auto"/>
              </w:rPr>
            </w:pPr>
            <w:r>
              <w:rPr>
                <w:rFonts w:ascii="Arial" w:cs="Arial" w:eastAsia="Arial" w:hAnsi="Arial"/>
                <w:sz w:val="12"/>
                <w:szCs w:val="12"/>
                <w:color w:val="auto"/>
              </w:rPr>
              <w:t>Investment-Level Secured Debt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60" w:type="dxa"/>
            <w:vAlign w:val="bottom"/>
            <w:gridSpan w:val="5"/>
            <w:shd w:val="clear" w:color="auto" w:fill="CCEEFF"/>
          </w:tcPr>
          <w:p>
            <w:pPr>
              <w:ind w:left="100"/>
              <w:spacing w:after="0"/>
              <w:rPr>
                <w:sz w:val="20"/>
                <w:szCs w:val="20"/>
                <w:color w:val="auto"/>
              </w:rPr>
            </w:pPr>
            <w:r>
              <w:rPr>
                <w:rFonts w:ascii="Arial" w:cs="Arial" w:eastAsia="Arial" w:hAnsi="Arial"/>
                <w:sz w:val="12"/>
                <w:szCs w:val="12"/>
                <w:color w:val="auto"/>
              </w:rPr>
              <w:t>Digital Operating</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3,646,466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2.44 %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2"/>
                <w:szCs w:val="12"/>
                <w:color w:val="auto"/>
                <w:w w:val="95"/>
              </w:rPr>
              <w:t>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571,017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5.74 %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4,217,483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2.88 %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64"/>
        </w:trPr>
        <w:tc>
          <w:tcPr>
            <w:tcW w:w="2160" w:type="dxa"/>
            <w:vAlign w:val="bottom"/>
            <w:tcBorders>
              <w:bottom w:val="single" w:sz="8" w:color="CCEEFF"/>
            </w:tcBorders>
            <w:gridSpan w:val="5"/>
          </w:tcPr>
          <w:p>
            <w:pPr>
              <w:ind w:left="100"/>
              <w:spacing w:after="0"/>
              <w:rPr>
                <w:sz w:val="20"/>
                <w:szCs w:val="20"/>
                <w:color w:val="auto"/>
              </w:rPr>
            </w:pPr>
            <w:r>
              <w:rPr>
                <w:rFonts w:ascii="Arial" w:cs="Arial" w:eastAsia="Arial" w:hAnsi="Arial"/>
                <w:sz w:val="12"/>
                <w:szCs w:val="12"/>
                <w:color w:val="auto"/>
              </w:rPr>
              <w:t>Other</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N/A</w:t>
            </w:r>
          </w:p>
        </w:tc>
        <w:tc>
          <w:tcPr>
            <w:tcW w:w="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2"/>
                <w:szCs w:val="12"/>
                <w:color w:val="auto"/>
              </w:rPr>
              <w:t>N/A</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66,500</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1.31 %</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66,500</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1.31 %</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ind w:left="66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5"/>
        </w:trPr>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3,646,466</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637,517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4,283,983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4,285,205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637,517</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4,922,722</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00" w:type="dxa"/>
            <w:vAlign w:val="bottom"/>
            <w:tcBorders>
              <w:bottom w:val="single" w:sz="8" w:color="auto"/>
            </w:tcBorders>
            <w:gridSpan w:val="4"/>
            <w:shd w:val="clear" w:color="auto" w:fill="CCEEFF"/>
          </w:tcPr>
          <w:p>
            <w:pPr>
              <w:spacing w:after="0" w:line="81" w:lineRule="exact"/>
              <w:rPr>
                <w:sz w:val="20"/>
                <w:szCs w:val="20"/>
                <w:color w:val="auto"/>
              </w:rPr>
            </w:pPr>
            <w:r>
              <w:rPr>
                <w:rFonts w:ascii="Arial" w:cs="Arial" w:eastAsia="Arial" w:hAnsi="Arial"/>
                <w:sz w:val="9"/>
                <w:szCs w:val="9"/>
                <w:b w:val="1"/>
                <w:bCs w:val="1"/>
                <w:color w:val="auto"/>
              </w:rPr>
              <w:t>December 31, 2020</w:t>
            </w:r>
          </w:p>
        </w:tc>
        <w:tc>
          <w:tcPr>
            <w:tcW w:w="11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Recourse</w:t>
            </w:r>
          </w:p>
        </w:tc>
        <w:tc>
          <w:tcPr>
            <w:tcW w:w="158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6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Convertible and exchangeable senior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531,502</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5.36 %</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660"/>
              <w:spacing w:after="0"/>
              <w:rPr>
                <w:sz w:val="20"/>
                <w:szCs w:val="20"/>
                <w:color w:val="auto"/>
              </w:rPr>
            </w:pPr>
            <w:r>
              <w:rPr>
                <w:rFonts w:ascii="Arial" w:cs="Arial" w:eastAsia="Arial" w:hAnsi="Arial"/>
                <w:sz w:val="12"/>
                <w:szCs w:val="12"/>
                <w:color w:val="auto"/>
                <w:w w:val="95"/>
              </w:rPr>
              <w:t>3.4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531,502</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5.36 %</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2"/>
        </w:trPr>
        <w:tc>
          <w:tcPr>
            <w:tcW w:w="2160" w:type="dxa"/>
            <w:vAlign w:val="bottom"/>
            <w:gridSpan w:val="5"/>
            <w:shd w:val="clear" w:color="auto" w:fill="CCEEFF"/>
          </w:tcPr>
          <w:p>
            <w:pPr>
              <w:ind w:left="80"/>
              <w:spacing w:after="0" w:line="152" w:lineRule="exact"/>
              <w:rPr>
                <w:sz w:val="20"/>
                <w:szCs w:val="20"/>
                <w:color w:val="auto"/>
              </w:rPr>
            </w:pPr>
            <w:r>
              <w:rPr>
                <w:rFonts w:ascii="Arial" w:cs="Arial" w:eastAsia="Arial" w:hAnsi="Arial"/>
                <w:sz w:val="12"/>
                <w:szCs w:val="12"/>
                <w:color w:val="auto"/>
              </w:rPr>
              <w:t xml:space="preserve">notes </w:t>
            </w:r>
            <w:r>
              <w:rPr>
                <w:rFonts w:ascii="Arial" w:cs="Arial" w:eastAsia="Arial" w:hAnsi="Arial"/>
                <w:sz w:val="16"/>
                <w:szCs w:val="16"/>
                <w:color w:val="auto"/>
                <w:vertAlign w:val="superscript"/>
              </w:rPr>
              <w:t>(4)</w:t>
            </w:r>
          </w:p>
        </w:tc>
        <w:tc>
          <w:tcPr>
            <w:tcW w:w="1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160" w:type="dxa"/>
            <w:vAlign w:val="bottom"/>
            <w:tcBorders>
              <w:bottom w:val="single" w:sz="8" w:color="CCEEFF"/>
            </w:tcBorders>
            <w:gridSpan w:val="5"/>
          </w:tcPr>
          <w:p>
            <w:pPr>
              <w:spacing w:after="0" w:line="164" w:lineRule="exact"/>
              <w:rPr>
                <w:sz w:val="20"/>
                <w:szCs w:val="20"/>
                <w:color w:val="auto"/>
              </w:rPr>
            </w:pPr>
            <w:r>
              <w:rPr>
                <w:rFonts w:ascii="Arial" w:cs="Arial" w:eastAsia="Arial" w:hAnsi="Arial"/>
                <w:sz w:val="12"/>
                <w:szCs w:val="12"/>
                <w:color w:val="auto"/>
              </w:rPr>
              <w:t xml:space="preserve">Secured debt </w:t>
            </w:r>
            <w:r>
              <w:rPr>
                <w:rFonts w:ascii="Arial" w:cs="Arial" w:eastAsia="Arial" w:hAnsi="Arial"/>
                <w:sz w:val="16"/>
                <w:szCs w:val="16"/>
                <w:color w:val="auto"/>
                <w:vertAlign w:val="superscript"/>
              </w:rPr>
              <w:t>(5)</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32,815</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5.02 %</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gridSpan w:val="2"/>
          </w:tcPr>
          <w:p>
            <w:pPr>
              <w:ind w:left="6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N/A</w:t>
            </w:r>
          </w:p>
        </w:tc>
        <w:tc>
          <w:tcPr>
            <w:tcW w:w="9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2"/>
                <w:szCs w:val="12"/>
                <w:color w:val="auto"/>
              </w:rPr>
              <w:t>N/A</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32,815</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5.02 %</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ind w:left="6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564,317</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564,317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20" w:type="dxa"/>
            <w:vAlign w:val="bottom"/>
            <w:tcBorders>
              <w:bottom w:val="single" w:sz="8" w:color="auto"/>
            </w:tcBorders>
            <w:gridSpan w:val="2"/>
          </w:tcPr>
          <w:p>
            <w:pPr>
              <w:spacing w:after="0" w:line="121" w:lineRule="exact"/>
              <w:rPr>
                <w:sz w:val="20"/>
                <w:szCs w:val="20"/>
                <w:color w:val="auto"/>
              </w:rPr>
            </w:pPr>
            <w:r>
              <w:rPr>
                <w:rFonts w:ascii="Arial" w:cs="Arial" w:eastAsia="Arial" w:hAnsi="Arial"/>
                <w:sz w:val="12"/>
                <w:szCs w:val="12"/>
                <w:b w:val="1"/>
                <w:bCs w:val="1"/>
                <w:color w:val="auto"/>
              </w:rPr>
              <w:t>Non-recourse</w:t>
            </w:r>
          </w:p>
        </w:tc>
        <w:tc>
          <w:tcPr>
            <w:tcW w:w="1340" w:type="dxa"/>
            <w:vAlign w:val="bottom"/>
            <w:gridSpan w:val="3"/>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Investment-Level Secured Debt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60" w:type="dxa"/>
            <w:vAlign w:val="bottom"/>
            <w:gridSpan w:val="5"/>
          </w:tcPr>
          <w:p>
            <w:pPr>
              <w:ind w:left="100"/>
              <w:spacing w:after="0"/>
              <w:rPr>
                <w:sz w:val="20"/>
                <w:szCs w:val="20"/>
                <w:color w:val="auto"/>
              </w:rPr>
            </w:pPr>
            <w:r>
              <w:rPr>
                <w:rFonts w:ascii="Arial" w:cs="Arial" w:eastAsia="Arial" w:hAnsi="Arial"/>
                <w:sz w:val="12"/>
                <w:szCs w:val="12"/>
                <w:color w:val="auto"/>
              </w:rPr>
              <w:t>Digital Operating</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2,132,852</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2.54 %</w:t>
            </w:r>
          </w:p>
        </w:tc>
        <w:tc>
          <w:tcPr>
            <w:tcW w:w="100" w:type="dxa"/>
            <w:vAlign w:val="bottom"/>
          </w:tcPr>
          <w:p>
            <w:pPr>
              <w:spacing w:after="0"/>
              <w:rPr>
                <w:sz w:val="14"/>
                <w:szCs w:val="14"/>
                <w:color w:val="auto"/>
              </w:rPr>
            </w:pPr>
          </w:p>
        </w:tc>
        <w:tc>
          <w:tcPr>
            <w:tcW w:w="840" w:type="dxa"/>
            <w:vAlign w:val="bottom"/>
          </w:tcPr>
          <w:p>
            <w:pPr>
              <w:ind w:left="660"/>
              <w:spacing w:after="0"/>
              <w:rPr>
                <w:sz w:val="20"/>
                <w:szCs w:val="20"/>
                <w:color w:val="auto"/>
              </w:rPr>
            </w:pPr>
            <w:r>
              <w:rPr>
                <w:rFonts w:ascii="Arial" w:cs="Arial" w:eastAsia="Arial" w:hAnsi="Arial"/>
                <w:sz w:val="12"/>
                <w:szCs w:val="12"/>
                <w:color w:val="auto"/>
                <w:w w:val="95"/>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1,093,991</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5.92 %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3,226,843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3.69 %</w:t>
            </w:r>
          </w:p>
        </w:tc>
        <w:tc>
          <w:tcPr>
            <w:tcW w:w="100" w:type="dxa"/>
            <w:vAlign w:val="bottom"/>
          </w:tcPr>
          <w:p>
            <w:pPr>
              <w:spacing w:after="0"/>
              <w:rPr>
                <w:sz w:val="14"/>
                <w:szCs w:val="14"/>
                <w:color w:val="auto"/>
              </w:rPr>
            </w:pPr>
          </w:p>
        </w:tc>
        <w:tc>
          <w:tcPr>
            <w:tcW w:w="860" w:type="dxa"/>
            <w:vAlign w:val="bottom"/>
          </w:tcPr>
          <w:p>
            <w:pPr>
              <w:ind w:left="66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4"/>
        </w:trPr>
        <w:tc>
          <w:tcPr>
            <w:tcW w:w="2160" w:type="dxa"/>
            <w:vAlign w:val="bottom"/>
            <w:gridSpan w:val="5"/>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N/A</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164,472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3.85 %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164,472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3.85 %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5"/>
        </w:trPr>
        <w:tc>
          <w:tcPr>
            <w:tcW w:w="5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2,132,852</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1,258,463</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3,391,315</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2,697,169</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1,258,463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3,955,632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300" w:hanging="206"/>
        <w:spacing w:after="0" w:line="215" w:lineRule="auto"/>
        <w:tabs>
          <w:tab w:leader="none" w:pos="185" w:val="left"/>
        </w:tabs>
        <w:numPr>
          <w:ilvl w:val="0"/>
          <w:numId w:val="100"/>
        </w:numPr>
        <w:rPr>
          <w:rFonts w:ascii="Arial" w:cs="Arial" w:eastAsia="Arial" w:hAnsi="Arial"/>
          <w:sz w:val="16"/>
          <w:szCs w:val="16"/>
          <w:color w:val="auto"/>
          <w:vertAlign w:val="superscript"/>
        </w:rPr>
      </w:pPr>
      <w:r>
        <w:rPr>
          <w:rFonts w:ascii="Arial" w:cs="Arial" w:eastAsia="Arial" w:hAnsi="Arial"/>
          <w:sz w:val="12"/>
          <w:szCs w:val="12"/>
          <w:color w:val="auto"/>
        </w:rPr>
        <w:t>Calculated based upon outstanding debt principal at balance sheet date. For variable rate debt, weighted average interest rate is calculated based upon the applicable index plus spread at balance sheet date.</w:t>
      </w:r>
    </w:p>
    <w:p>
      <w:pPr>
        <w:spacing w:after="0" w:line="38" w:lineRule="exact"/>
        <w:rPr>
          <w:rFonts w:ascii="Arial" w:cs="Arial" w:eastAsia="Arial" w:hAnsi="Arial"/>
          <w:sz w:val="16"/>
          <w:szCs w:val="16"/>
          <w:color w:val="auto"/>
          <w:vertAlign w:val="superscript"/>
        </w:rPr>
      </w:pPr>
    </w:p>
    <w:p>
      <w:pPr>
        <w:ind w:left="206" w:right="140" w:hanging="206"/>
        <w:spacing w:after="0" w:line="215" w:lineRule="auto"/>
        <w:tabs>
          <w:tab w:leader="none" w:pos="185" w:val="left"/>
        </w:tabs>
        <w:numPr>
          <w:ilvl w:val="0"/>
          <w:numId w:val="100"/>
        </w:numPr>
        <w:rPr>
          <w:rFonts w:ascii="Arial" w:cs="Arial" w:eastAsia="Arial" w:hAnsi="Arial"/>
          <w:sz w:val="16"/>
          <w:szCs w:val="16"/>
          <w:color w:val="auto"/>
          <w:vertAlign w:val="superscript"/>
        </w:rPr>
      </w:pPr>
      <w:r>
        <w:rPr>
          <w:rFonts w:ascii="Arial" w:cs="Arial" w:eastAsia="Arial" w:hAnsi="Arial"/>
          <w:sz w:val="12"/>
          <w:szCs w:val="12"/>
          <w:color w:val="auto"/>
        </w:rPr>
        <w:t>Calculated based upon anticipated repayment dates for notes issued under securitization financing; otherwise based upon initial maturity dates, or extended maturity dates if extension criteria are met for extensions that are at the Company's option.</w:t>
      </w:r>
    </w:p>
    <w:p>
      <w:pPr>
        <w:spacing w:after="0" w:line="38" w:lineRule="exact"/>
        <w:rPr>
          <w:rFonts w:ascii="Arial" w:cs="Arial" w:eastAsia="Arial" w:hAnsi="Arial"/>
          <w:sz w:val="16"/>
          <w:szCs w:val="16"/>
          <w:color w:val="auto"/>
          <w:vertAlign w:val="superscript"/>
        </w:rPr>
      </w:pPr>
    </w:p>
    <w:p>
      <w:pPr>
        <w:ind w:left="206" w:right="40" w:hanging="206"/>
        <w:spacing w:after="0" w:line="215" w:lineRule="auto"/>
        <w:tabs>
          <w:tab w:leader="none" w:pos="233" w:val="left"/>
        </w:tabs>
        <w:numPr>
          <w:ilvl w:val="0"/>
          <w:numId w:val="100"/>
        </w:numPr>
        <w:rPr>
          <w:rFonts w:ascii="Arial" w:cs="Arial" w:eastAsia="Arial" w:hAnsi="Arial"/>
          <w:sz w:val="16"/>
          <w:szCs w:val="16"/>
          <w:color w:val="auto"/>
          <w:vertAlign w:val="superscript"/>
        </w:rPr>
      </w:pPr>
      <w:r>
        <w:rPr>
          <w:rFonts w:ascii="Arial" w:cs="Arial" w:eastAsia="Arial" w:hAnsi="Arial"/>
          <w:sz w:val="12"/>
          <w:szCs w:val="12"/>
          <w:color w:val="auto"/>
        </w:rPr>
        <w:t>Represent obligations of special-purpose subsidiaries of the OP as co-issuers and certain other special-purpose subsidiaries of DBRG, and secured by assets of these special-purpose subsidiaries, as further described below. DBRG and the OP are not guarantors to the debt.</w:t>
      </w:r>
    </w:p>
    <w:p>
      <w:pPr>
        <w:spacing w:after="0" w:line="3" w:lineRule="exact"/>
        <w:rPr>
          <w:rFonts w:ascii="Arial" w:cs="Arial" w:eastAsia="Arial" w:hAnsi="Arial"/>
          <w:sz w:val="16"/>
          <w:szCs w:val="16"/>
          <w:color w:val="auto"/>
          <w:vertAlign w:val="superscript"/>
        </w:rPr>
      </w:pPr>
    </w:p>
    <w:p>
      <w:pPr>
        <w:ind w:left="186" w:hanging="186"/>
        <w:spacing w:after="0"/>
        <w:tabs>
          <w:tab w:leader="none" w:pos="186" w:val="left"/>
        </w:tabs>
        <w:numPr>
          <w:ilvl w:val="0"/>
          <w:numId w:val="100"/>
        </w:numPr>
        <w:rPr>
          <w:rFonts w:ascii="Arial" w:cs="Arial" w:eastAsia="Arial" w:hAnsi="Arial"/>
          <w:sz w:val="16"/>
          <w:szCs w:val="16"/>
          <w:color w:val="auto"/>
          <w:vertAlign w:val="superscript"/>
        </w:rPr>
      </w:pPr>
      <w:r>
        <w:rPr>
          <w:rFonts w:ascii="Arial" w:cs="Arial" w:eastAsia="Arial" w:hAnsi="Arial"/>
          <w:sz w:val="12"/>
          <w:szCs w:val="12"/>
          <w:color w:val="auto"/>
        </w:rPr>
        <w:t>Excludes the 5.375% exchangeable senior notes issued by NRF Holdco as they are classified as held for disposition (Note 11).</w:t>
      </w:r>
    </w:p>
    <w:p>
      <w:pPr>
        <w:spacing w:after="0" w:line="38" w:lineRule="exact"/>
        <w:rPr>
          <w:rFonts w:ascii="Arial" w:cs="Arial" w:eastAsia="Arial" w:hAnsi="Arial"/>
          <w:sz w:val="16"/>
          <w:szCs w:val="16"/>
          <w:color w:val="auto"/>
          <w:vertAlign w:val="superscript"/>
        </w:rPr>
      </w:pPr>
    </w:p>
    <w:p>
      <w:pPr>
        <w:ind w:left="226" w:hanging="226"/>
        <w:spacing w:after="0" w:line="194" w:lineRule="auto"/>
        <w:tabs>
          <w:tab w:leader="none" w:pos="226" w:val="left"/>
        </w:tabs>
        <w:numPr>
          <w:ilvl w:val="0"/>
          <w:numId w:val="100"/>
        </w:numPr>
        <w:rPr>
          <w:rFonts w:ascii="Arial" w:cs="Arial" w:eastAsia="Arial" w:hAnsi="Arial"/>
          <w:sz w:val="16"/>
          <w:szCs w:val="16"/>
          <w:color w:val="auto"/>
          <w:vertAlign w:val="superscript"/>
        </w:rPr>
      </w:pPr>
      <w:r>
        <w:rPr>
          <w:rFonts w:ascii="Arial" w:cs="Arial" w:eastAsia="Arial" w:hAnsi="Arial"/>
          <w:sz w:val="12"/>
          <w:szCs w:val="12"/>
          <w:color w:val="auto"/>
        </w:rPr>
        <w:t>The fixed rate recourse debt was secured by the Company's aircraft and was repaid in January 2021 upon sale of the aircraft.</w:t>
      </w:r>
    </w:p>
    <w:p>
      <w:pPr>
        <w:spacing w:after="0" w:line="109" w:lineRule="exact"/>
        <w:rPr>
          <w:sz w:val="20"/>
          <w:szCs w:val="20"/>
          <w:color w:val="auto"/>
        </w:rPr>
      </w:pPr>
    </w:p>
    <w:p>
      <w:pPr>
        <w:ind w:left="146"/>
        <w:spacing w:after="0"/>
        <w:rPr>
          <w:sz w:val="20"/>
          <w:szCs w:val="20"/>
          <w:color w:val="auto"/>
        </w:rPr>
      </w:pPr>
      <w:r>
        <w:rPr>
          <w:rFonts w:ascii="Arial" w:cs="Arial" w:eastAsia="Arial" w:hAnsi="Arial"/>
          <w:sz w:val="16"/>
          <w:szCs w:val="16"/>
          <w:b w:val="1"/>
          <w:bCs w:val="1"/>
          <w:i w:val="1"/>
          <w:iCs w:val="1"/>
          <w:color w:val="auto"/>
        </w:rPr>
        <w:t>Corporate Credit Facility</w:t>
      </w:r>
    </w:p>
    <w:p>
      <w:pPr>
        <w:spacing w:after="0" w:line="115" w:lineRule="exact"/>
        <w:rPr>
          <w:sz w:val="20"/>
          <w:szCs w:val="20"/>
          <w:color w:val="auto"/>
        </w:rPr>
      </w:pPr>
    </w:p>
    <w:p>
      <w:pPr>
        <w:ind w:left="6" w:right="60" w:firstLine="351"/>
        <w:spacing w:after="0" w:line="248" w:lineRule="auto"/>
        <w:rPr>
          <w:sz w:val="20"/>
          <w:szCs w:val="20"/>
          <w:color w:val="auto"/>
        </w:rPr>
      </w:pPr>
      <w:r>
        <w:rPr>
          <w:rFonts w:ascii="Arial" w:cs="Arial" w:eastAsia="Arial" w:hAnsi="Arial"/>
          <w:sz w:val="16"/>
          <w:szCs w:val="16"/>
          <w:color w:val="auto"/>
        </w:rPr>
        <w:t>In July 2021, the Company repaid the outstanding balance and terminated its corporate credit facility, which was replaced with the Company's new securitized financing facility, as discussed below.</w:t>
      </w:r>
    </w:p>
    <w:p>
      <w:pPr>
        <w:spacing w:after="0" w:line="88" w:lineRule="exact"/>
        <w:rPr>
          <w:sz w:val="20"/>
          <w:szCs w:val="20"/>
          <w:color w:val="auto"/>
        </w:rPr>
      </w:pPr>
    </w:p>
    <w:p>
      <w:pPr>
        <w:ind w:left="6" w:right="20" w:firstLine="351"/>
        <w:spacing w:after="0" w:line="244" w:lineRule="auto"/>
        <w:rPr>
          <w:sz w:val="20"/>
          <w:szCs w:val="20"/>
          <w:color w:val="auto"/>
        </w:rPr>
      </w:pPr>
      <w:r>
        <w:rPr>
          <w:rFonts w:ascii="Arial" w:cs="Arial" w:eastAsia="Arial" w:hAnsi="Arial"/>
          <w:sz w:val="16"/>
          <w:szCs w:val="16"/>
          <w:color w:val="auto"/>
        </w:rPr>
        <w:t>Prior to termination, the credit facility provided revolving commitments of $300 million based upon terms amended in May 2021 ($450 million at December 31, 2020), with the maximum amount available to be drawn limited by a borrowing base of certain investment assets, generally valued based upon a percentage of adjusted net book value or a multiple of base management fee EBITDA (as defined in the credit agreement). Advances under the credit facility accrued interest at a per annum rate equal to, at the Company’s election, either the 1-month London Interbank Offered Rate ("LIBOR") plus a margin of 2.75%, or a base rate determined according to a prime rate or federal funds rate plus a margin of 1.75%. Unused commitments under the credit facility were subject to a commitment fee of 0.35% per annum.</w:t>
      </w:r>
    </w:p>
    <w:p>
      <w:pPr>
        <w:spacing w:after="0" w:line="200" w:lineRule="exact"/>
        <w:rPr>
          <w:sz w:val="20"/>
          <w:szCs w:val="20"/>
          <w:color w:val="auto"/>
        </w:rPr>
      </w:pPr>
    </w:p>
    <w:p>
      <w:pPr>
        <w:spacing w:after="0" w:line="22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4" w:name="page145"/>
    <w:bookmarkEnd w:id="1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Securitized Financing Facility</w:t>
      </w:r>
    </w:p>
    <w:p>
      <w:pPr>
        <w:spacing w:after="0" w:line="115"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In July 2021, special-purpose subsidiaries of the OP (the "Co-Issuers") issued $500 million aggregate principal amount of Series 2021-1 Secured Fund Fee Revenue Notes, composed of: (i) $300 million aggregate principal amount of 3.933% Secured Fund Fee Revenue Notes, Series 2021-1, Class A-2 (the “Class A-2 Notes”); and (ii) up to $200 million Secured Fund Fee Revenue Variable Funding Notes, Series 2021-1, Class A-1 (the “VFN Notes” and, together with the Class A-2 Notes, the “Series 2021-1 Notes”). The VFN Notes allow the Co-Issuers to borrow on a revolving basis. The Series 2021-1 Notes were issued under an Indenture that allows the Co-Issuers to issue additional series of notes in the future, subject to certain conditions.</w:t>
      </w:r>
    </w:p>
    <w:p>
      <w:pPr>
        <w:spacing w:after="0" w:line="90" w:lineRule="exact"/>
        <w:rPr>
          <w:sz w:val="20"/>
          <w:szCs w:val="20"/>
          <w:color w:val="auto"/>
        </w:rPr>
      </w:pPr>
    </w:p>
    <w:p>
      <w:pPr>
        <w:ind w:right="60" w:firstLine="351"/>
        <w:spacing w:after="0" w:line="245" w:lineRule="auto"/>
        <w:rPr>
          <w:sz w:val="20"/>
          <w:szCs w:val="20"/>
          <w:color w:val="auto"/>
        </w:rPr>
      </w:pPr>
      <w:r>
        <w:rPr>
          <w:rFonts w:ascii="Arial" w:cs="Arial" w:eastAsia="Arial" w:hAnsi="Arial"/>
          <w:sz w:val="16"/>
          <w:szCs w:val="16"/>
          <w:color w:val="auto"/>
        </w:rPr>
        <w:t>The Series 2021-1 Notes represent obligations of the Co-Issuers and certain other special-purpose subsidiaries of DBRG, and neither DBRG, the OP nor any of its other subsidiaries are liable for the obligations of the Co-Issuers. The Series 2021-1 Notes are secured by investment management fees earned by subsidiaries of DBRG, equity interests in certain digital portfolio companies and limited partnership interests in certain digital funds managed by subsidiaries of DBRG, as collateral.</w:t>
      </w:r>
    </w:p>
    <w:p>
      <w:pPr>
        <w:spacing w:after="0" w:line="91" w:lineRule="exact"/>
        <w:rPr>
          <w:sz w:val="20"/>
          <w:szCs w:val="20"/>
          <w:color w:val="auto"/>
        </w:rPr>
      </w:pPr>
    </w:p>
    <w:p>
      <w:pPr>
        <w:ind w:right="120" w:firstLine="351"/>
        <w:spacing w:after="0" w:line="244" w:lineRule="auto"/>
        <w:rPr>
          <w:sz w:val="20"/>
          <w:szCs w:val="20"/>
          <w:color w:val="auto"/>
        </w:rPr>
      </w:pPr>
      <w:r>
        <w:rPr>
          <w:rFonts w:ascii="Arial" w:cs="Arial" w:eastAsia="Arial" w:hAnsi="Arial"/>
          <w:sz w:val="16"/>
          <w:szCs w:val="16"/>
          <w:color w:val="auto"/>
        </w:rPr>
        <w:t>The Class A-2 Notes bear interest at a rate of 3.933% per annum, payable quarterly. The VFN Notes bear interest generally based upon 3-month LIBOR (or an alternate benchmark as set forth in the purchase agreement of the VFN Notes) plus 3%. Unused amounts under the VFN Notes facility is subject to a commitment fee of 0.5% per annum. The final maturity date of the Class A-2 Notes is in September 2051, with an anticipated repayment date in September 2026. The anticipated repayment date of the VFN Notes is in September 2024, subject to two one-year extensions at the option of the Co-Issuers. If the Series 2021-1 Notes are not repaid or refinanced prior to their anticipated repayment date, or such date is not extended for the VFN Notes, interest will accrue at a higher rate and the Series 2021-1 Notes will begin to amortize quarterly.</w:t>
      </w:r>
    </w:p>
    <w:p>
      <w:pPr>
        <w:spacing w:after="0" w:line="94"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The Series 2021-1 Notes may be optionally prepaid, in whole or in part, prior to their anticipated repayment dates. There is no prepayment penalty on the VFN Notes. However, prepayment of the Class A-2 Notes will be subject to additional consideration based upon the difference between the present value of future payments of principal and interest and the outstanding principal of such Class A-2 Note that is being prepaid; or 1% of the outstanding principal of such Class A-2 Note that is being prepaid in connection with a disposition of collateral.</w:t>
      </w:r>
    </w:p>
    <w:p>
      <w:pPr>
        <w:spacing w:after="0" w:line="91" w:lineRule="exact"/>
        <w:rPr>
          <w:sz w:val="20"/>
          <w:szCs w:val="20"/>
          <w:color w:val="auto"/>
        </w:rPr>
      </w:pPr>
    </w:p>
    <w:p>
      <w:pPr>
        <w:ind w:right="180" w:firstLine="351"/>
        <w:spacing w:after="0" w:line="246" w:lineRule="auto"/>
        <w:rPr>
          <w:sz w:val="20"/>
          <w:szCs w:val="20"/>
          <w:color w:val="auto"/>
        </w:rPr>
      </w:pPr>
      <w:r>
        <w:rPr>
          <w:rFonts w:ascii="Arial" w:cs="Arial" w:eastAsia="Arial" w:hAnsi="Arial"/>
          <w:sz w:val="16"/>
          <w:szCs w:val="16"/>
          <w:color w:val="auto"/>
        </w:rPr>
        <w:t>The Indenture of the Series 2021-1 Notes contains various covenants, including financial covenants that require the maintenance of minimum thresholds for debt service coverage ratio and maximum loan-to-value ratio, as defined. As of the date of this filing, the Co-Issuers are in compliance with all of the financial covenants.</w:t>
      </w:r>
    </w:p>
    <w:p>
      <w:pPr>
        <w:spacing w:after="0" w:line="89" w:lineRule="exact"/>
        <w:rPr>
          <w:sz w:val="20"/>
          <w:szCs w:val="20"/>
          <w:color w:val="auto"/>
        </w:rPr>
      </w:pPr>
    </w:p>
    <w:p>
      <w:pPr>
        <w:ind w:right="140" w:firstLine="351"/>
        <w:spacing w:after="0" w:line="245" w:lineRule="auto"/>
        <w:rPr>
          <w:sz w:val="20"/>
          <w:szCs w:val="20"/>
          <w:color w:val="auto"/>
        </w:rPr>
      </w:pPr>
      <w:r>
        <w:rPr>
          <w:rFonts w:ascii="Arial" w:cs="Arial" w:eastAsia="Arial" w:hAnsi="Arial"/>
          <w:sz w:val="16"/>
          <w:szCs w:val="16"/>
          <w:color w:val="auto"/>
        </w:rPr>
        <w:t>Issuance of the Class A-2 Notes generated proceeds of $285.1 million, net of offering expenses and $5.4 million of interest reserve deposits. The Series 2021-1 Notes will provide funding for acquisition of digital infrastructure investments, satisfying commitments to sponsored funds, redemption or repayment of the Company's other higher cost corporate securities, and/or general corporate utilization. As of the date of this filing, the full $200 million under the VFN Notes is available to be drawn.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5" w:name="page146"/>
    <w:bookmarkEnd w:id="145"/>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346"/>
        <w:spacing w:after="0"/>
        <w:rPr>
          <w:sz w:val="20"/>
          <w:szCs w:val="20"/>
          <w:color w:val="auto"/>
        </w:rPr>
      </w:pPr>
      <w:r>
        <w:rPr>
          <w:rFonts w:ascii="Arial" w:cs="Arial" w:eastAsia="Arial" w:hAnsi="Arial"/>
          <w:sz w:val="16"/>
          <w:szCs w:val="16"/>
          <w:b w:val="1"/>
          <w:bCs w:val="1"/>
          <w:i w:val="1"/>
          <w:iCs w:val="1"/>
          <w:color w:val="auto"/>
        </w:rPr>
        <w:t>Convertible and Exchangeable Senior Notes</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4"/>
          <w:szCs w:val="14"/>
          <w:color w:val="auto"/>
        </w:rPr>
        <w:t>Convertible and exchangeable senior notes (collectively, the senior notes) are composed of the following, each representing senior unsecured obligations 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DigitalBridge Group, Inc. or a subsidiary as the respective issuers of the senior notes:</w:t>
      </w:r>
    </w:p>
    <w:p>
      <w:pPr>
        <w:spacing w:after="0" w:line="200" w:lineRule="exact"/>
        <w:rPr>
          <w:sz w:val="20"/>
          <w:szCs w:val="20"/>
          <w:color w:val="auto"/>
        </w:rPr>
      </w:pPr>
    </w:p>
    <w:p>
      <w:pPr>
        <w:spacing w:after="0" w:line="266" w:lineRule="exact"/>
        <w:rPr>
          <w:sz w:val="20"/>
          <w:szCs w:val="20"/>
          <w:color w:val="auto"/>
        </w:rPr>
      </w:pPr>
    </w:p>
    <w:tbl>
      <w:tblPr>
        <w:tblLayout w:type="fixed"/>
        <w:tblInd w:w="6" w:type="dxa"/>
        <w:tblCellMar>
          <w:top w:w="0" w:type="dxa"/>
          <w:left w:w="0" w:type="dxa"/>
          <w:bottom w:w="0" w:type="dxa"/>
          <w:right w:w="0" w:type="dxa"/>
        </w:tblCellMar>
      </w:tblPr>
      <w:tr>
        <w:trPr>
          <w:trHeight w:val="146"/>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Conversion or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Conversion or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Outstanding Principal</w:t>
            </w:r>
          </w:p>
        </w:tc>
        <w:tc>
          <w:tcPr>
            <w:tcW w:w="0" w:type="dxa"/>
            <w:vAlign w:val="bottom"/>
          </w:tcPr>
          <w:p>
            <w:pPr>
              <w:spacing w:after="0"/>
              <w:rPr>
                <w:sz w:val="1"/>
                <w:szCs w:val="1"/>
                <w:color w:val="auto"/>
              </w:rPr>
            </w:pPr>
          </w:p>
        </w:tc>
      </w:tr>
      <w:tr>
        <w:trPr>
          <w:trHeight w:val="47"/>
        </w:trPr>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tcPr>
          <w:p>
            <w:pPr>
              <w:jc w:val="center"/>
              <w:ind w:right="80"/>
              <w:spacing w:after="0" w:line="47" w:lineRule="exact"/>
              <w:rPr>
                <w:sz w:val="20"/>
                <w:szCs w:val="20"/>
                <w:color w:val="auto"/>
              </w:rPr>
            </w:pPr>
            <w:r>
              <w:rPr>
                <w:rFonts w:ascii="Arial" w:cs="Arial" w:eastAsia="Arial" w:hAnsi="Arial"/>
                <w:sz w:val="5"/>
                <w:szCs w:val="5"/>
                <w:b w:val="1"/>
                <w:bCs w:val="1"/>
                <w:color w:val="auto"/>
              </w:rPr>
              <w:t>Exchange Price</w:t>
            </w:r>
          </w:p>
        </w:tc>
        <w:tc>
          <w:tcPr>
            <w:tcW w:w="1120" w:type="dxa"/>
            <w:vAlign w:val="bottom"/>
            <w:gridSpan w:val="2"/>
          </w:tcPr>
          <w:p>
            <w:pPr>
              <w:jc w:val="center"/>
              <w:ind w:right="100"/>
              <w:spacing w:after="0" w:line="47" w:lineRule="exact"/>
              <w:rPr>
                <w:sz w:val="20"/>
                <w:szCs w:val="20"/>
                <w:color w:val="auto"/>
              </w:rPr>
            </w:pPr>
            <w:r>
              <w:rPr>
                <w:rFonts w:ascii="Arial" w:cs="Arial" w:eastAsia="Arial" w:hAnsi="Arial"/>
                <w:sz w:val="5"/>
                <w:szCs w:val="5"/>
                <w:b w:val="1"/>
                <w:bCs w:val="1"/>
                <w:color w:val="auto"/>
              </w:rPr>
              <w:t>Conversion or</w:t>
            </w:r>
          </w:p>
        </w:tc>
        <w:tc>
          <w:tcPr>
            <w:tcW w:w="1000" w:type="dxa"/>
            <w:vAlign w:val="bottom"/>
            <w:gridSpan w:val="2"/>
          </w:tcPr>
          <w:p>
            <w:pPr>
              <w:jc w:val="center"/>
              <w:ind w:right="80"/>
              <w:spacing w:after="0" w:line="47" w:lineRule="exact"/>
              <w:rPr>
                <w:sz w:val="20"/>
                <w:szCs w:val="20"/>
                <w:color w:val="auto"/>
              </w:rPr>
            </w:pPr>
            <w:r>
              <w:rPr>
                <w:rFonts w:ascii="Arial" w:cs="Arial" w:eastAsia="Arial" w:hAnsi="Arial"/>
                <w:sz w:val="5"/>
                <w:szCs w:val="5"/>
                <w:b w:val="1"/>
                <w:bCs w:val="1"/>
                <w:color w:val="auto"/>
              </w:rPr>
              <w:t>Exchange</w:t>
            </w:r>
          </w:p>
        </w:tc>
        <w:tc>
          <w:tcPr>
            <w:tcW w:w="1020" w:type="dxa"/>
            <w:vAlign w:val="bottom"/>
            <w:gridSpan w:val="2"/>
          </w:tcPr>
          <w:p>
            <w:pPr>
              <w:jc w:val="center"/>
              <w:ind w:right="100"/>
              <w:spacing w:after="0" w:line="47" w:lineRule="exact"/>
              <w:rPr>
                <w:sz w:val="20"/>
                <w:szCs w:val="20"/>
                <w:color w:val="auto"/>
              </w:rPr>
            </w:pPr>
            <w:r>
              <w:rPr>
                <w:rFonts w:ascii="Arial" w:cs="Arial" w:eastAsia="Arial" w:hAnsi="Arial"/>
                <w:sz w:val="5"/>
                <w:szCs w:val="5"/>
                <w:b w:val="1"/>
                <w:bCs w:val="1"/>
                <w:color w:val="auto"/>
              </w:rPr>
              <w:t>Earliest</w:t>
            </w: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140" w:type="dxa"/>
            <w:vAlign w:val="bottom"/>
            <w:gridSpan w:val="2"/>
            <w:vMerge w:val="restart"/>
          </w:tcPr>
          <w:p>
            <w:pPr>
              <w:ind w:left="780"/>
              <w:spacing w:after="0"/>
              <w:rPr>
                <w:sz w:val="20"/>
                <w:szCs w:val="20"/>
                <w:color w:val="auto"/>
              </w:rPr>
            </w:pPr>
            <w:r>
              <w:rPr>
                <w:rFonts w:ascii="Arial" w:cs="Arial" w:eastAsia="Arial" w:hAnsi="Arial"/>
                <w:sz w:val="11"/>
                <w:szCs w:val="11"/>
                <w:b w:val="1"/>
                <w:bCs w:val="1"/>
                <w:color w:val="auto"/>
              </w:rPr>
              <w:t>Description</w:t>
            </w:r>
          </w:p>
        </w:tc>
        <w:tc>
          <w:tcPr>
            <w:tcW w:w="10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9"/>
              </w:rPr>
              <w:t>Issuance Date</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Due Date</w:t>
            </w:r>
          </w:p>
        </w:tc>
        <w:tc>
          <w:tcPr>
            <w:tcW w:w="104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99"/>
              </w:rPr>
              <w:t>Interest Rate (per</w:t>
            </w:r>
          </w:p>
        </w:tc>
        <w:tc>
          <w:tcPr>
            <w:tcW w:w="100" w:type="dxa"/>
            <w:vAlign w:val="bottom"/>
          </w:tcPr>
          <w:p>
            <w:pPr>
              <w:spacing w:after="0"/>
              <w:rPr>
                <w:sz w:val="9"/>
                <w:szCs w:val="9"/>
                <w:color w:val="auto"/>
              </w:rPr>
            </w:pPr>
          </w:p>
        </w:tc>
        <w:tc>
          <w:tcPr>
            <w:tcW w:w="92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8"/>
              </w:rPr>
              <w:t>(per share of</w:t>
            </w:r>
          </w:p>
        </w:tc>
        <w:tc>
          <w:tcPr>
            <w:tcW w:w="112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99"/>
              </w:rPr>
              <w:t>Exchange Ratio</w:t>
            </w:r>
          </w:p>
        </w:tc>
        <w:tc>
          <w:tcPr>
            <w:tcW w:w="100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rPr>
              <w:t>Shares (in</w:t>
            </w:r>
          </w:p>
        </w:tc>
        <w:tc>
          <w:tcPr>
            <w:tcW w:w="102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rPr>
              <w:t>Redemption</w:t>
            </w:r>
          </w:p>
        </w:tc>
        <w:tc>
          <w:tcPr>
            <w:tcW w:w="80" w:type="dxa"/>
            <w:vAlign w:val="bottom"/>
          </w:tcPr>
          <w:p>
            <w:pPr>
              <w:spacing w:after="0"/>
              <w:rPr>
                <w:sz w:val="9"/>
                <w:szCs w:val="9"/>
                <w:color w:val="auto"/>
              </w:rPr>
            </w:pPr>
          </w:p>
        </w:tc>
        <w:tc>
          <w:tcPr>
            <w:tcW w:w="94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9"/>
                <w:szCs w:val="9"/>
                <w:color w:val="auto"/>
              </w:rPr>
            </w:pPr>
          </w:p>
        </w:tc>
        <w:tc>
          <w:tcPr>
            <w:tcW w:w="840" w:type="dxa"/>
            <w:vAlign w:val="bottom"/>
          </w:tcPr>
          <w:p>
            <w:pPr>
              <w:jc w:val="right"/>
              <w:ind w:right="60"/>
              <w:spacing w:after="0" w:line="109" w:lineRule="exact"/>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52"/>
        </w:trPr>
        <w:tc>
          <w:tcPr>
            <w:tcW w:w="21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annum)</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common stock)</w:t>
            </w:r>
          </w:p>
        </w:tc>
        <w:tc>
          <w:tcPr>
            <w:tcW w:w="1120" w:type="dxa"/>
            <w:vAlign w:val="bottom"/>
            <w:gridSpan w:val="2"/>
          </w:tcPr>
          <w:p>
            <w:pPr>
              <w:jc w:val="center"/>
              <w:ind w:right="120"/>
              <w:spacing w:after="0" w:line="152" w:lineRule="exact"/>
              <w:rPr>
                <w:sz w:val="20"/>
                <w:szCs w:val="20"/>
                <w:color w:val="auto"/>
              </w:rPr>
            </w:pPr>
            <w:r>
              <w:rPr>
                <w:rFonts w:ascii="Arial" w:cs="Arial" w:eastAsia="Arial" w:hAnsi="Arial"/>
                <w:sz w:val="11"/>
                <w:szCs w:val="11"/>
                <w:b w:val="1"/>
                <w:bCs w:val="1"/>
                <w:color w:val="auto"/>
                <w:w w:val="95"/>
              </w:rPr>
              <w:t>(in shares)</w:t>
            </w:r>
            <w:r>
              <w:rPr>
                <w:rFonts w:ascii="Arial" w:cs="Arial" w:eastAsia="Arial" w:hAnsi="Arial"/>
                <w:sz w:val="14"/>
                <w:szCs w:val="14"/>
                <w:b w:val="1"/>
                <w:bCs w:val="1"/>
                <w:color w:val="auto"/>
                <w:w w:val="95"/>
                <w:vertAlign w:val="superscript"/>
              </w:rPr>
              <w:t>(1)</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thousands)</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3"/>
                <w:szCs w:val="13"/>
                <w:color w:val="auto"/>
              </w:rPr>
            </w:pPr>
          </w:p>
        </w:tc>
        <w:tc>
          <w:tcPr>
            <w:tcW w:w="840" w:type="dxa"/>
            <w:vAlign w:val="bottom"/>
          </w:tcPr>
          <w:p>
            <w:pPr>
              <w:jc w:val="right"/>
              <w:ind w:right="28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8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1940" w:type="dxa"/>
            <w:vAlign w:val="bottom"/>
            <w:tcBorders>
              <w:top w:val="single" w:sz="8" w:color="auto"/>
              <w:bottom w:val="single" w:sz="8" w:color="auto"/>
            </w:tcBorders>
            <w:shd w:val="clear" w:color="auto" w:fill="CCEEFF"/>
          </w:tcPr>
          <w:p>
            <w:pPr>
              <w:spacing w:after="0" w:line="132" w:lineRule="exact"/>
              <w:rPr>
                <w:sz w:val="20"/>
                <w:szCs w:val="20"/>
                <w:color w:val="auto"/>
              </w:rPr>
            </w:pPr>
            <w:r>
              <w:rPr>
                <w:rFonts w:ascii="Arial" w:cs="Arial" w:eastAsia="Arial" w:hAnsi="Arial"/>
                <w:sz w:val="12"/>
                <w:szCs w:val="12"/>
                <w:color w:val="auto"/>
              </w:rPr>
              <w:t>Issued by DigitalBridge Group, Inc.</w:t>
            </w: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40" w:type="dxa"/>
            <w:vAlign w:val="bottom"/>
            <w:gridSpan w:val="2"/>
          </w:tcPr>
          <w:p>
            <w:pPr>
              <w:spacing w:after="0"/>
              <w:rPr>
                <w:sz w:val="20"/>
                <w:szCs w:val="20"/>
                <w:color w:val="auto"/>
              </w:rPr>
            </w:pPr>
            <w:r>
              <w:rPr>
                <w:rFonts w:ascii="Arial" w:cs="Arial" w:eastAsia="Arial" w:hAnsi="Arial"/>
                <w:sz w:val="12"/>
                <w:szCs w:val="12"/>
                <w:color w:val="auto"/>
              </w:rPr>
              <w:t>5.00% Convertible Senior Notes</w:t>
            </w:r>
          </w:p>
        </w:tc>
        <w:tc>
          <w:tcPr>
            <w:tcW w:w="1080" w:type="dxa"/>
            <w:vAlign w:val="bottom"/>
            <w:gridSpan w:val="3"/>
          </w:tcPr>
          <w:p>
            <w:pPr>
              <w:jc w:val="center"/>
              <w:spacing w:after="0"/>
              <w:rPr>
                <w:sz w:val="20"/>
                <w:szCs w:val="20"/>
                <w:color w:val="auto"/>
              </w:rPr>
            </w:pPr>
            <w:r>
              <w:rPr>
                <w:rFonts w:ascii="Arial" w:cs="Arial" w:eastAsia="Arial" w:hAnsi="Arial"/>
                <w:sz w:val="12"/>
                <w:szCs w:val="12"/>
                <w:color w:val="auto"/>
              </w:rPr>
              <w:t>April 2013</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color w:val="auto"/>
              </w:rPr>
              <w:t>April 15, 2023</w:t>
            </w:r>
          </w:p>
        </w:tc>
        <w:tc>
          <w:tcPr>
            <w:tcW w:w="940" w:type="dxa"/>
            <w:vAlign w:val="bottom"/>
          </w:tcPr>
          <w:p>
            <w:pPr>
              <w:jc w:val="right"/>
              <w:spacing w:after="0"/>
              <w:rPr>
                <w:sz w:val="20"/>
                <w:szCs w:val="20"/>
                <w:color w:val="auto"/>
              </w:rPr>
            </w:pPr>
            <w:r>
              <w:rPr>
                <w:rFonts w:ascii="Arial" w:cs="Arial" w:eastAsia="Arial" w:hAnsi="Arial"/>
                <w:sz w:val="12"/>
                <w:szCs w:val="12"/>
                <w:color w:val="auto"/>
              </w:rPr>
              <w:t>5.00 %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15.76</w:t>
            </w:r>
          </w:p>
        </w:tc>
        <w:tc>
          <w:tcPr>
            <w:tcW w:w="1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2"/>
                <w:szCs w:val="12"/>
                <w:color w:val="auto"/>
              </w:rPr>
              <w:t>63.4700</w:t>
            </w:r>
          </w:p>
        </w:tc>
        <w:tc>
          <w:tcPr>
            <w:tcW w:w="1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Arial" w:cs="Arial" w:eastAsia="Arial" w:hAnsi="Arial"/>
                <w:sz w:val="12"/>
                <w:szCs w:val="12"/>
                <w:color w:val="auto"/>
              </w:rPr>
              <w:t>12,694</w:t>
            </w:r>
          </w:p>
        </w:tc>
        <w:tc>
          <w:tcPr>
            <w:tcW w:w="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rPr>
              <w:t>April 22, 2020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33"/>
        </w:trPr>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3.875% Convertible Senior Notes</w:t>
            </w:r>
          </w:p>
        </w:tc>
        <w:tc>
          <w:tcPr>
            <w:tcW w:w="1080" w:type="dxa"/>
            <w:vAlign w:val="bottom"/>
            <w:gridSpan w:val="3"/>
            <w:shd w:val="clear" w:color="auto" w:fill="CCEEFF"/>
          </w:tcPr>
          <w:p>
            <w:pPr>
              <w:jc w:val="center"/>
              <w:spacing w:after="0" w:line="133" w:lineRule="exact"/>
              <w:rPr>
                <w:sz w:val="20"/>
                <w:szCs w:val="20"/>
                <w:color w:val="auto"/>
              </w:rPr>
            </w:pPr>
            <w:r>
              <w:rPr>
                <w:rFonts w:ascii="Arial" w:cs="Arial" w:eastAsia="Arial" w:hAnsi="Arial"/>
                <w:sz w:val="12"/>
                <w:szCs w:val="12"/>
                <w:color w:val="auto"/>
              </w:rPr>
              <w:t>January and</w:t>
            </w:r>
          </w:p>
        </w:tc>
        <w:tc>
          <w:tcPr>
            <w:tcW w:w="900" w:type="dxa"/>
            <w:vAlign w:val="bottom"/>
            <w:gridSpan w:val="2"/>
            <w:shd w:val="clear" w:color="auto" w:fill="CCEEFF"/>
          </w:tcPr>
          <w:p>
            <w:pPr>
              <w:jc w:val="center"/>
              <w:ind w:right="80"/>
              <w:spacing w:after="0" w:line="133" w:lineRule="exact"/>
              <w:rPr>
                <w:sz w:val="20"/>
                <w:szCs w:val="20"/>
                <w:color w:val="auto"/>
              </w:rPr>
            </w:pPr>
            <w:r>
              <w:rPr>
                <w:rFonts w:ascii="Arial" w:cs="Arial" w:eastAsia="Arial" w:hAnsi="Arial"/>
                <w:sz w:val="12"/>
                <w:szCs w:val="12"/>
                <w:color w:val="auto"/>
              </w:rPr>
              <w:t>January 15,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3.875 %</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16.57</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6"/>
              <w:spacing w:after="0"/>
              <w:rPr>
                <w:sz w:val="20"/>
                <w:szCs w:val="20"/>
                <w:color w:val="auto"/>
              </w:rPr>
            </w:pPr>
            <w:r>
              <w:rPr>
                <w:rFonts w:ascii="Arial" w:cs="Arial" w:eastAsia="Arial" w:hAnsi="Arial"/>
                <w:sz w:val="12"/>
                <w:szCs w:val="12"/>
                <w:color w:val="auto"/>
              </w:rPr>
              <w:t>60.3431</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2"/>
                <w:szCs w:val="12"/>
                <w:color w:val="auto"/>
              </w:rPr>
              <w:t>1,901</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2"/>
                <w:szCs w:val="12"/>
                <w:color w:val="auto"/>
              </w:rPr>
              <w:t>January 22,</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31,502</w:t>
            </w:r>
          </w:p>
        </w:tc>
        <w:tc>
          <w:tcPr>
            <w:tcW w:w="0" w:type="dxa"/>
            <w:vAlign w:val="bottom"/>
          </w:tcPr>
          <w:p>
            <w:pPr>
              <w:spacing w:after="0"/>
              <w:rPr>
                <w:sz w:val="1"/>
                <w:szCs w:val="1"/>
                <w:color w:val="auto"/>
              </w:rPr>
            </w:pPr>
          </w:p>
        </w:tc>
      </w:tr>
      <w:tr>
        <w:trPr>
          <w:trHeight w:val="128"/>
        </w:trPr>
        <w:tc>
          <w:tcPr>
            <w:tcW w:w="2140" w:type="dxa"/>
            <w:vAlign w:val="bottom"/>
            <w:tcBorders>
              <w:bottom w:val="single" w:sz="8" w:color="CCEEFF"/>
            </w:tcBorders>
            <w:gridSpan w:val="2"/>
            <w:vMerge w:val="continue"/>
            <w:shd w:val="clear" w:color="auto" w:fill="CCEEFF"/>
          </w:tcPr>
          <w:p>
            <w:pPr>
              <w:spacing w:after="0"/>
              <w:rPr>
                <w:sz w:val="11"/>
                <w:szCs w:val="11"/>
                <w:color w:val="auto"/>
              </w:rPr>
            </w:pPr>
          </w:p>
        </w:tc>
        <w:tc>
          <w:tcPr>
            <w:tcW w:w="1080" w:type="dxa"/>
            <w:vAlign w:val="bottom"/>
            <w:tcBorders>
              <w:bottom w:val="single" w:sz="8" w:color="CCEEFF"/>
            </w:tcBorders>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rPr>
              <w:t>June 2014</w:t>
            </w:r>
          </w:p>
        </w:tc>
        <w:tc>
          <w:tcPr>
            <w:tcW w:w="800" w:type="dxa"/>
            <w:vAlign w:val="bottom"/>
            <w:tcBorders>
              <w:bottom w:val="single" w:sz="8" w:color="CCEEFF"/>
            </w:tcBorders>
            <w:shd w:val="clear" w:color="auto" w:fill="CCEEFF"/>
          </w:tcPr>
          <w:p>
            <w:pPr>
              <w:jc w:val="center"/>
              <w:spacing w:after="0" w:line="128" w:lineRule="exact"/>
              <w:rPr>
                <w:sz w:val="20"/>
                <w:szCs w:val="20"/>
                <w:color w:val="auto"/>
              </w:rPr>
            </w:pPr>
            <w:r>
              <w:rPr>
                <w:rFonts w:ascii="Arial" w:cs="Arial" w:eastAsia="Arial" w:hAnsi="Arial"/>
                <w:sz w:val="12"/>
                <w:szCs w:val="12"/>
                <w:color w:val="auto"/>
              </w:rPr>
              <w:t>2021</w:t>
            </w: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center"/>
              <w:spacing w:after="0" w:line="128" w:lineRule="exact"/>
              <w:rPr>
                <w:sz w:val="20"/>
                <w:szCs w:val="20"/>
                <w:color w:val="auto"/>
              </w:rPr>
            </w:pPr>
            <w:r>
              <w:rPr>
                <w:rFonts w:ascii="Arial" w:cs="Arial" w:eastAsia="Arial" w:hAnsi="Arial"/>
                <w:sz w:val="12"/>
                <w:szCs w:val="12"/>
                <w:color w:val="auto"/>
              </w:rPr>
              <w:t>2019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20" w:type="dxa"/>
            <w:vAlign w:val="bottom"/>
            <w:gridSpan w:val="5"/>
          </w:tcPr>
          <w:p>
            <w:pPr>
              <w:spacing w:after="0"/>
              <w:rPr>
                <w:sz w:val="20"/>
                <w:szCs w:val="20"/>
                <w:color w:val="auto"/>
              </w:rPr>
            </w:pPr>
            <w:r>
              <w:rPr>
                <w:rFonts w:ascii="Arial" w:cs="Arial" w:eastAsia="Arial" w:hAnsi="Arial"/>
                <w:sz w:val="12"/>
                <w:szCs w:val="12"/>
                <w:color w:val="auto"/>
              </w:rPr>
              <w:t>Issued by DigitalBridge Operating Company, LLC</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5.75% Exchangeable Senior Notes</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July 2020</w:t>
            </w: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rPr>
              <w:t>July 15, 2025</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5.750 %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434.7826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60,321</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rPr>
              <w:t>July 21, 2023</w:t>
            </w: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138,739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338,739</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531,502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49" w:lineRule="exact"/>
        <w:rPr>
          <w:sz w:val="20"/>
          <w:szCs w:val="20"/>
          <w:color w:val="auto"/>
        </w:rPr>
      </w:pPr>
    </w:p>
    <w:p>
      <w:pPr>
        <w:ind w:left="206" w:right="40" w:hanging="206"/>
        <w:spacing w:after="0" w:line="253" w:lineRule="auto"/>
        <w:tabs>
          <w:tab w:leader="none" w:pos="185" w:val="left"/>
        </w:tabs>
        <w:numPr>
          <w:ilvl w:val="0"/>
          <w:numId w:val="101"/>
        </w:numPr>
        <w:rPr>
          <w:rFonts w:ascii="Arial" w:cs="Arial" w:eastAsia="Arial" w:hAnsi="Arial"/>
          <w:sz w:val="8"/>
          <w:szCs w:val="8"/>
          <w:color w:val="auto"/>
        </w:rPr>
      </w:pPr>
      <w:r>
        <w:rPr>
          <w:rFonts w:ascii="Arial" w:cs="Arial" w:eastAsia="Arial" w:hAnsi="Arial"/>
          <w:sz w:val="12"/>
          <w:szCs w:val="12"/>
          <w:color w:val="auto"/>
        </w:rPr>
        <w:t>The conversion or exchange rate for the senior notes is subject to periodic adjustments to reflect certain carried-forward adjustments relating to common stock splits, reverse stock splits, common stock adjustments in connection with spin-offs and cumulative cash dividends paid on the Company's common stock since the issuances of the respective senior notes. The conversion or exchange ratios are presented in shares of common stock per $1,000 principal of each senior note.</w:t>
      </w:r>
    </w:p>
    <w:p>
      <w:pPr>
        <w:spacing w:after="0" w:line="120" w:lineRule="exact"/>
        <w:rPr>
          <w:sz w:val="20"/>
          <w:szCs w:val="20"/>
          <w:color w:val="auto"/>
        </w:rPr>
      </w:pPr>
    </w:p>
    <w:p>
      <w:pPr>
        <w:jc w:val="both"/>
        <w:ind w:left="6" w:right="40" w:firstLine="351"/>
        <w:spacing w:after="0" w:line="233" w:lineRule="auto"/>
        <w:rPr>
          <w:sz w:val="20"/>
          <w:szCs w:val="20"/>
          <w:color w:val="auto"/>
        </w:rPr>
      </w:pPr>
      <w:r>
        <w:rPr>
          <w:rFonts w:ascii="Arial" w:cs="Arial" w:eastAsia="Arial" w:hAnsi="Arial"/>
          <w:sz w:val="16"/>
          <w:szCs w:val="16"/>
          <w:color w:val="auto"/>
        </w:rPr>
        <w:t>The senior notes mature on their respective due dates, unless earlier redeemed, repurchased, converted or exchanged, as applicable. The outstanding senior notes are convertible or exchangeable at any time by holders of such notes into shares of the Company’s common stock at the applicable conversion or exchange rate, which is subject to adjustment upon occurrence of certain events.</w:t>
      </w:r>
    </w:p>
    <w:p>
      <w:pPr>
        <w:spacing w:after="0" w:line="84" w:lineRule="exact"/>
        <w:rPr>
          <w:sz w:val="20"/>
          <w:szCs w:val="20"/>
          <w:color w:val="auto"/>
        </w:rPr>
      </w:pPr>
    </w:p>
    <w:p>
      <w:pPr>
        <w:ind w:left="6" w:right="40" w:firstLine="351"/>
        <w:spacing w:after="0" w:line="233" w:lineRule="auto"/>
        <w:rPr>
          <w:sz w:val="20"/>
          <w:szCs w:val="20"/>
          <w:color w:val="auto"/>
        </w:rPr>
      </w:pPr>
      <w:r>
        <w:rPr>
          <w:rFonts w:ascii="Arial" w:cs="Arial" w:eastAsia="Arial" w:hAnsi="Arial"/>
          <w:sz w:val="16"/>
          <w:szCs w:val="16"/>
          <w:color w:val="auto"/>
        </w:rPr>
        <w:t>To the extent certain trading conditions of the Company’s common stock are met, the senior notes are redeemable by the applicable issuer thereof in whole or in part for cash at any time on or after their respective earliest redemption dates at a redemption price equal to 100% of the principal amount of such senior notes being redeemed, plus accrued and unpaid interest (if any) up to, but excluding, the redemption date.</w:t>
      </w:r>
    </w:p>
    <w:p>
      <w:pPr>
        <w:spacing w:after="0" w:line="84" w:lineRule="exact"/>
        <w:rPr>
          <w:sz w:val="20"/>
          <w:szCs w:val="20"/>
          <w:color w:val="auto"/>
        </w:rPr>
      </w:pPr>
    </w:p>
    <w:p>
      <w:pPr>
        <w:ind w:left="6" w:right="120" w:firstLine="351"/>
        <w:spacing w:after="0" w:line="236" w:lineRule="auto"/>
        <w:rPr>
          <w:sz w:val="20"/>
          <w:szCs w:val="20"/>
          <w:color w:val="auto"/>
        </w:rPr>
      </w:pPr>
      <w:r>
        <w:rPr>
          <w:rFonts w:ascii="Arial" w:cs="Arial" w:eastAsia="Arial" w:hAnsi="Arial"/>
          <w:sz w:val="16"/>
          <w:szCs w:val="16"/>
          <w:color w:val="auto"/>
        </w:rPr>
        <w:t>In the event of certain change in control transactions, holders of the senior notes have the right to require the applicable issuer to purchase all or part of such holder's senior notes for cash in accordance with terms of the governing documents of the respective senior notes.</w:t>
      </w:r>
    </w:p>
    <w:p>
      <w:pPr>
        <w:spacing w:after="0" w:line="67" w:lineRule="exact"/>
        <w:rPr>
          <w:sz w:val="20"/>
          <w:szCs w:val="20"/>
          <w:color w:val="auto"/>
        </w:rPr>
      </w:pPr>
    </w:p>
    <w:p>
      <w:pPr>
        <w:ind w:left="286"/>
        <w:spacing w:after="0"/>
        <w:rPr>
          <w:sz w:val="20"/>
          <w:szCs w:val="20"/>
          <w:color w:val="auto"/>
        </w:rPr>
      </w:pPr>
      <w:r>
        <w:rPr>
          <w:rFonts w:ascii="Arial" w:cs="Arial" w:eastAsia="Arial" w:hAnsi="Arial"/>
          <w:sz w:val="16"/>
          <w:szCs w:val="16"/>
          <w:i w:val="1"/>
          <w:iCs w:val="1"/>
          <w:color w:val="auto"/>
        </w:rPr>
        <w:t>Issuance, Repurchase and Repayment of Senior Notes</w:t>
      </w:r>
    </w:p>
    <w:p>
      <w:pPr>
        <w:spacing w:after="0" w:line="113" w:lineRule="exact"/>
        <w:rPr>
          <w:sz w:val="20"/>
          <w:szCs w:val="20"/>
          <w:color w:val="auto"/>
        </w:rPr>
      </w:pPr>
    </w:p>
    <w:p>
      <w:pPr>
        <w:jc w:val="both"/>
        <w:ind w:left="6" w:right="700" w:firstLine="351"/>
        <w:spacing w:after="0" w:line="300" w:lineRule="auto"/>
        <w:rPr>
          <w:sz w:val="20"/>
          <w:szCs w:val="20"/>
          <w:color w:val="auto"/>
        </w:rPr>
      </w:pPr>
      <w:r>
        <w:rPr>
          <w:rFonts w:ascii="Arial" w:cs="Arial" w:eastAsia="Arial" w:hAnsi="Arial"/>
          <w:sz w:val="14"/>
          <w:szCs w:val="14"/>
          <w:color w:val="auto"/>
        </w:rPr>
        <w:t>The 3.875% convertible senior notes were fully extinguished following a $31.5 million repayment upon maturity in January 2021 and a $371.0 million repurchase in the third quarter of 2020, primarily funded by net proceeds from the July 2020 issuance of the 5.75% exchangeable senior notes by the OP.</w:t>
      </w:r>
    </w:p>
    <w:p>
      <w:pPr>
        <w:spacing w:after="0" w:line="26" w:lineRule="exact"/>
        <w:rPr>
          <w:sz w:val="20"/>
          <w:szCs w:val="20"/>
          <w:color w:val="auto"/>
        </w:rPr>
      </w:pPr>
    </w:p>
    <w:p>
      <w:pPr>
        <w:ind w:left="286"/>
        <w:spacing w:after="0"/>
        <w:rPr>
          <w:sz w:val="20"/>
          <w:szCs w:val="20"/>
          <w:color w:val="auto"/>
        </w:rPr>
      </w:pPr>
      <w:r>
        <w:rPr>
          <w:rFonts w:ascii="Arial" w:cs="Arial" w:eastAsia="Arial" w:hAnsi="Arial"/>
          <w:sz w:val="16"/>
          <w:szCs w:val="16"/>
          <w:i w:val="1"/>
          <w:iCs w:val="1"/>
          <w:color w:val="auto"/>
        </w:rPr>
        <w:t>Exchange of Senior Notes into Common Shares</w:t>
      </w:r>
    </w:p>
    <w:p>
      <w:pPr>
        <w:spacing w:after="0" w:line="101" w:lineRule="exact"/>
        <w:rPr>
          <w:sz w:val="20"/>
          <w:szCs w:val="20"/>
          <w:color w:val="auto"/>
        </w:rPr>
      </w:pPr>
    </w:p>
    <w:p>
      <w:pPr>
        <w:ind w:left="6" w:right="20" w:firstLine="351"/>
        <w:spacing w:after="0" w:line="217" w:lineRule="auto"/>
        <w:rPr>
          <w:sz w:val="20"/>
          <w:szCs w:val="20"/>
          <w:color w:val="auto"/>
        </w:rPr>
      </w:pPr>
      <w:r>
        <w:rPr>
          <w:rFonts w:ascii="Arial" w:cs="Arial" w:eastAsia="Arial" w:hAnsi="Arial"/>
          <w:sz w:val="16"/>
          <w:szCs w:val="16"/>
          <w:color w:val="auto"/>
        </w:rPr>
        <w:t>In the fourth quarter of 2021, DBRG and the OP entered into privately negotiated exchange agreements (the "Early Exchange Agreements") with certain noteholders of the 5.75% exchangeable notes. The parties to the Early Exchange Agreements agreed to exchange transactions for which the original exchange ratio of 434.7826 shares per $1,000 of principal amount of notes was adjusted to account for savings on avoided future interest payments otherwise due to the noteholders. Pursuant to the Early Exchange Agreements, in October 2021 and November 2021, in aggregate, the Company exchanged $161.3 million of outstanding principal of the 5.75% exchangeable notes into 73,365,420 shares of the Company's class A common stock and paid $3.1 million for accrued and unpaid interest through the date of the respective exchanges. Debt conversion expense totaling approximately $25.1 million was recognized in interest expense, representing the shares of the Company's class A common stock issued in excess of such shares issuable pursuant to the original exchange ratio, measured at fair value based upon the closing price of the Company's class A common stock on the date of the respective Early Exchange Agreements.</w:t>
      </w:r>
    </w:p>
    <w:p>
      <w:pPr>
        <w:spacing w:after="0" w:line="101"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Investment-Level Secured Debt</w:t>
      </w:r>
    </w:p>
    <w:p>
      <w:pPr>
        <w:spacing w:after="0" w:line="103"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These are investment level financing that are non-recourse to the Company and secured by underlying commercial real estate or loans receivable.</w:t>
      </w:r>
    </w:p>
    <w:p>
      <w:pPr>
        <w:spacing w:after="0" w:line="200" w:lineRule="exact"/>
        <w:rPr>
          <w:sz w:val="20"/>
          <w:szCs w:val="20"/>
          <w:color w:val="auto"/>
        </w:rPr>
      </w:pP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6" w:name="page147"/>
    <w:bookmarkEnd w:id="1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both"/>
        <w:ind w:right="320" w:firstLine="351"/>
        <w:spacing w:after="0" w:line="252" w:lineRule="auto"/>
        <w:rPr>
          <w:sz w:val="20"/>
          <w:szCs w:val="20"/>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—In March 2021 and October 2021, DataBank raised $657.9 million and $332 million of 5-year securitized notes at blended fixed rates of</w:t>
      </w:r>
      <w:r>
        <w:rPr>
          <w:rFonts w:ascii="Arial" w:cs="Arial" w:eastAsia="Arial" w:hAnsi="Arial"/>
          <w:sz w:val="16"/>
          <w:szCs w:val="16"/>
          <w:i w:val="1"/>
          <w:iCs w:val="1"/>
          <w:color w:val="auto"/>
        </w:rPr>
        <w:t xml:space="preserve"> </w:t>
      </w:r>
      <w:r>
        <w:rPr>
          <w:rFonts w:ascii="Arial" w:cs="Arial" w:eastAsia="Arial" w:hAnsi="Arial"/>
          <w:sz w:val="16"/>
          <w:szCs w:val="16"/>
          <w:color w:val="auto"/>
        </w:rPr>
        <w:t>2.32% and 2.43% per annum, respectively. Proceeds from the March securitization were applied principally to refinance $514 million of outstanding debt, which meaningfully reduced DataBank's overall cost of debt and extended its debt maturities, while the October proceeds were used to repay borrowings on its credit facility and to finance future acquisitions.</w:t>
      </w:r>
    </w:p>
    <w:p>
      <w:pPr>
        <w:spacing w:after="0" w:line="85" w:lineRule="exact"/>
        <w:rPr>
          <w:sz w:val="20"/>
          <w:szCs w:val="20"/>
          <w:color w:val="auto"/>
        </w:rPr>
      </w:pPr>
    </w:p>
    <w:p>
      <w:pPr>
        <w:ind w:right="240" w:firstLine="351"/>
        <w:spacing w:after="0" w:line="246" w:lineRule="auto"/>
        <w:rPr>
          <w:sz w:val="20"/>
          <w:szCs w:val="20"/>
          <w:color w:val="auto"/>
        </w:rPr>
      </w:pPr>
      <w:r>
        <w:rPr>
          <w:rFonts w:ascii="Arial" w:cs="Arial" w:eastAsia="Arial" w:hAnsi="Arial"/>
          <w:sz w:val="16"/>
          <w:szCs w:val="16"/>
          <w:color w:val="auto"/>
        </w:rPr>
        <w:t>In November 2021, Vantage SDC issued $530 million of 5-year securitized notes at a blended fixed rate of 2.17% per annum. Proceeds were applied to replace its current bridge financing and fund capital expenditures on the September 2021 add-on acquisition as well as to fund payments for future build-out and lease-up of expansion capacity.</w:t>
      </w:r>
    </w:p>
    <w:p>
      <w:pPr>
        <w:spacing w:after="0" w:line="73" w:lineRule="exact"/>
        <w:rPr>
          <w:sz w:val="20"/>
          <w:szCs w:val="20"/>
          <w:color w:val="auto"/>
        </w:rPr>
      </w:pPr>
    </w:p>
    <w:p>
      <w:pPr>
        <w:ind w:right="260" w:firstLine="351"/>
        <w:spacing w:after="0" w:line="268"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—In the third quarter of 2021, the Company entered into a credit facility to fund the acquisition of loans that are warehoused for a future securitization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vehicle. At December 31, 2021, $83.5 million was available to be drawn from the facility.</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Future Minimum Principal Payments</w:t>
      </w:r>
    </w:p>
    <w:p>
      <w:pPr>
        <w:spacing w:after="0" w:line="115"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4"/>
          <w:szCs w:val="14"/>
          <w:color w:val="auto"/>
        </w:rPr>
        <w:t>The following table summarizes future scheduled minimum principal payments of debt at December 31, 2021, excluding debt classified as held for disposition (Note 11). Future debt principal payments are presented based upon anticipated repayment dates for notes issued under securitization financing, otherwise based upon initial maturity dates or extended maturity dates if extension criteria are met at December 31, 2021 for extensions that are at the Company's option.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rPr>
              <w:t>Year Ending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17"/>
        </w:trPr>
        <w:tc>
          <w:tcPr>
            <w:tcW w:w="2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0"/>
                <w:szCs w:val="10"/>
                <w:color w:val="auto"/>
              </w:rPr>
            </w:pPr>
          </w:p>
        </w:tc>
        <w:tc>
          <w:tcPr>
            <w:tcW w:w="860" w:type="dxa"/>
            <w:vAlign w:val="bottom"/>
          </w:tcPr>
          <w:p>
            <w:pPr>
              <w:jc w:val="right"/>
              <w:ind w:right="372"/>
              <w:spacing w:after="0" w:line="117" w:lineRule="exact"/>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392"/>
              <w:spacing w:after="0" w:line="117" w:lineRule="exact"/>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374"/>
              <w:spacing w:after="0" w:line="117" w:lineRule="exact"/>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372"/>
              <w:spacing w:after="0" w:line="117" w:lineRule="exact"/>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372"/>
              <w:spacing w:after="0" w:line="117" w:lineRule="exact"/>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0"/>
                <w:szCs w:val="10"/>
                <w:color w:val="auto"/>
              </w:rPr>
            </w:pPr>
          </w:p>
        </w:tc>
        <w:tc>
          <w:tcPr>
            <w:tcW w:w="1140" w:type="dxa"/>
            <w:vAlign w:val="bottom"/>
            <w:gridSpan w:val="2"/>
          </w:tcPr>
          <w:p>
            <w:pPr>
              <w:jc w:val="right"/>
              <w:ind w:right="10"/>
              <w:spacing w:after="0" w:line="117" w:lineRule="exact"/>
              <w:rPr>
                <w:sz w:val="20"/>
                <w:szCs w:val="20"/>
                <w:color w:val="auto"/>
              </w:rPr>
            </w:pPr>
            <w:r>
              <w:rPr>
                <w:rFonts w:ascii="Arial" w:cs="Arial" w:eastAsia="Arial" w:hAnsi="Arial"/>
                <w:sz w:val="11"/>
                <w:szCs w:val="11"/>
                <w:b w:val="1"/>
                <w:bCs w:val="1"/>
                <w:color w:val="auto"/>
              </w:rPr>
              <w:t>2027 and thereafter</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392"/>
              <w:spacing w:after="0" w:line="117" w:lineRule="exact"/>
              <w:rPr>
                <w:sz w:val="20"/>
                <w:szCs w:val="20"/>
                <w:color w:val="auto"/>
              </w:rPr>
            </w:pPr>
            <w:r>
              <w:rPr>
                <w:rFonts w:ascii="Arial" w:cs="Arial" w:eastAsia="Arial" w:hAnsi="Arial"/>
                <w:sz w:val="11"/>
                <w:szCs w:val="11"/>
                <w:b w:val="1"/>
                <w:bCs w:val="1"/>
                <w:color w:val="auto"/>
              </w:rPr>
              <w:t>Total</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4"/>
        </w:trPr>
        <w:tc>
          <w:tcPr>
            <w:tcW w:w="27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Secured fund fee revenue notes</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r>
      <w:tr>
        <w:trPr>
          <w:trHeight w:val="154"/>
        </w:trPr>
        <w:tc>
          <w:tcPr>
            <w:tcW w:w="2740" w:type="dxa"/>
            <w:vAlign w:val="bottom"/>
            <w:gridSpan w:val="2"/>
          </w:tcPr>
          <w:p>
            <w:pPr>
              <w:spacing w:after="0" w:line="154" w:lineRule="exact"/>
              <w:rPr>
                <w:sz w:val="20"/>
                <w:szCs w:val="20"/>
                <w:color w:val="auto"/>
              </w:rPr>
            </w:pPr>
            <w:r>
              <w:rPr>
                <w:rFonts w:ascii="Arial" w:cs="Arial" w:eastAsia="Arial" w:hAnsi="Arial"/>
                <w:sz w:val="14"/>
                <w:szCs w:val="14"/>
                <w:color w:val="auto"/>
              </w:rPr>
              <w:t>Convertible and exchangeable senior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740" w:type="dxa"/>
            <w:vAlign w:val="bottom"/>
            <w:gridSpan w:val="2"/>
          </w:tcPr>
          <w:p>
            <w:pPr>
              <w:ind w:left="80"/>
              <w:spacing w:after="0"/>
              <w:rPr>
                <w:sz w:val="20"/>
                <w:szCs w:val="20"/>
                <w:color w:val="auto"/>
              </w:rPr>
            </w:pPr>
            <w:r>
              <w:rPr>
                <w:rFonts w:ascii="Arial" w:cs="Arial" w:eastAsia="Arial" w:hAnsi="Arial"/>
                <w:sz w:val="14"/>
                <w:szCs w:val="14"/>
                <w:color w:val="auto"/>
              </w:rPr>
              <w:t>notes</w:t>
            </w:r>
          </w:p>
        </w:tc>
        <w:tc>
          <w:tcPr>
            <w:tcW w:w="2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138,739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338,739</w:t>
            </w: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Investment-level secured debt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5"/>
        </w:trPr>
        <w:tc>
          <w:tcPr>
            <w:tcW w:w="2740" w:type="dxa"/>
            <w:vAlign w:val="bottom"/>
            <w:gridSpan w:val="2"/>
          </w:tcPr>
          <w:p>
            <w:pPr>
              <w:ind w:left="100"/>
              <w:spacing w:after="0"/>
              <w:rPr>
                <w:sz w:val="20"/>
                <w:szCs w:val="20"/>
                <w:color w:val="auto"/>
              </w:rPr>
            </w:pPr>
            <w:r>
              <w:rPr>
                <w:rFonts w:ascii="Arial" w:cs="Arial" w:eastAsia="Arial" w:hAnsi="Arial"/>
                <w:sz w:val="14"/>
                <w:szCs w:val="14"/>
                <w:color w:val="auto"/>
              </w:rPr>
              <w:t>Digital Operating</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228,793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616,503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1,146,267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1,619,690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4,217,483</w:t>
            </w:r>
          </w:p>
        </w:tc>
      </w:tr>
      <w:tr>
        <w:trPr>
          <w:trHeight w:val="189"/>
        </w:trPr>
        <w:tc>
          <w:tcPr>
            <w:tcW w:w="2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66,500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66,500</w:t>
            </w:r>
          </w:p>
        </w:tc>
      </w:tr>
      <w:tr>
        <w:trPr>
          <w:trHeight w:val="176"/>
        </w:trPr>
        <w:tc>
          <w:tcPr>
            <w:tcW w:w="2740" w:type="dxa"/>
            <w:vAlign w:val="bottom"/>
            <w:gridSpan w:val="2"/>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495,293</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616,503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1,285,006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1,919,690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4,922,722</w:t>
            </w:r>
          </w:p>
        </w:tc>
      </w:tr>
      <w:tr>
        <w:trPr>
          <w:trHeight w:val="20"/>
        </w:trPr>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7" w:name="page148"/>
    <w:bookmarkEnd w:id="147"/>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9. Stockholders’ Equity</w:t>
      </w:r>
    </w:p>
    <w:p>
      <w:pPr>
        <w:spacing w:after="0" w:line="161"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table below summarizes the share activities of the Company's preferred and common stock.</w:t>
      </w:r>
    </w:p>
    <w:p>
      <w:pPr>
        <w:spacing w:after="0" w:line="104"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9"/>
              </w:rPr>
              <w:t>Number of Shares</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6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58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Preferred Stock</w:t>
            </w:r>
          </w:p>
        </w:tc>
        <w:tc>
          <w:tcPr>
            <w:tcW w:w="1560" w:type="dxa"/>
            <w:vAlign w:val="bottom"/>
            <w:gridSpan w:val="2"/>
          </w:tcPr>
          <w:p>
            <w:pPr>
              <w:jc w:val="center"/>
              <w:ind w:right="80"/>
              <w:spacing w:after="0" w:line="104" w:lineRule="exact"/>
              <w:rPr>
                <w:sz w:val="20"/>
                <w:szCs w:val="20"/>
                <w:color w:val="auto"/>
              </w:rPr>
            </w:pPr>
            <w:r>
              <w:rPr>
                <w:rFonts w:ascii="Arial" w:cs="Arial" w:eastAsia="Arial" w:hAnsi="Arial"/>
                <w:sz w:val="11"/>
                <w:szCs w:val="11"/>
                <w:b w:val="1"/>
                <w:bCs w:val="1"/>
                <w:color w:val="auto"/>
                <w:w w:val="99"/>
              </w:rPr>
              <w:t>Class A</w:t>
            </w:r>
          </w:p>
        </w:tc>
        <w:tc>
          <w:tcPr>
            <w:tcW w:w="1500" w:type="dxa"/>
            <w:vAlign w:val="bottom"/>
          </w:tcPr>
          <w:p>
            <w:pPr>
              <w:jc w:val="right"/>
              <w:ind w:right="471"/>
              <w:spacing w:after="0" w:line="104" w:lineRule="exact"/>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117"/>
        </w:trPr>
        <w:tc>
          <w:tcPr>
            <w:tcW w:w="6620" w:type="dxa"/>
            <w:vAlign w:val="bottom"/>
            <w:gridSpan w:val="2"/>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56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99"/>
              </w:rPr>
              <w:t>Common Stock</w:t>
            </w:r>
          </w:p>
        </w:tc>
        <w:tc>
          <w:tcPr>
            <w:tcW w:w="1500" w:type="dxa"/>
            <w:vAlign w:val="bottom"/>
          </w:tcPr>
          <w:p>
            <w:pPr>
              <w:jc w:val="right"/>
              <w:ind w:right="271"/>
              <w:spacing w:after="0" w:line="117" w:lineRule="exact"/>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Shares outstanding at December 31, 2018</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57,464</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483,347</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Redemption of preferred stock</w:t>
            </w:r>
          </w:p>
        </w:tc>
        <w:tc>
          <w:tcPr>
            <w:tcW w:w="1480" w:type="dxa"/>
            <w:vAlign w:val="bottom"/>
          </w:tcPr>
          <w:p>
            <w:pPr>
              <w:jc w:val="right"/>
              <w:spacing w:after="0"/>
              <w:rPr>
                <w:sz w:val="20"/>
                <w:szCs w:val="20"/>
                <w:color w:val="auto"/>
              </w:rPr>
            </w:pPr>
            <w:r>
              <w:rPr>
                <w:rFonts w:ascii="Arial" w:cs="Arial" w:eastAsia="Arial" w:hAnsi="Arial"/>
                <w:sz w:val="14"/>
                <w:szCs w:val="14"/>
                <w:color w:val="auto"/>
              </w:rPr>
              <w:t>(16,114)</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issued upon redemption of OP Units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Repurchase of common stock</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(652)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Equity-based compensation, net of forfeitures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Shares canceled for tax withholding on vested stock awards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(689)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Shares outstanding at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41,350</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487,044</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Shares issued upon redemption of OP Units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2,184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Repurchase of common stock, net </w:t>
            </w:r>
            <w:r>
              <w:rPr>
                <w:rFonts w:ascii="Arial" w:cs="Arial" w:eastAsia="Arial" w:hAnsi="Arial"/>
                <w:sz w:val="18"/>
                <w:szCs w:val="18"/>
                <w:color w:val="auto"/>
                <w:vertAlign w:val="superscript"/>
              </w:rPr>
              <w:t>(1)</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Equity awards issued, net of forfeitures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9,680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canceled for tax withholding on vested equity awards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Shares outstanding at December 31, 2020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41,350</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483,406</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Redemption of preferred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Exchange of notes for class A common stock</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73,365</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issued upon redemption of OP Units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Conversion of class B to class A common stock</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Shares issued pursuant to settlement liability </w:t>
            </w:r>
            <w:r>
              <w:rPr>
                <w:rFonts w:ascii="Arial" w:cs="Arial" w:eastAsia="Arial" w:hAnsi="Arial"/>
                <w:sz w:val="18"/>
                <w:szCs w:val="18"/>
                <w:color w:val="auto"/>
                <w:vertAlign w:val="superscript"/>
              </w:rPr>
              <w:t>(1)</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620" w:type="dxa"/>
            <w:vAlign w:val="bottom"/>
            <w:gridSpan w:val="2"/>
          </w:tcPr>
          <w:p>
            <w:pPr>
              <w:ind w:left="120"/>
              <w:spacing w:after="0"/>
              <w:rPr>
                <w:sz w:val="20"/>
                <w:szCs w:val="20"/>
                <w:color w:val="auto"/>
              </w:rPr>
            </w:pPr>
            <w:r>
              <w:rPr>
                <w:rFonts w:ascii="Arial" w:cs="Arial" w:eastAsia="Arial" w:hAnsi="Arial"/>
                <w:sz w:val="14"/>
                <w:szCs w:val="14"/>
                <w:color w:val="auto"/>
              </w:rPr>
              <w:t>Equity awards issued, net of forfeitures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6,575</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canceled for tax withholding on vested equity awards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Shares outstanding at December 31, 2021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35,340</w:t>
            </w:r>
          </w:p>
        </w:tc>
        <w:tc>
          <w:tcPr>
            <w:tcW w:w="10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568,577</w:t>
            </w:r>
          </w:p>
        </w:tc>
        <w:tc>
          <w:tcPr>
            <w:tcW w:w="8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40" w:hanging="206"/>
        <w:spacing w:after="0" w:line="262" w:lineRule="auto"/>
        <w:tabs>
          <w:tab w:leader="none" w:pos="185" w:val="left"/>
        </w:tabs>
        <w:numPr>
          <w:ilvl w:val="0"/>
          <w:numId w:val="102"/>
        </w:numPr>
        <w:rPr>
          <w:rFonts w:ascii="Arial" w:cs="Arial" w:eastAsia="Arial" w:hAnsi="Arial"/>
          <w:sz w:val="8"/>
          <w:szCs w:val="8"/>
          <w:color w:val="auto"/>
        </w:rPr>
      </w:pPr>
      <w:r>
        <w:rPr>
          <w:rFonts w:ascii="Arial" w:cs="Arial" w:eastAsia="Arial" w:hAnsi="Arial"/>
          <w:sz w:val="12"/>
          <w:szCs w:val="12"/>
          <w:color w:val="auto"/>
        </w:rPr>
        <w:t>Shares repurchased in 2020 are presented net of reissuance of 964,160 shares of class A common stock in connection with a settlement liability. In 2021, the liability was settled through the reissuance of some of the repurchased shares that were held in a subsidiary (Note 13). Shares repurchased and not reissued were cancelled.</w:t>
      </w:r>
    </w:p>
    <w:p>
      <w:pPr>
        <w:spacing w:after="0" w:line="97" w:lineRule="exact"/>
        <w:rPr>
          <w:sz w:val="20"/>
          <w:szCs w:val="20"/>
          <w:color w:val="auto"/>
        </w:rPr>
      </w:pPr>
    </w:p>
    <w:p>
      <w:pPr>
        <w:ind w:left="166"/>
        <w:spacing w:after="0"/>
        <w:rPr>
          <w:sz w:val="20"/>
          <w:szCs w:val="20"/>
          <w:color w:val="auto"/>
        </w:rPr>
      </w:pPr>
      <w:r>
        <w:rPr>
          <w:rFonts w:ascii="Arial" w:cs="Arial" w:eastAsia="Arial" w:hAnsi="Arial"/>
          <w:sz w:val="16"/>
          <w:szCs w:val="16"/>
          <w:b w:val="1"/>
          <w:bCs w:val="1"/>
          <w:i w:val="1"/>
          <w:iCs w:val="1"/>
          <w:color w:val="auto"/>
        </w:rPr>
        <w:t>Preferred Stock</w:t>
      </w:r>
    </w:p>
    <w:p>
      <w:pPr>
        <w:spacing w:after="0" w:line="115" w:lineRule="exact"/>
        <w:rPr>
          <w:sz w:val="20"/>
          <w:szCs w:val="20"/>
          <w:color w:val="auto"/>
        </w:rPr>
      </w:pPr>
    </w:p>
    <w:p>
      <w:pPr>
        <w:ind w:left="6" w:right="480" w:firstLine="351"/>
        <w:spacing w:after="0" w:line="248" w:lineRule="auto"/>
        <w:rPr>
          <w:sz w:val="20"/>
          <w:szCs w:val="20"/>
          <w:color w:val="auto"/>
        </w:rPr>
      </w:pPr>
      <w:r>
        <w:rPr>
          <w:rFonts w:ascii="Arial" w:cs="Arial" w:eastAsia="Arial" w:hAnsi="Arial"/>
          <w:sz w:val="16"/>
          <w:szCs w:val="16"/>
          <w:color w:val="auto"/>
        </w:rPr>
        <w:t>In the event of a liquidation or dissolution of the Company, preferred stockholders have priority over common stockholders for payment of dividends and distribution of net assets.</w:t>
      </w:r>
    </w:p>
    <w:p>
      <w:pPr>
        <w:spacing w:after="0" w:line="88"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table below summarizes the preferred stock issued and outstanding at December 31, 2021:</w:t>
      </w:r>
    </w:p>
    <w:p>
      <w:pPr>
        <w:spacing w:after="0" w:line="88"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144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Description</w:t>
            </w:r>
          </w:p>
        </w:tc>
        <w:tc>
          <w:tcPr>
            <w:tcW w:w="80" w:type="dxa"/>
            <w:vAlign w:val="bottom"/>
            <w:vMerge w:val="restart"/>
          </w:tcPr>
          <w:p>
            <w:pPr>
              <w:spacing w:after="0"/>
              <w:rPr>
                <w:sz w:val="10"/>
                <w:szCs w:val="10"/>
                <w:color w:val="auto"/>
              </w:rPr>
            </w:pPr>
          </w:p>
        </w:tc>
        <w:tc>
          <w:tcPr>
            <w:tcW w:w="1440" w:type="dxa"/>
            <w:vAlign w:val="bottom"/>
            <w:gridSpan w:val="2"/>
          </w:tcPr>
          <w:p>
            <w:pPr>
              <w:ind w:left="200"/>
              <w:spacing w:after="0"/>
              <w:rPr>
                <w:sz w:val="20"/>
                <w:szCs w:val="20"/>
                <w:color w:val="auto"/>
              </w:rPr>
            </w:pPr>
            <w:r>
              <w:rPr>
                <w:rFonts w:ascii="Arial" w:cs="Arial" w:eastAsia="Arial" w:hAnsi="Arial"/>
                <w:sz w:val="11"/>
                <w:szCs w:val="11"/>
                <w:b w:val="1"/>
                <w:bCs w:val="1"/>
                <w:color w:val="auto"/>
              </w:rPr>
              <w:t>Dividend Rate Per</w:t>
            </w:r>
          </w:p>
        </w:tc>
        <w:tc>
          <w:tcPr>
            <w:tcW w:w="1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Initial Issuance Date</w:t>
            </w:r>
          </w:p>
        </w:tc>
        <w:tc>
          <w:tcPr>
            <w:tcW w:w="100" w:type="dxa"/>
            <w:vAlign w:val="bottom"/>
            <w:vMerge w:val="restart"/>
          </w:tcPr>
          <w:p>
            <w:pPr>
              <w:spacing w:after="0"/>
              <w:rPr>
                <w:sz w:val="10"/>
                <w:szCs w:val="10"/>
                <w:color w:val="auto"/>
              </w:rPr>
            </w:pPr>
          </w:p>
        </w:tc>
        <w:tc>
          <w:tcPr>
            <w:tcW w:w="142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 Outstanding</w:t>
            </w:r>
          </w:p>
        </w:tc>
        <w:tc>
          <w:tcPr>
            <w:tcW w:w="200" w:type="dxa"/>
            <w:vAlign w:val="bottom"/>
          </w:tcPr>
          <w:p>
            <w:pPr>
              <w:spacing w:after="0"/>
              <w:rPr>
                <w:sz w:val="10"/>
                <w:szCs w:val="10"/>
                <w:color w:val="auto"/>
              </w:rPr>
            </w:pPr>
          </w:p>
        </w:tc>
        <w:tc>
          <w:tcPr>
            <w:tcW w:w="1240" w:type="dxa"/>
            <w:vAlign w:val="bottom"/>
            <w:gridSpan w:val="2"/>
          </w:tcPr>
          <w:p>
            <w:pPr>
              <w:ind w:left="220"/>
              <w:spacing w:after="0"/>
              <w:rPr>
                <w:sz w:val="20"/>
                <w:szCs w:val="20"/>
                <w:color w:val="auto"/>
              </w:rPr>
            </w:pPr>
            <w:r>
              <w:rPr>
                <w:rFonts w:ascii="Arial" w:cs="Arial" w:eastAsia="Arial" w:hAnsi="Arial"/>
                <w:sz w:val="11"/>
                <w:szCs w:val="11"/>
                <w:b w:val="1"/>
                <w:bCs w:val="1"/>
                <w:color w:val="auto"/>
              </w:rPr>
              <w:t>Par Value</w:t>
            </w:r>
          </w:p>
        </w:tc>
        <w:tc>
          <w:tcPr>
            <w:tcW w:w="1340" w:type="dxa"/>
            <w:vAlign w:val="bottom"/>
            <w:gridSpan w:val="2"/>
          </w:tcPr>
          <w:p>
            <w:pPr>
              <w:jc w:val="right"/>
              <w:ind w:right="13"/>
              <w:spacing w:after="0"/>
              <w:rPr>
                <w:sz w:val="20"/>
                <w:szCs w:val="20"/>
                <w:color w:val="auto"/>
              </w:rPr>
            </w:pPr>
            <w:r>
              <w:rPr>
                <w:rFonts w:ascii="Arial" w:cs="Arial" w:eastAsia="Arial" w:hAnsi="Arial"/>
                <w:sz w:val="11"/>
                <w:szCs w:val="11"/>
                <w:b w:val="1"/>
                <w:bCs w:val="1"/>
                <w:color w:val="auto"/>
              </w:rPr>
              <w:t>Liquidation Preference</w:t>
            </w:r>
          </w:p>
        </w:tc>
        <w:tc>
          <w:tcPr>
            <w:tcW w:w="8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Earliest Redemption Date</w:t>
            </w:r>
          </w:p>
        </w:tc>
        <w:tc>
          <w:tcPr>
            <w:tcW w:w="0" w:type="dxa"/>
            <w:vAlign w:val="bottom"/>
          </w:tcPr>
          <w:p>
            <w:pPr>
              <w:spacing w:after="0"/>
              <w:rPr>
                <w:sz w:val="1"/>
                <w:szCs w:val="1"/>
                <w:color w:val="auto"/>
              </w:rPr>
            </w:pPr>
          </w:p>
        </w:tc>
      </w:tr>
      <w:tr>
        <w:trPr>
          <w:trHeight w:val="147"/>
        </w:trPr>
        <w:tc>
          <w:tcPr>
            <w:tcW w:w="14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Annum</w:t>
            </w:r>
          </w:p>
        </w:tc>
        <w:tc>
          <w:tcPr>
            <w:tcW w:w="10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Borders>
              <w:bottom w:val="single" w:sz="8" w:color="CCEEFF"/>
            </w:tcBorders>
          </w:tcPr>
          <w:p>
            <w:pPr>
              <w:spacing w:after="0"/>
              <w:rPr>
                <w:sz w:val="12"/>
                <w:szCs w:val="12"/>
                <w:color w:val="auto"/>
              </w:rPr>
            </w:pPr>
          </w:p>
        </w:tc>
        <w:tc>
          <w:tcPr>
            <w:tcW w:w="2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H</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7.125 %</w:t>
            </w: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April 2015</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223,500</w:t>
            </w:r>
          </w:p>
        </w:tc>
        <w:tc>
          <w:tcPr>
            <w:tcW w:w="8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Currently redeemable</w:t>
            </w:r>
          </w:p>
        </w:tc>
        <w:tc>
          <w:tcPr>
            <w:tcW w:w="0" w:type="dxa"/>
            <w:vAlign w:val="bottom"/>
          </w:tcPr>
          <w:p>
            <w:pPr>
              <w:spacing w:after="0"/>
              <w:rPr>
                <w:sz w:val="1"/>
                <w:szCs w:val="1"/>
                <w:color w:val="auto"/>
              </w:rPr>
            </w:pPr>
          </w:p>
        </w:tc>
      </w:tr>
      <w:tr>
        <w:trPr>
          <w:trHeight w:val="185"/>
        </w:trPr>
        <w:tc>
          <w:tcPr>
            <w:tcW w:w="1520" w:type="dxa"/>
            <w:vAlign w:val="bottom"/>
            <w:gridSpan w:val="2"/>
          </w:tcPr>
          <w:p>
            <w:pPr>
              <w:spacing w:after="0"/>
              <w:rPr>
                <w:sz w:val="20"/>
                <w:szCs w:val="20"/>
                <w:color w:val="auto"/>
              </w:rPr>
            </w:pPr>
            <w:r>
              <w:rPr>
                <w:rFonts w:ascii="Arial" w:cs="Arial" w:eastAsia="Arial" w:hAnsi="Arial"/>
                <w:sz w:val="14"/>
                <w:szCs w:val="14"/>
                <w:color w:val="auto"/>
              </w:rPr>
              <w:t>Series I</w:t>
            </w:r>
          </w:p>
        </w:tc>
        <w:tc>
          <w:tcPr>
            <w:tcW w:w="1340" w:type="dxa"/>
            <w:vAlign w:val="bottom"/>
          </w:tcPr>
          <w:p>
            <w:pPr>
              <w:jc w:val="right"/>
              <w:spacing w:after="0"/>
              <w:rPr>
                <w:sz w:val="20"/>
                <w:szCs w:val="20"/>
                <w:color w:val="auto"/>
              </w:rPr>
            </w:pPr>
            <w:r>
              <w:rPr>
                <w:rFonts w:ascii="Arial" w:cs="Arial" w:eastAsia="Arial" w:hAnsi="Arial"/>
                <w:sz w:val="14"/>
                <w:szCs w:val="14"/>
                <w:color w:val="auto"/>
              </w:rPr>
              <w:t>7.15 %</w:t>
            </w:r>
          </w:p>
        </w:tc>
        <w:tc>
          <w:tcPr>
            <w:tcW w:w="10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rPr>
              <w:t>June 2017</w:t>
            </w:r>
          </w:p>
        </w:tc>
        <w:tc>
          <w:tcPr>
            <w:tcW w:w="1320" w:type="dxa"/>
            <w:vAlign w:val="bottom"/>
          </w:tcPr>
          <w:p>
            <w:pPr>
              <w:jc w:val="right"/>
              <w:spacing w:after="0"/>
              <w:rPr>
                <w:sz w:val="20"/>
                <w:szCs w:val="20"/>
                <w:color w:val="auto"/>
              </w:rPr>
            </w:pPr>
            <w:r>
              <w:rPr>
                <w:rFonts w:ascii="Arial" w:cs="Arial" w:eastAsia="Arial" w:hAnsi="Arial"/>
                <w:sz w:val="14"/>
                <w:szCs w:val="14"/>
                <w:color w:val="auto"/>
              </w:rPr>
              <w:t>13,800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345,000</w:t>
            </w:r>
          </w:p>
        </w:tc>
        <w:tc>
          <w:tcPr>
            <w:tcW w:w="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8"/>
              </w:rPr>
              <w:t>June 5, 2022</w:t>
            </w:r>
          </w:p>
        </w:tc>
        <w:tc>
          <w:tcPr>
            <w:tcW w:w="0" w:type="dxa"/>
            <w:vAlign w:val="bottom"/>
          </w:tcPr>
          <w:p>
            <w:pPr>
              <w:spacing w:after="0"/>
              <w:rPr>
                <w:sz w:val="1"/>
                <w:szCs w:val="1"/>
                <w:color w:val="auto"/>
              </w:rPr>
            </w:pPr>
          </w:p>
        </w:tc>
      </w:tr>
      <w:tr>
        <w:trPr>
          <w:trHeight w:val="187"/>
        </w:trPr>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J</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7.125 %</w:t>
            </w: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September 2017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315,000</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September 22, 2022</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35,340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883,500</w:t>
            </w:r>
          </w:p>
        </w:tc>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 w:right="300" w:firstLine="351"/>
        <w:spacing w:after="0" w:line="248" w:lineRule="auto"/>
        <w:rPr>
          <w:sz w:val="20"/>
          <w:szCs w:val="20"/>
          <w:color w:val="auto"/>
        </w:rPr>
      </w:pPr>
      <w:r>
        <w:rPr>
          <w:rFonts w:ascii="Arial" w:cs="Arial" w:eastAsia="Arial" w:hAnsi="Arial"/>
          <w:sz w:val="16"/>
          <w:szCs w:val="16"/>
          <w:color w:val="auto"/>
        </w:rPr>
        <w:t>All series of preferred stock are at parity with respect to dividends and distributions, including distributions upon liquidation, dissolution or winding up of the Company. Dividends on Series H, I and J of preferred stock are payable quarterly in arrears in January, April, July and October.</w:t>
      </w:r>
    </w:p>
    <w:p>
      <w:pPr>
        <w:spacing w:after="0" w:line="88" w:lineRule="exact"/>
        <w:rPr>
          <w:sz w:val="20"/>
          <w:szCs w:val="20"/>
          <w:color w:val="auto"/>
        </w:rPr>
      </w:pPr>
    </w:p>
    <w:p>
      <w:pPr>
        <w:ind w:left="6" w:right="20" w:firstLine="386"/>
        <w:spacing w:after="0" w:line="245" w:lineRule="auto"/>
        <w:rPr>
          <w:sz w:val="20"/>
          <w:szCs w:val="20"/>
          <w:color w:val="auto"/>
        </w:rPr>
      </w:pPr>
      <w:r>
        <w:rPr>
          <w:rFonts w:ascii="Arial" w:cs="Arial" w:eastAsia="Arial" w:hAnsi="Arial"/>
          <w:sz w:val="16"/>
          <w:szCs w:val="16"/>
          <w:color w:val="auto"/>
        </w:rPr>
        <w:t>Each series of preferred stock is redeemable on or after the earliest redemption date for that series at $25.00 per share plus accrued and unpaid dividends (whether or not declared) exclusively at the Company’s option. The redemption period for each series of preferred stock is subject to the Company’s right under limited circumstances to redeem the preferred stock earlier in order to preserve its qualification as a REIT or upon the occurrence of a change of control (as defined in the articles supplementary relating to each series of preferred stock).</w:t>
      </w:r>
    </w:p>
    <w:p>
      <w:pPr>
        <w:spacing w:after="0" w:line="91" w:lineRule="exact"/>
        <w:rPr>
          <w:sz w:val="20"/>
          <w:szCs w:val="20"/>
          <w:color w:val="auto"/>
        </w:rPr>
      </w:pPr>
    </w:p>
    <w:p>
      <w:pPr>
        <w:ind w:left="6" w:right="140" w:firstLine="386"/>
        <w:spacing w:after="0" w:line="245" w:lineRule="auto"/>
        <w:rPr>
          <w:sz w:val="20"/>
          <w:szCs w:val="20"/>
          <w:color w:val="auto"/>
        </w:rPr>
      </w:pPr>
      <w:r>
        <w:rPr>
          <w:rFonts w:ascii="Arial" w:cs="Arial" w:eastAsia="Arial" w:hAnsi="Arial"/>
          <w:sz w:val="16"/>
          <w:szCs w:val="16"/>
          <w:color w:val="auto"/>
        </w:rPr>
        <w:t>Preferred stock generally does not have any voting rights, except if the Company fails to pay the preferred dividends for six or more quarterly periods (whether or not consecutive). Under such circumstances, the preferred stock will be entitled to vote, together as a single class with any other series of parity stock upon which like voting rights have been conferred and are exercisable, to elect two additional directors to the Company’s board of directors, until all unpaid dividends have been paid or declared and set aside for payment. In addition, certain changes to the terms of any series of</w:t>
      </w:r>
    </w:p>
    <w:p>
      <w:pPr>
        <w:spacing w:after="0" w:line="200" w:lineRule="exact"/>
        <w:rPr>
          <w:sz w:val="20"/>
          <w:szCs w:val="20"/>
          <w:color w:val="auto"/>
        </w:rPr>
      </w:pPr>
    </w:p>
    <w:p>
      <w:pPr>
        <w:spacing w:after="0" w:line="21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8" w:name="page149"/>
    <w:bookmarkEnd w:id="1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preferred stock cannot be made without the affirmative vote of holders of at least two-thirds of the outstanding shares of each such series of preferred stock voting separately as a class for each series of preferred stock.</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Redemption of Preferred Stock</w:t>
      </w:r>
    </w:p>
    <w:p>
      <w:pPr>
        <w:spacing w:after="0" w:line="113" w:lineRule="exact"/>
        <w:rPr>
          <w:sz w:val="20"/>
          <w:szCs w:val="20"/>
          <w:color w:val="auto"/>
        </w:rPr>
      </w:pPr>
    </w:p>
    <w:p>
      <w:pPr>
        <w:ind w:right="300" w:firstLine="351"/>
        <w:spacing w:after="0" w:line="248" w:lineRule="auto"/>
        <w:rPr>
          <w:sz w:val="20"/>
          <w:szCs w:val="20"/>
          <w:color w:val="auto"/>
        </w:rPr>
      </w:pPr>
      <w:r>
        <w:rPr>
          <w:rFonts w:ascii="Arial" w:cs="Arial" w:eastAsia="Arial" w:hAnsi="Arial"/>
          <w:sz w:val="16"/>
          <w:szCs w:val="16"/>
          <w:color w:val="auto"/>
        </w:rPr>
        <w:t>The Company redeemed all of its outstanding 7.5% Series G preferred stock in August 2021 for $86.8 million using proceeds from its securitized financing facility and 2,560,000 shares of its 7.125% Series H preferred stock in November 2021 for approximately $64.4 million.</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January 2020, the Company settled the December 2019 redemption of its outstanding Series B and Series E preferred stock for $402.9 million.</w:t>
      </w:r>
    </w:p>
    <w:p>
      <w:pPr>
        <w:spacing w:after="0" w:line="97" w:lineRule="exact"/>
        <w:rPr>
          <w:sz w:val="20"/>
          <w:szCs w:val="20"/>
          <w:color w:val="auto"/>
        </w:rPr>
      </w:pPr>
    </w:p>
    <w:p>
      <w:pPr>
        <w:jc w:val="both"/>
        <w:ind w:right="360" w:firstLine="351"/>
        <w:spacing w:after="0" w:line="246" w:lineRule="auto"/>
        <w:rPr>
          <w:sz w:val="20"/>
          <w:szCs w:val="20"/>
          <w:color w:val="auto"/>
        </w:rPr>
      </w:pPr>
      <w:r>
        <w:rPr>
          <w:rFonts w:ascii="Arial" w:cs="Arial" w:eastAsia="Arial" w:hAnsi="Arial"/>
          <w:sz w:val="16"/>
          <w:szCs w:val="16"/>
          <w:color w:val="auto"/>
        </w:rPr>
        <w:t>All preferred stock redemptions are at $25.00 per share liquidation preference plus accrued and unpaid dividends prorated to their redemption dates. The excess or deficit of the $25.00 per share liquidation preference over the carrying value of the preferred stock redeemed results in a decrease or increase to net income attributable to common stockholders, respectively.</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Common Stock</w:t>
      </w:r>
    </w:p>
    <w:p>
      <w:pPr>
        <w:spacing w:after="0" w:line="115" w:lineRule="exact"/>
        <w:rPr>
          <w:sz w:val="20"/>
          <w:szCs w:val="20"/>
          <w:color w:val="auto"/>
        </w:rPr>
      </w:pPr>
    </w:p>
    <w:p>
      <w:pPr>
        <w:ind w:right="120" w:firstLine="351"/>
        <w:spacing w:after="0" w:line="244" w:lineRule="auto"/>
        <w:rPr>
          <w:sz w:val="20"/>
          <w:szCs w:val="20"/>
          <w:color w:val="auto"/>
        </w:rPr>
      </w:pPr>
      <w:r>
        <w:rPr>
          <w:rFonts w:ascii="Arial" w:cs="Arial" w:eastAsia="Arial" w:hAnsi="Arial"/>
          <w:sz w:val="16"/>
          <w:szCs w:val="16"/>
          <w:color w:val="auto"/>
        </w:rPr>
        <w:t>Except with respect to voting rights, class A common stock and class B common stock have the same rights and privileges and rank equally, share ratably in dividends and distributions, and are identical in all respects as to all matters. Class A common stock has one vote per share and class B common stock has thirty-six and one-half votes per share. This gives the holders of class B common stock a right to vote that reflects the aggregate outstanding non-voting economic interest in the Company (in the form of OP Units) attributable to class B common stock holders and therefore, does not provide any disproportionate voting rights. Class B common stock was issued as consideration in the Company's acquisition in April 2015 of the investment management business and operations of its former manager, which was previously controlled by the Company's former Executive Chairman. Each share of class B common stock shall convert automatically into one share of class A common stock if the former Executive Chairman or his beneficiaries directly or indirectly transfer beneficial ownership of class B common stock or OP Units held by them, other than to certain qualified transferees, which generally includes affiliates and employees. In addition, each holder of class B common stock has the right, at the holder’s option, to convert all or a portion of such holder’s class B common stock into an equal number of shares of class A common stock.</w:t>
      </w:r>
    </w:p>
    <w:p>
      <w:pPr>
        <w:spacing w:after="0" w:line="94" w:lineRule="exact"/>
        <w:rPr>
          <w:sz w:val="20"/>
          <w:szCs w:val="20"/>
          <w:color w:val="auto"/>
        </w:rPr>
      </w:pPr>
    </w:p>
    <w:p>
      <w:pPr>
        <w:ind w:right="200" w:firstLine="351"/>
        <w:spacing w:after="0" w:line="246" w:lineRule="auto"/>
        <w:rPr>
          <w:sz w:val="20"/>
          <w:szCs w:val="20"/>
          <w:color w:val="auto"/>
        </w:rPr>
      </w:pPr>
      <w:r>
        <w:rPr>
          <w:rFonts w:ascii="Arial" w:cs="Arial" w:eastAsia="Arial" w:hAnsi="Arial"/>
          <w:sz w:val="16"/>
          <w:szCs w:val="16"/>
          <w:color w:val="auto"/>
        </w:rPr>
        <w:t>The Company suspended dividends on its class A common stock beginning with the second quarter of 2020. Payment of common dividends was previously subject to certain restrictions under the terms of the corporate credit facility, which was terminated in July 2021. The Company continues to monitor its financial performance and liquidity position, and will reevaluate its dividend policy as conditions improve.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Common Stock Repurchases</w:t>
      </w:r>
    </w:p>
    <w:p>
      <w:pPr>
        <w:spacing w:after="0" w:line="113" w:lineRule="exact"/>
        <w:rPr>
          <w:sz w:val="20"/>
          <w:szCs w:val="20"/>
          <w:color w:val="auto"/>
        </w:rPr>
      </w:pPr>
    </w:p>
    <w:p>
      <w:pPr>
        <w:ind w:firstLine="351"/>
        <w:spacing w:after="0" w:line="246" w:lineRule="auto"/>
        <w:rPr>
          <w:sz w:val="20"/>
          <w:szCs w:val="20"/>
          <w:color w:val="auto"/>
        </w:rPr>
      </w:pPr>
      <w:r>
        <w:rPr>
          <w:rFonts w:ascii="Arial" w:cs="Arial" w:eastAsia="Arial" w:hAnsi="Arial"/>
          <w:sz w:val="16"/>
          <w:szCs w:val="16"/>
          <w:color w:val="auto"/>
        </w:rPr>
        <w:t>During the first quarter of 2020 and for the year ended December 31, 2019, the Company repurchased its class A common stock totaling 12,733,204 shares at a cost of $24.6 million and 652,311 shares at a cost of $3.2 million, respectively, or a weighted average price of $1.93 and $4.84 per share, respectively, pursuant to a $300 million share repurchase program that expired in May 2020.</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Dividend Reinvestment and Direct Stock Purchase Plan</w:t>
      </w:r>
    </w:p>
    <w:p>
      <w:pPr>
        <w:spacing w:after="0" w:line="113" w:lineRule="exact"/>
        <w:rPr>
          <w:sz w:val="20"/>
          <w:szCs w:val="20"/>
          <w:color w:val="auto"/>
        </w:rPr>
      </w:pPr>
    </w:p>
    <w:p>
      <w:pPr>
        <w:ind w:right="40" w:firstLine="351"/>
        <w:spacing w:after="0" w:line="288" w:lineRule="auto"/>
        <w:rPr>
          <w:sz w:val="20"/>
          <w:szCs w:val="20"/>
          <w:color w:val="auto"/>
        </w:rPr>
      </w:pPr>
      <w:r>
        <w:rPr>
          <w:rFonts w:ascii="Arial" w:cs="Arial" w:eastAsia="Arial" w:hAnsi="Arial"/>
          <w:sz w:val="14"/>
          <w:szCs w:val="14"/>
          <w:color w:val="auto"/>
        </w:rPr>
        <w:t>The Company's Dividend Reinvestment and Direct Stock Purchase Plan (the “DRIP Plan”) provides existing common stockholders and other investors the opportunity to purchase shares (or additional shares, as applicable) of the Company's class A common stock by reinvesting some or all of the cash dividends received on their shares of the Company's class A common stock or making optional cash purchases within specified parameters. The DRIP Plan involves the acquisition of the Company's class A common stock either in the open market, directly from the Company as newly issued common stock, or in privately negotiated transactions with third parties. There were no shares of class A common stock acquired under the DRIP Plan in the form of new issuances in the last three years.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Accumulated Other Comprehensive Income (Loss)</w:t>
      </w:r>
    </w:p>
    <w:p>
      <w:pPr>
        <w:spacing w:after="0" w:line="115" w:lineRule="exact"/>
        <w:rPr>
          <w:sz w:val="20"/>
          <w:szCs w:val="20"/>
          <w:color w:val="auto"/>
        </w:rPr>
      </w:pPr>
    </w:p>
    <w:p>
      <w:pPr>
        <w:ind w:right="300" w:firstLine="351"/>
        <w:spacing w:after="0" w:line="248" w:lineRule="auto"/>
        <w:rPr>
          <w:sz w:val="20"/>
          <w:szCs w:val="20"/>
          <w:color w:val="auto"/>
        </w:rPr>
      </w:pPr>
      <w:r>
        <w:rPr>
          <w:rFonts w:ascii="Arial" w:cs="Arial" w:eastAsia="Arial" w:hAnsi="Arial"/>
          <w:sz w:val="16"/>
          <w:szCs w:val="16"/>
          <w:color w:val="auto"/>
        </w:rPr>
        <w:t>The following tables present the changes in each component of AOCI attributable to stockholders and noncontrolling interests in investment entities, net of immaterial tax effect. AOCI attributable to noncontrolling interests in Operating Company is immaterial.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9" w:name="page150"/>
    <w:bookmarkEnd w:id="1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Changes in Components of AOCI—Stockholders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Company's Share in</w:t>
            </w:r>
          </w:p>
        </w:tc>
        <w:tc>
          <w:tcPr>
            <w:tcW w:w="13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Unrealized Gain (Loss)</w:t>
            </w:r>
          </w:p>
        </w:tc>
        <w:tc>
          <w:tcPr>
            <w:tcW w:w="13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Unrealized Gain (Loss)</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Foreign Currency</w:t>
            </w: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rPr>
              <w:t>Unrealized Gain (Loss)</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340" w:type="dxa"/>
            <w:vAlign w:val="bottom"/>
            <w:gridSpan w:val="3"/>
          </w:tcPr>
          <w:p>
            <w:pPr>
              <w:ind w:left="40"/>
              <w:spacing w:after="0" w:line="105" w:lineRule="exact"/>
              <w:rPr>
                <w:sz w:val="20"/>
                <w:szCs w:val="20"/>
                <w:color w:val="auto"/>
              </w:rPr>
            </w:pPr>
            <w:r>
              <w:rPr>
                <w:rFonts w:ascii="Arial" w:cs="Arial" w:eastAsia="Arial" w:hAnsi="Arial"/>
                <w:sz w:val="11"/>
                <w:szCs w:val="11"/>
                <w:b w:val="1"/>
                <w:bCs w:val="1"/>
                <w:color w:val="auto"/>
              </w:rPr>
              <w:t>AOCI of Equity Method</w:t>
            </w:r>
          </w:p>
        </w:tc>
        <w:tc>
          <w:tcPr>
            <w:tcW w:w="134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9"/>
              </w:rPr>
              <w:t>Translation Gain</w:t>
            </w: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8"/>
              </w:rPr>
              <w:t>on Net Investment</w:t>
            </w:r>
          </w:p>
        </w:tc>
        <w:tc>
          <w:tcPr>
            <w:tcW w:w="280" w:type="dxa"/>
            <w:vAlign w:val="bottom"/>
          </w:tcPr>
          <w:p>
            <w:pPr>
              <w:spacing w:after="0"/>
              <w:rPr>
                <w:sz w:val="9"/>
                <w:szCs w:val="9"/>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7"/>
        </w:trPr>
        <w:tc>
          <w:tcPr>
            <w:tcW w:w="3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9"/>
              </w:rPr>
              <w:t>Investments</w:t>
            </w:r>
          </w:p>
        </w:tc>
        <w:tc>
          <w:tcPr>
            <w:tcW w:w="134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on AFS Debt Securities</w:t>
            </w:r>
          </w:p>
        </w:tc>
        <w:tc>
          <w:tcPr>
            <w:tcW w:w="13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on Cash Flow Hedges</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5"/>
              </w:rPr>
              <w:t>Hedges</w:t>
            </w: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AOCI at December 31, 2018</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6,618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13,999</w:t>
            </w:r>
          </w:p>
        </w:tc>
        <w:tc>
          <w:tcPr>
            <w:tcW w:w="0" w:type="dxa"/>
            <w:vAlign w:val="bottom"/>
          </w:tcPr>
          <w:p>
            <w:pPr>
              <w:spacing w:after="0"/>
              <w:rPr>
                <w:sz w:val="1"/>
                <w:szCs w:val="1"/>
                <w:color w:val="auto"/>
              </w:rPr>
            </w:pPr>
          </w:p>
        </w:tc>
      </w:tr>
      <w:tr>
        <w:trPr>
          <w:trHeight w:val="154"/>
        </w:trPr>
        <w:tc>
          <w:tcPr>
            <w:tcW w:w="336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Other comprehensive income (loss) before</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9,206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21,832</w:t>
            </w:r>
          </w:p>
        </w:tc>
        <w:tc>
          <w:tcPr>
            <w:tcW w:w="0" w:type="dxa"/>
            <w:vAlign w:val="bottom"/>
          </w:tcPr>
          <w:p>
            <w:pPr>
              <w:spacing w:after="0"/>
              <w:rPr>
                <w:sz w:val="1"/>
                <w:szCs w:val="1"/>
                <w:color w:val="auto"/>
              </w:rPr>
            </w:pPr>
          </w:p>
        </w:tc>
      </w:tr>
      <w:tr>
        <w:trPr>
          <w:trHeight w:val="187"/>
        </w:trPr>
        <w:tc>
          <w:tcPr>
            <w:tcW w:w="3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Amounts reclassified from AOCI</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11,837</w:t>
            </w:r>
          </w:p>
        </w:tc>
        <w:tc>
          <w:tcPr>
            <w:tcW w:w="0" w:type="dxa"/>
            <w:vAlign w:val="bottom"/>
          </w:tcPr>
          <w:p>
            <w:pPr>
              <w:spacing w:after="0"/>
              <w:rPr>
                <w:sz w:val="1"/>
                <w:szCs w:val="1"/>
                <w:color w:val="auto"/>
              </w:rPr>
            </w:pPr>
          </w:p>
        </w:tc>
      </w:tr>
      <w:tr>
        <w:trPr>
          <w:trHeight w:val="18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AOCI at December 31, 2019</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9,281</w:t>
            </w:r>
          </w:p>
        </w:tc>
        <w:tc>
          <w:tcPr>
            <w:tcW w:w="8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7,823</w:t>
            </w:r>
          </w:p>
        </w:tc>
        <w:tc>
          <w:tcPr>
            <w:tcW w:w="100" w:type="dxa"/>
            <w:vAlign w:val="bottom"/>
          </w:tcPr>
          <w:p>
            <w:pPr>
              <w:spacing w:after="0"/>
              <w:rPr>
                <w:sz w:val="15"/>
                <w:szCs w:val="15"/>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30,651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47,668</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60" w:type="dxa"/>
            <w:vAlign w:val="bottom"/>
            <w:gridSpan w:val="2"/>
            <w:shd w:val="clear" w:color="auto" w:fill="CCEEFF"/>
          </w:tcPr>
          <w:p>
            <w:pPr>
              <w:ind w:left="80"/>
              <w:spacing w:after="0" w:line="117" w:lineRule="exact"/>
              <w:rPr>
                <w:sz w:val="20"/>
                <w:szCs w:val="20"/>
                <w:color w:val="auto"/>
              </w:rPr>
            </w:pPr>
            <w:r>
              <w:rPr>
                <w:rFonts w:ascii="Arial" w:cs="Arial" w:eastAsia="Arial" w:hAnsi="Arial"/>
                <w:sz w:val="13"/>
                <w:szCs w:val="13"/>
                <w:color w:val="auto"/>
              </w:rPr>
              <w:t>Other comprehensive income (loss) before</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reclassifications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52,468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78,750</w:t>
            </w:r>
          </w:p>
        </w:tc>
        <w:tc>
          <w:tcPr>
            <w:tcW w:w="0" w:type="dxa"/>
            <w:vAlign w:val="bottom"/>
          </w:tcPr>
          <w:p>
            <w:pPr>
              <w:spacing w:after="0"/>
              <w:rPr>
                <w:sz w:val="1"/>
                <w:szCs w:val="1"/>
                <w:color w:val="auto"/>
              </w:rPr>
            </w:pPr>
          </w:p>
        </w:tc>
      </w:tr>
      <w:tr>
        <w:trPr>
          <w:trHeight w:val="185"/>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Amounts reclassified from AOCI</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13"/>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206"/>
        </w:trPr>
        <w:tc>
          <w:tcPr>
            <w:tcW w:w="3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AOCI at December 31, 2020</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52,832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122,123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80"/>
              <w:spacing w:after="0" w:line="137" w:lineRule="exact"/>
              <w:rPr>
                <w:sz w:val="20"/>
                <w:szCs w:val="20"/>
                <w:color w:val="auto"/>
              </w:rPr>
            </w:pPr>
            <w:r>
              <w:rPr>
                <w:rFonts w:ascii="Arial" w:cs="Arial" w:eastAsia="Arial" w:hAnsi="Arial"/>
                <w:sz w:val="14"/>
                <w:szCs w:val="14"/>
                <w:color w:val="auto"/>
              </w:rPr>
              <w:t>Other comprehensive income (loss) before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3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(12,386)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(35,001)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(45,867)</w:t>
            </w: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Amounts reclassified from AOCI</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10,153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(32,391)</w:t>
            </w:r>
          </w:p>
        </w:tc>
        <w:tc>
          <w:tcPr>
            <w:tcW w:w="0" w:type="dxa"/>
            <w:vAlign w:val="bottom"/>
          </w:tcPr>
          <w:p>
            <w:pPr>
              <w:spacing w:after="0"/>
              <w:rPr>
                <w:sz w:val="1"/>
                <w:szCs w:val="1"/>
                <w:color w:val="auto"/>
              </w:rPr>
            </w:pPr>
          </w:p>
        </w:tc>
      </w:tr>
      <w:tr>
        <w:trPr>
          <w:trHeight w:val="185"/>
        </w:trPr>
        <w:tc>
          <w:tcPr>
            <w:tcW w:w="33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Deconsolidation of investment entities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01"/>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AOCI at December 31, 2021</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26,502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42,383</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Changes in Components of AOCI—Noncontrolling Interests in Investment Entities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8"/>
              </w:rPr>
              <w:t>Unrealized Gain (Loss)</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Foreign Currency</w:t>
            </w:r>
          </w:p>
        </w:tc>
        <w:tc>
          <w:tcPr>
            <w:tcW w:w="14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Unrealized Gain (Loss)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4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98"/>
              </w:rPr>
              <w:t>on Net Investment</w:t>
            </w:r>
          </w:p>
        </w:tc>
        <w:tc>
          <w:tcPr>
            <w:tcW w:w="320" w:type="dxa"/>
            <w:vAlign w:val="bottom"/>
          </w:tcPr>
          <w:p>
            <w:pPr>
              <w:spacing w:after="0"/>
              <w:rPr>
                <w:sz w:val="9"/>
                <w:szCs w:val="9"/>
                <w:color w:val="auto"/>
              </w:rPr>
            </w:pPr>
          </w:p>
        </w:tc>
        <w:tc>
          <w:tcPr>
            <w:tcW w:w="1040" w:type="dxa"/>
            <w:vAlign w:val="bottom"/>
            <w:vMerge w:val="restart"/>
          </w:tcPr>
          <w:p>
            <w:pPr>
              <w:jc w:val="right"/>
              <w:ind w:right="49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7"/>
        </w:trPr>
        <w:tc>
          <w:tcPr>
            <w:tcW w:w="5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7"/>
              </w:rPr>
              <w:t>on Cash Flow Hedges</w:t>
            </w:r>
          </w:p>
        </w:tc>
        <w:tc>
          <w:tcPr>
            <w:tcW w:w="1440" w:type="dxa"/>
            <w:vAlign w:val="bottom"/>
            <w:gridSpan w:val="3"/>
          </w:tcPr>
          <w:p>
            <w:pPr>
              <w:jc w:val="center"/>
              <w:ind w:right="100"/>
              <w:spacing w:after="0" w:line="117" w:lineRule="exact"/>
              <w:rPr>
                <w:sz w:val="20"/>
                <w:szCs w:val="20"/>
                <w:color w:val="auto"/>
              </w:rPr>
            </w:pPr>
            <w:r>
              <w:rPr>
                <w:rFonts w:ascii="Arial" w:cs="Arial" w:eastAsia="Arial" w:hAnsi="Arial"/>
                <w:sz w:val="11"/>
                <w:szCs w:val="11"/>
                <w:b w:val="1"/>
                <w:bCs w:val="1"/>
                <w:color w:val="auto"/>
                <w:w w:val="99"/>
              </w:rPr>
              <w:t>Translation Gain (Loss)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rPr>
              <w:t>Hedges</w:t>
            </w:r>
          </w:p>
        </w:tc>
        <w:tc>
          <w:tcPr>
            <w:tcW w:w="3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AOCI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8,654</w:t>
            </w:r>
          </w:p>
        </w:tc>
        <w:tc>
          <w:tcPr>
            <w:tcW w:w="0" w:type="dxa"/>
            <w:vAlign w:val="bottom"/>
          </w:tcPr>
          <w:p>
            <w:pPr>
              <w:spacing w:after="0"/>
              <w:rPr>
                <w:sz w:val="1"/>
                <w:szCs w:val="1"/>
                <w:color w:val="auto"/>
              </w:rPr>
            </w:pPr>
          </w:p>
        </w:tc>
      </w:tr>
      <w:tr>
        <w:trPr>
          <w:trHeight w:val="185"/>
        </w:trPr>
        <w:tc>
          <w:tcPr>
            <w:tcW w:w="5520" w:type="dxa"/>
            <w:vAlign w:val="bottom"/>
            <w:gridSpan w:val="2"/>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(24,082)</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Amounts reclassified from AOCI</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7,169</w:t>
            </w:r>
          </w:p>
        </w:tc>
        <w:tc>
          <w:tcPr>
            <w:tcW w:w="0" w:type="dxa"/>
            <w:vAlign w:val="bottom"/>
          </w:tcPr>
          <w:p>
            <w:pPr>
              <w:spacing w:after="0"/>
              <w:rPr>
                <w:sz w:val="1"/>
                <w:szCs w:val="1"/>
                <w:color w:val="auto"/>
              </w:rPr>
            </w:pPr>
          </w:p>
        </w:tc>
      </w:tr>
      <w:tr>
        <w:trPr>
          <w:trHeight w:val="176"/>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AOCI at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(8,259)</w:t>
            </w: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101,853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107,141</w:t>
            </w:r>
          </w:p>
        </w:tc>
        <w:tc>
          <w:tcPr>
            <w:tcW w:w="0" w:type="dxa"/>
            <w:vAlign w:val="bottom"/>
          </w:tcPr>
          <w:p>
            <w:pPr>
              <w:spacing w:after="0"/>
              <w:rPr>
                <w:sz w:val="1"/>
                <w:szCs w:val="1"/>
                <w:color w:val="auto"/>
              </w:rPr>
            </w:pPr>
          </w:p>
        </w:tc>
      </w:tr>
      <w:tr>
        <w:trPr>
          <w:trHeight w:val="185"/>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Amounts reclassified from AOCI</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79"/>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AOCI at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83,845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97,914</w:t>
            </w:r>
          </w:p>
        </w:tc>
        <w:tc>
          <w:tcPr>
            <w:tcW w:w="0" w:type="dxa"/>
            <w:vAlign w:val="bottom"/>
          </w:tcPr>
          <w:p>
            <w:pPr>
              <w:spacing w:after="0"/>
              <w:rPr>
                <w:sz w:val="1"/>
                <w:szCs w:val="1"/>
                <w:color w:val="auto"/>
              </w:rPr>
            </w:pPr>
          </w:p>
        </w:tc>
      </w:tr>
      <w:tr>
        <w:trPr>
          <w:trHeight w:val="179"/>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Other comprehensive loss before reclassifications</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(65,127)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(65,127)</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Amounts reclassified from AOCI</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(15,433)</w:t>
            </w:r>
          </w:p>
        </w:tc>
        <w:tc>
          <w:tcPr>
            <w:tcW w:w="0" w:type="dxa"/>
            <w:vAlign w:val="bottom"/>
          </w:tcPr>
          <w:p>
            <w:pPr>
              <w:spacing w:after="0"/>
              <w:rPr>
                <w:sz w:val="1"/>
                <w:szCs w:val="1"/>
                <w:color w:val="auto"/>
              </w:rPr>
            </w:pPr>
          </w:p>
        </w:tc>
      </w:tr>
      <w:tr>
        <w:trPr>
          <w:trHeight w:val="185"/>
        </w:trPr>
        <w:tc>
          <w:tcPr>
            <w:tcW w:w="5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Deconsolidation of investment entities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(6,297)</w:t>
            </w: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AOCI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11,057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11,057</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Reclassifications out of AOCI—Stockholders</w:t>
      </w:r>
    </w:p>
    <w:p>
      <w:pPr>
        <w:spacing w:after="0" w:line="113" w:lineRule="exact"/>
        <w:rPr>
          <w:sz w:val="20"/>
          <w:szCs w:val="20"/>
          <w:color w:val="auto"/>
        </w:rPr>
      </w:pPr>
    </w:p>
    <w:p>
      <w:pPr>
        <w:ind w:right="240" w:firstLine="351"/>
        <w:spacing w:after="0" w:line="246" w:lineRule="auto"/>
        <w:rPr>
          <w:sz w:val="20"/>
          <w:szCs w:val="20"/>
          <w:color w:val="auto"/>
        </w:rPr>
      </w:pPr>
      <w:r>
        <w:rPr>
          <w:rFonts w:ascii="Arial" w:cs="Arial" w:eastAsia="Arial" w:hAnsi="Arial"/>
          <w:sz w:val="16"/>
          <w:szCs w:val="16"/>
          <w:color w:val="auto"/>
        </w:rPr>
        <w:t>Information about amounts reclassified out of AOCI attributable to stockholders by component is presented below. Such amounts are included in other gain (loss) in both continuing and discontinued operations on the statements of operations, as applicable, except for amounts related to equity method investments, which are included in equity method losses in discontinued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60" w:type="dxa"/>
            <w:vAlign w:val="bottom"/>
            <w:gridSpan w:val="3"/>
          </w:tcPr>
          <w:p>
            <w:pPr>
              <w:spacing w:after="0"/>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40" w:type="dxa"/>
            <w:vAlign w:val="bottom"/>
            <w:gridSpan w:val="4"/>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vMerge w:val="restart"/>
          </w:tcPr>
          <w:p>
            <w:pPr>
              <w:ind w:left="820"/>
              <w:spacing w:after="0"/>
              <w:rPr>
                <w:sz w:val="20"/>
                <w:szCs w:val="20"/>
                <w:color w:val="auto"/>
              </w:rPr>
            </w:pPr>
            <w:r>
              <w:rPr>
                <w:rFonts w:ascii="Arial" w:cs="Arial" w:eastAsia="Arial" w:hAnsi="Arial"/>
                <w:sz w:val="11"/>
                <w:szCs w:val="11"/>
                <w:b w:val="1"/>
                <w:bCs w:val="1"/>
                <w:color w:val="auto"/>
              </w:rPr>
              <w:t>Affected Line Item in the</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Component of AOCI reclassified into earnings</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92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Consolidated Statements of Operations</w:t>
            </w:r>
          </w:p>
        </w:tc>
        <w:tc>
          <w:tcPr>
            <w:tcW w:w="0" w:type="dxa"/>
            <w:vAlign w:val="bottom"/>
          </w:tcPr>
          <w:p>
            <w:pPr>
              <w:spacing w:after="0"/>
              <w:rPr>
                <w:sz w:val="1"/>
                <w:szCs w:val="1"/>
                <w:color w:val="auto"/>
              </w:rPr>
            </w:pPr>
          </w:p>
        </w:tc>
      </w:tr>
      <w:tr>
        <w:trPr>
          <w:trHeight w:val="183"/>
        </w:trPr>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Relief of basis of AFS debt securities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54"/>
        </w:trPr>
        <w:tc>
          <w:tcPr>
            <w:tcW w:w="4060" w:type="dxa"/>
            <w:vAlign w:val="bottom"/>
            <w:gridSpan w:val="3"/>
          </w:tcPr>
          <w:p>
            <w:pPr>
              <w:spacing w:after="0" w:line="154" w:lineRule="exact"/>
              <w:rPr>
                <w:sz w:val="20"/>
                <w:szCs w:val="20"/>
                <w:color w:val="auto"/>
              </w:rPr>
            </w:pPr>
            <w:r>
              <w:rPr>
                <w:rFonts w:ascii="Arial" w:cs="Arial" w:eastAsia="Arial" w:hAnsi="Arial"/>
                <w:sz w:val="14"/>
                <w:szCs w:val="14"/>
                <w:color w:val="auto"/>
              </w:rPr>
              <w:t>Other-than-temporary impairment of AFS debt securities (prior</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71"/>
        </w:trPr>
        <w:tc>
          <w:tcPr>
            <w:tcW w:w="4060" w:type="dxa"/>
            <w:vAlign w:val="bottom"/>
            <w:gridSpan w:val="3"/>
          </w:tcPr>
          <w:p>
            <w:pPr>
              <w:ind w:left="80"/>
              <w:spacing w:after="0"/>
              <w:rPr>
                <w:sz w:val="20"/>
                <w:szCs w:val="20"/>
                <w:color w:val="auto"/>
              </w:rPr>
            </w:pPr>
            <w:r>
              <w:rPr>
                <w:rFonts w:ascii="Arial" w:cs="Arial" w:eastAsia="Arial" w:hAnsi="Arial"/>
                <w:sz w:val="14"/>
                <w:szCs w:val="14"/>
                <w:color w:val="auto"/>
              </w:rPr>
              <w:t>to 2020)</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(15,356)</w:t>
            </w:r>
          </w:p>
        </w:tc>
        <w:tc>
          <w:tcPr>
            <w:tcW w:w="10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Release of foreign currency cumulative translation adjustments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6"/>
                <w:szCs w:val="16"/>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85"/>
        </w:trPr>
        <w:tc>
          <w:tcPr>
            <w:tcW w:w="4060" w:type="dxa"/>
            <w:vAlign w:val="bottom"/>
            <w:gridSpan w:val="3"/>
          </w:tcPr>
          <w:p>
            <w:pPr>
              <w:spacing w:after="0"/>
              <w:rPr>
                <w:sz w:val="20"/>
                <w:szCs w:val="20"/>
                <w:color w:val="auto"/>
              </w:rPr>
            </w:pPr>
            <w:r>
              <w:rPr>
                <w:rFonts w:ascii="Arial" w:cs="Arial" w:eastAsia="Arial" w:hAnsi="Arial"/>
                <w:sz w:val="14"/>
                <w:szCs w:val="14"/>
                <w:color w:val="auto"/>
              </w:rPr>
              <w:t>Unrealized gain on dedesignated net investment hedges</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89"/>
        </w:trPr>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Realized gain on net investment hedges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6"/>
                <w:szCs w:val="16"/>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85"/>
        </w:trPr>
        <w:tc>
          <w:tcPr>
            <w:tcW w:w="4060" w:type="dxa"/>
            <w:vAlign w:val="bottom"/>
            <w:gridSpan w:val="3"/>
          </w:tcPr>
          <w:p>
            <w:pPr>
              <w:spacing w:after="0"/>
              <w:rPr>
                <w:sz w:val="20"/>
                <w:szCs w:val="20"/>
                <w:color w:val="auto"/>
              </w:rPr>
            </w:pPr>
            <w:r>
              <w:rPr>
                <w:rFonts w:ascii="Arial" w:cs="Arial" w:eastAsia="Arial" w:hAnsi="Arial"/>
                <w:sz w:val="14"/>
                <w:szCs w:val="14"/>
                <w:color w:val="auto"/>
              </w:rPr>
              <w:t>Realized loss on cash flow hedges</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920" w:type="dxa"/>
            <w:vAlign w:val="bottom"/>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89"/>
        </w:trPr>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Deconsolidation of investment entities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 (loss), net</w:t>
            </w:r>
          </w:p>
        </w:tc>
        <w:tc>
          <w:tcPr>
            <w:tcW w:w="0" w:type="dxa"/>
            <w:vAlign w:val="bottom"/>
          </w:tcPr>
          <w:p>
            <w:pPr>
              <w:spacing w:after="0"/>
              <w:rPr>
                <w:sz w:val="1"/>
                <w:szCs w:val="1"/>
                <w:color w:val="auto"/>
              </w:rPr>
            </w:pPr>
          </w:p>
        </w:tc>
      </w:tr>
      <w:tr>
        <w:trPr>
          <w:trHeight w:val="182"/>
        </w:trPr>
        <w:tc>
          <w:tcPr>
            <w:tcW w:w="4060" w:type="dxa"/>
            <w:vAlign w:val="bottom"/>
            <w:gridSpan w:val="3"/>
          </w:tcPr>
          <w:p>
            <w:pPr>
              <w:spacing w:after="0"/>
              <w:rPr>
                <w:sz w:val="20"/>
                <w:szCs w:val="20"/>
                <w:color w:val="auto"/>
              </w:rPr>
            </w:pPr>
            <w:r>
              <w:rPr>
                <w:rFonts w:ascii="Arial" w:cs="Arial" w:eastAsia="Arial" w:hAnsi="Arial"/>
                <w:sz w:val="14"/>
                <w:szCs w:val="14"/>
                <w:color w:val="auto"/>
              </w:rPr>
              <w:t>Release of equity in AOCI of equity method investments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3,554</w:t>
            </w:r>
          </w:p>
        </w:tc>
        <w:tc>
          <w:tcPr>
            <w:tcW w:w="10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Equity method earnings (losses)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0" w:name="page151"/>
    <w:bookmarkEnd w:id="1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Noncontrolling Interests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Redeemable Noncontrolling Interests</w:t>
      </w:r>
    </w:p>
    <w:p>
      <w:pPr>
        <w:spacing w:after="0" w:line="115" w:lineRule="exact"/>
        <w:rPr>
          <w:sz w:val="20"/>
          <w:szCs w:val="20"/>
          <w:color w:val="auto"/>
        </w:rPr>
      </w:pPr>
    </w:p>
    <w:p>
      <w:pPr>
        <w:ind w:right="420" w:firstLine="351"/>
        <w:spacing w:after="0" w:line="248" w:lineRule="auto"/>
        <w:rPr>
          <w:sz w:val="20"/>
          <w:szCs w:val="20"/>
          <w:color w:val="auto"/>
        </w:rPr>
      </w:pPr>
      <w:r>
        <w:rPr>
          <w:rFonts w:ascii="Arial" w:cs="Arial" w:eastAsia="Arial" w:hAnsi="Arial"/>
          <w:sz w:val="16"/>
          <w:szCs w:val="16"/>
          <w:color w:val="auto"/>
        </w:rPr>
        <w:t>The following table presents the activity in redeemable noncontrolling interests in the Company's digital investment management business, as discussed below, and in open-end funds sponsored and consolidated by the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17"/>
        </w:trPr>
        <w:tc>
          <w:tcPr>
            <w:tcW w:w="67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100" w:type="dxa"/>
            <w:vAlign w:val="bottom"/>
          </w:tcPr>
          <w:p>
            <w:pPr>
              <w:jc w:val="right"/>
              <w:ind w:right="532"/>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552"/>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532"/>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6720" w:type="dxa"/>
            <w:vAlign w:val="bottom"/>
            <w:gridSpan w:val="3"/>
            <w:shd w:val="clear" w:color="auto" w:fill="CCEEFF"/>
          </w:tcPr>
          <w:p>
            <w:pPr>
              <w:spacing w:after="0" w:line="127"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5"/>
        </w:trPr>
        <w:tc>
          <w:tcPr>
            <w:tcW w:w="2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Beginning balance</w:t>
            </w:r>
          </w:p>
        </w:tc>
        <w:tc>
          <w:tcPr>
            <w:tcW w:w="44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305,278</w:t>
            </w: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jc w:val="right"/>
              <w:ind w:right="175"/>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CCEEFF"/>
            </w:tcBorders>
          </w:tcPr>
          <w:p>
            <w:pPr>
              <w:jc w:val="right"/>
              <w:ind w:right="12"/>
              <w:spacing w:after="0"/>
              <w:rPr>
                <w:sz w:val="20"/>
                <w:szCs w:val="20"/>
                <w:color w:val="auto"/>
              </w:rPr>
            </w:pPr>
            <w:r>
              <w:rPr>
                <w:rFonts w:ascii="Arial" w:cs="Arial" w:eastAsia="Arial" w:hAnsi="Arial"/>
                <w:sz w:val="14"/>
                <w:szCs w:val="14"/>
                <w:color w:val="auto"/>
              </w:rPr>
              <w:t>6,107</w:t>
            </w: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9,385</w:t>
            </w:r>
          </w:p>
        </w:tc>
      </w:tr>
      <w:tr>
        <w:trPr>
          <w:trHeight w:val="189"/>
        </w:trPr>
        <w:tc>
          <w:tcPr>
            <w:tcW w:w="67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Contributions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307,414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6720" w:type="dxa"/>
            <w:vAlign w:val="bottom"/>
            <w:gridSpan w:val="3"/>
          </w:tcPr>
          <w:p>
            <w:pPr>
              <w:ind w:left="200"/>
              <w:spacing w:after="0"/>
              <w:rPr>
                <w:sz w:val="20"/>
                <w:szCs w:val="20"/>
                <w:color w:val="auto"/>
              </w:rPr>
            </w:pPr>
            <w:r>
              <w:rPr>
                <w:rFonts w:ascii="Arial" w:cs="Arial" w:eastAsia="Arial" w:hAnsi="Arial"/>
                <w:sz w:val="14"/>
                <w:szCs w:val="14"/>
                <w:color w:val="auto"/>
              </w:rPr>
              <w:t>Distributions and redemptions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(8,859)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(5,837)</w:t>
            </w:r>
          </w:p>
        </w:tc>
      </w:tr>
      <w:tr>
        <w:trPr>
          <w:trHeight w:val="187"/>
        </w:trPr>
        <w:tc>
          <w:tcPr>
            <w:tcW w:w="67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34,677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w:t>
            </w:r>
          </w:p>
        </w:tc>
      </w:tr>
      <w:tr>
        <w:trPr>
          <w:trHeight w:val="181"/>
        </w:trPr>
        <w:tc>
          <w:tcPr>
            <w:tcW w:w="6720" w:type="dxa"/>
            <w:vAlign w:val="bottom"/>
            <w:gridSpan w:val="3"/>
          </w:tcPr>
          <w:p>
            <w:pPr>
              <w:ind w:left="100"/>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359,223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305,278</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6,107</w:t>
            </w:r>
          </w:p>
        </w:tc>
      </w:tr>
      <w:tr>
        <w:trPr>
          <w:trHeight w:val="20"/>
        </w:trPr>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Strategic Partnership in the Company's Digital Investment Management Business</w:t>
      </w:r>
    </w:p>
    <w:p>
      <w:pPr>
        <w:spacing w:after="0" w:line="113"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In July 2020, the Company formed a strategic partnership with affiliates of Wafra, Inc. (collectively, "Wafra"), a private investment firm and a global partner for alternative asset managers, in which Wafra made a minority investment in substantially all of the Company's digital investment management business (as defined for purposes of this transaction, the "Digital IM Business"). The investment entitles Wafra to participate in approximately 31.5% of the net management fees and carried interest generated by the Digital IM Business.</w:t>
      </w:r>
    </w:p>
    <w:p>
      <w:pPr>
        <w:spacing w:after="0" w:line="91" w:lineRule="exact"/>
        <w:rPr>
          <w:sz w:val="20"/>
          <w:szCs w:val="20"/>
          <w:color w:val="auto"/>
        </w:rPr>
      </w:pPr>
    </w:p>
    <w:p>
      <w:pPr>
        <w:ind w:right="120" w:firstLine="351"/>
        <w:spacing w:after="0" w:line="245" w:lineRule="auto"/>
        <w:rPr>
          <w:sz w:val="20"/>
          <w:szCs w:val="20"/>
          <w:color w:val="auto"/>
        </w:rPr>
      </w:pPr>
      <w:r>
        <w:rPr>
          <w:rFonts w:ascii="Arial" w:cs="Arial" w:eastAsia="Arial" w:hAnsi="Arial"/>
          <w:sz w:val="16"/>
          <w:szCs w:val="16"/>
          <w:color w:val="auto"/>
        </w:rPr>
        <w:t>Pursuant to this strategic partnership, Wafra has assumed directly and also indirectly through a participation interest $124.9 million of the Company's commitments to DBP I, and has a $125.0 million commitment to DBP II that has been partially funded to-date. Wafra has also agreed to make commitments to the Company's future digital funds and investment vehicles on a pro rata basis with the Company based on Wafra's percentage interest in the Digital IM Business, subject to certain caps.</w:t>
      </w:r>
    </w:p>
    <w:p>
      <w:pPr>
        <w:spacing w:after="0" w:line="91"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4"/>
          <w:szCs w:val="14"/>
          <w:color w:val="auto"/>
        </w:rPr>
        <w:t>In addition, the Company issued Wafra five warrants to purchase up to an aggregate of 5% of the Company’s class A common stock (5% at the time of the transaction, on a fully-diluted, post-transaction basis). Each warrant entitles Wafra to purchase up to 5,352,000 shares of the Company's class A common stock, with staggered strike prices between $2.43 and $6.00 for each warrant, exercisable until July 17, 2026. No warrants have been exercised to-date.</w:t>
      </w:r>
    </w:p>
    <w:p>
      <w:pPr>
        <w:spacing w:after="0" w:line="55"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Wafra paid cash consideration of $253.6 million at closing in exchange for its investment in the Digital IM Business and for the warrants. As previously agreed, Wafra paid additional consideration of $29.9 million in the Digital IM Business in April 2021 based upon the Digital IM Business having achieved a minimum run-rate of earnings before interest, tax, depreciation and amortization (as defined for the purpose of this computation) of $72.0 million as of December 31, 2020. The Compensation Committee of the Board of Directors has approved an allocation of 50% of the contingent consideration received from Wafra as additional bonus compensation to management, to be paid on behalf of certain employees to fund a portion of their share of capital contributions to the DBP funds as capital calls are made for these funds. Compensation expense is recognized over time based upon an estimated timeline for deployment of capital by the funds, which will correspond to the timing of capital calls to be funded by the Company on behalf of management.</w:t>
      </w:r>
    </w:p>
    <w:p>
      <w:pPr>
        <w:spacing w:after="0" w:line="94" w:lineRule="exact"/>
        <w:rPr>
          <w:sz w:val="20"/>
          <w:szCs w:val="20"/>
          <w:color w:val="auto"/>
        </w:rPr>
      </w:pPr>
    </w:p>
    <w:p>
      <w:pPr>
        <w:ind w:firstLine="351"/>
        <w:spacing w:after="0" w:line="245" w:lineRule="auto"/>
        <w:rPr>
          <w:sz w:val="20"/>
          <w:szCs w:val="20"/>
          <w:color w:val="auto"/>
        </w:rPr>
      </w:pPr>
      <w:r>
        <w:rPr>
          <w:rFonts w:ascii="Arial" w:cs="Arial" w:eastAsia="Arial" w:hAnsi="Arial"/>
          <w:sz w:val="16"/>
          <w:szCs w:val="16"/>
          <w:color w:val="auto"/>
        </w:rPr>
        <w:t>Under certain circumstances following such time as the Digital IM Business comprises 90% or more of the Company's assets, the Company has agreed to use commercially reasonable efforts to facilitate the conversion of Wafra's interest into shares of the Company's class A common stock. There can be no assurances that such conversion would occur or on what terms and conditions such conversion would occur, including whether such conversion, if it did occur in the future, would have any adverse impact on the Company, the Company’s stock price, governance and other matters.</w:t>
      </w:r>
    </w:p>
    <w:p>
      <w:pPr>
        <w:spacing w:after="0" w:line="91" w:lineRule="exact"/>
        <w:rPr>
          <w:sz w:val="20"/>
          <w:szCs w:val="20"/>
          <w:color w:val="auto"/>
        </w:rPr>
      </w:pPr>
    </w:p>
    <w:p>
      <w:pPr>
        <w:ind w:right="40" w:firstLine="351"/>
        <w:spacing w:after="0" w:line="233" w:lineRule="auto"/>
        <w:rPr>
          <w:sz w:val="20"/>
          <w:szCs w:val="20"/>
          <w:color w:val="auto"/>
        </w:rPr>
      </w:pPr>
      <w:r>
        <w:rPr>
          <w:rFonts w:ascii="Arial" w:cs="Arial" w:eastAsia="Arial" w:hAnsi="Arial"/>
          <w:sz w:val="16"/>
          <w:szCs w:val="16"/>
          <w:color w:val="auto"/>
        </w:rPr>
        <w:t>Wafra has customary minority rights and certain other structural protections designed to protect its interests, including redemption rights with respect to its investment in the Digital IM Business and its funded commitments in certain digital funds. Wafra's redemption rights will be triggered upon the occurrence of certain events, including key person or cause events under the governing documents of certain digital funds.</w:t>
      </w:r>
    </w:p>
    <w:p>
      <w:pPr>
        <w:spacing w:after="0" w:line="84" w:lineRule="exact"/>
        <w:rPr>
          <w:sz w:val="20"/>
          <w:szCs w:val="20"/>
          <w:color w:val="auto"/>
        </w:rPr>
      </w:pPr>
    </w:p>
    <w:p>
      <w:pPr>
        <w:ind w:right="60" w:firstLine="351"/>
        <w:spacing w:after="0" w:line="317" w:lineRule="auto"/>
        <w:rPr>
          <w:sz w:val="20"/>
          <w:szCs w:val="20"/>
          <w:color w:val="auto"/>
        </w:rPr>
      </w:pPr>
      <w:r>
        <w:rPr>
          <w:rFonts w:ascii="Arial" w:cs="Arial" w:eastAsia="Arial" w:hAnsi="Arial"/>
          <w:sz w:val="14"/>
          <w:szCs w:val="14"/>
          <w:color w:val="auto"/>
        </w:rPr>
        <w:t>To further enhance the alignment of interests, the Company entered into an amended and restated restrictive covenant agreement with each of Mr. Ganzi and Mr. Jenkins, pursuant to which they agreed to certain enhanced non-solicitation provisions and extension of the term of existing non-competition agreements.</w:t>
      </w:r>
    </w:p>
    <w:p>
      <w:pPr>
        <w:spacing w:after="0" w:line="42" w:lineRule="exact"/>
        <w:rPr>
          <w:sz w:val="20"/>
          <w:szCs w:val="20"/>
          <w:color w:val="auto"/>
        </w:rPr>
      </w:pPr>
    </w:p>
    <w:p>
      <w:pPr>
        <w:ind w:right="660" w:firstLine="351"/>
        <w:spacing w:after="0" w:line="236" w:lineRule="auto"/>
        <w:rPr>
          <w:sz w:val="20"/>
          <w:szCs w:val="20"/>
          <w:color w:val="auto"/>
        </w:rPr>
      </w:pPr>
      <w:r>
        <w:rPr>
          <w:rFonts w:ascii="Arial" w:cs="Arial" w:eastAsia="Arial" w:hAnsi="Arial"/>
          <w:sz w:val="16"/>
          <w:szCs w:val="16"/>
          <w:color w:val="auto"/>
        </w:rPr>
        <w:t>Wafra’s investment provides the Company with permanent capital to pursue strategic digital infrastructure investments and further grow the Digital IM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1" w:name="page152"/>
    <w:bookmarkEnd w:id="151"/>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6"/>
        <w:spacing w:after="0"/>
        <w:rPr>
          <w:sz w:val="20"/>
          <w:szCs w:val="20"/>
          <w:color w:val="auto"/>
        </w:rPr>
      </w:pPr>
      <w:r>
        <w:rPr>
          <w:rFonts w:ascii="Arial" w:cs="Arial" w:eastAsia="Arial" w:hAnsi="Arial"/>
          <w:sz w:val="16"/>
          <w:szCs w:val="16"/>
          <w:b w:val="1"/>
          <w:bCs w:val="1"/>
          <w:i w:val="1"/>
          <w:iCs w:val="1"/>
          <w:color w:val="auto"/>
        </w:rPr>
        <w:t>Noncontrolling Interests in Operating Company</w:t>
      </w:r>
    </w:p>
    <w:p>
      <w:pPr>
        <w:spacing w:after="0" w:line="115" w:lineRule="exact"/>
        <w:rPr>
          <w:sz w:val="20"/>
          <w:szCs w:val="20"/>
          <w:color w:val="auto"/>
        </w:rPr>
      </w:pPr>
    </w:p>
    <w:p>
      <w:pPr>
        <w:ind w:left="6" w:right="120" w:firstLine="351"/>
        <w:spacing w:after="0" w:line="245" w:lineRule="auto"/>
        <w:rPr>
          <w:sz w:val="20"/>
          <w:szCs w:val="20"/>
          <w:color w:val="auto"/>
        </w:rPr>
      </w:pPr>
      <w:r>
        <w:rPr>
          <w:rFonts w:ascii="Arial" w:cs="Arial" w:eastAsia="Arial" w:hAnsi="Arial"/>
          <w:sz w:val="16"/>
          <w:szCs w:val="16"/>
          <w:color w:val="auto"/>
        </w:rPr>
        <w:t>Certain current and former employees of the Company directly or indirectly own interests in OP, presented as noncontrolling interests in the Operating Company. Noncontrolling interests in OP have the right to require OP to redeem part or all of such member’s OP Units for cash based on the market value of an equivalent number of shares of class A common stock at the time of redemption, or at the Company's election as managing member of OP, through issuance of shares of class A common stock (registered or unregistered) on a one-for-one basis. At the end of each period, noncontrolling interests in OP is adjusted to reflect their ownership percentage in OP at the end of the period, through a reallocation between controlling and noncontrolling interests in OP.</w:t>
      </w:r>
    </w:p>
    <w:p>
      <w:pPr>
        <w:spacing w:after="0" w:line="74" w:lineRule="exact"/>
        <w:rPr>
          <w:sz w:val="20"/>
          <w:szCs w:val="20"/>
          <w:color w:val="auto"/>
        </w:rPr>
      </w:pPr>
    </w:p>
    <w:p>
      <w:pPr>
        <w:ind w:left="346"/>
        <w:spacing w:after="0"/>
        <w:rPr>
          <w:sz w:val="20"/>
          <w:szCs w:val="20"/>
          <w:color w:val="auto"/>
        </w:rPr>
      </w:pPr>
      <w:r>
        <w:rPr>
          <w:rFonts w:ascii="Arial" w:cs="Arial" w:eastAsia="Arial" w:hAnsi="Arial"/>
          <w:sz w:val="16"/>
          <w:szCs w:val="16"/>
          <w:i w:val="1"/>
          <w:iCs w:val="1"/>
          <w:color w:val="auto"/>
        </w:rPr>
        <w:t>Issuance of OP Units</w:t>
      </w:r>
      <w:r>
        <w:rPr>
          <w:rFonts w:ascii="Arial" w:cs="Arial" w:eastAsia="Arial" w:hAnsi="Arial"/>
          <w:sz w:val="16"/>
          <w:szCs w:val="16"/>
          <w:color w:val="auto"/>
        </w:rPr>
        <w:t>—The Company issued OP Units totaling 21,478,515 in July 2019 and 612,072 in December</w:t>
      </w:r>
    </w:p>
    <w:p>
      <w:pPr>
        <w:spacing w:after="0" w:line="19" w:lineRule="exact"/>
        <w:rPr>
          <w:sz w:val="20"/>
          <w:szCs w:val="20"/>
          <w:color w:val="auto"/>
        </w:rPr>
      </w:pPr>
    </w:p>
    <w:p>
      <w:pPr>
        <w:ind w:left="6" w:right="260"/>
        <w:spacing w:after="0" w:line="317" w:lineRule="auto"/>
        <w:rPr>
          <w:sz w:val="20"/>
          <w:szCs w:val="20"/>
          <w:color w:val="auto"/>
        </w:rPr>
      </w:pPr>
      <w:r>
        <w:rPr>
          <w:rFonts w:ascii="Arial" w:cs="Arial" w:eastAsia="Arial" w:hAnsi="Arial"/>
          <w:sz w:val="14"/>
          <w:szCs w:val="14"/>
          <w:color w:val="auto"/>
        </w:rPr>
        <w:t>2019 as part of the consideration for the acquisitions of DBH, valued at $111.9 million, and DataBank, valued at $3.0 million, based upon the closing price of the Company's class A common stock on July 24, 2019 and December 20, 2019, respectively (Note 3). There were no OP Units issued in 2021 and 2020.</w:t>
      </w:r>
    </w:p>
    <w:p>
      <w:pPr>
        <w:spacing w:after="0" w:line="26" w:lineRule="exact"/>
        <w:rPr>
          <w:sz w:val="20"/>
          <w:szCs w:val="20"/>
          <w:color w:val="auto"/>
        </w:rPr>
      </w:pPr>
    </w:p>
    <w:p>
      <w:pPr>
        <w:ind w:left="6" w:right="180" w:firstLine="351"/>
        <w:spacing w:after="0" w:line="268" w:lineRule="auto"/>
        <w:rPr>
          <w:sz w:val="20"/>
          <w:szCs w:val="20"/>
          <w:color w:val="auto"/>
        </w:rPr>
      </w:pPr>
      <w:r>
        <w:rPr>
          <w:rFonts w:ascii="Arial" w:cs="Arial" w:eastAsia="Arial" w:hAnsi="Arial"/>
          <w:sz w:val="16"/>
          <w:szCs w:val="16"/>
          <w:i w:val="1"/>
          <w:iCs w:val="1"/>
          <w:color w:val="auto"/>
        </w:rPr>
        <w:t>Redemption of OP Units</w:t>
      </w:r>
      <w:r>
        <w:rPr>
          <w:rFonts w:ascii="Arial" w:cs="Arial" w:eastAsia="Arial" w:hAnsi="Arial"/>
          <w:sz w:val="16"/>
          <w:szCs w:val="16"/>
          <w:color w:val="auto"/>
        </w:rPr>
        <w:t>—The Company redeemed OP Units totaling 2,005,367 in 2021, 2,184,395 in 2020 and 187,995 in 2019 through the issuance of an</w:t>
      </w:r>
      <w:r>
        <w:rPr>
          <w:rFonts w:ascii="Arial" w:cs="Arial" w:eastAsia="Arial" w:hAnsi="Arial"/>
          <w:sz w:val="16"/>
          <w:szCs w:val="16"/>
          <w:i w:val="1"/>
          <w:iCs w:val="1"/>
          <w:color w:val="auto"/>
        </w:rPr>
        <w:t xml:space="preserve"> </w:t>
      </w:r>
      <w:r>
        <w:rPr>
          <w:rFonts w:ascii="Arial" w:cs="Arial" w:eastAsia="Arial" w:hAnsi="Arial"/>
          <w:sz w:val="16"/>
          <w:szCs w:val="16"/>
          <w:color w:val="auto"/>
        </w:rPr>
        <w:t>equal number of shares of class A common stock on a one-for-one basis.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11. Assets and Related Liabilities Held for Disposition</w:t>
      </w:r>
    </w:p>
    <w:p>
      <w:pPr>
        <w:spacing w:after="0" w:line="161" w:lineRule="exact"/>
        <w:rPr>
          <w:sz w:val="20"/>
          <w:szCs w:val="20"/>
          <w:color w:val="auto"/>
        </w:rPr>
      </w:pPr>
    </w:p>
    <w:p>
      <w:pPr>
        <w:ind w:left="6" w:right="160" w:firstLine="351"/>
        <w:spacing w:after="0" w:line="245" w:lineRule="auto"/>
        <w:rPr>
          <w:sz w:val="20"/>
          <w:szCs w:val="20"/>
          <w:color w:val="auto"/>
        </w:rPr>
      </w:pPr>
      <w:r>
        <w:rPr>
          <w:rFonts w:ascii="Arial" w:cs="Arial" w:eastAsia="Arial" w:hAnsi="Arial"/>
          <w:sz w:val="16"/>
          <w:szCs w:val="16"/>
          <w:color w:val="auto"/>
        </w:rPr>
        <w:t>Total assets and related liabilities held for disposition are summarized below, all of which relate to discontinued operations (Note 12). These assets and liabilities are composed of: (i) those held by NRF Holdco, predominantly related to Wellness Infrastructure assets and obligations, which were subsequently disposed in February 2022; (ii) prior to disposition in December 2021, OED investments and intangible assets of the Other IM business, both of which previously resided in the Other segment; and (iii) prior to disposition in March 2021, the Company's hotel business, with the remaining hotel portfolio that was in receivership sold by the lender in September 2021.</w:t>
      </w:r>
    </w:p>
    <w:p>
      <w:pPr>
        <w:spacing w:after="0" w:line="93"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802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0"/>
                <w:szCs w:val="10"/>
                <w:color w:val="auto"/>
              </w:rPr>
            </w:pPr>
          </w:p>
        </w:tc>
        <w:tc>
          <w:tcPr>
            <w:tcW w:w="1380" w:type="dxa"/>
            <w:vAlign w:val="bottom"/>
          </w:tcPr>
          <w:p>
            <w:pPr>
              <w:jc w:val="right"/>
              <w:ind w:right="231"/>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2"/>
        </w:trPr>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5"/>
        </w:trPr>
        <w:tc>
          <w:tcPr>
            <w:tcW w:w="8020" w:type="dxa"/>
            <w:vAlign w:val="bottom"/>
            <w:gridSpan w:val="2"/>
          </w:tcPr>
          <w:p>
            <w:pPr>
              <w:ind w:left="120"/>
              <w:spacing w:after="0"/>
              <w:rPr>
                <w:sz w:val="20"/>
                <w:szCs w:val="20"/>
                <w:color w:val="auto"/>
              </w:rPr>
            </w:pPr>
            <w:r>
              <w:rPr>
                <w:rFonts w:ascii="Arial" w:cs="Arial" w:eastAsia="Arial" w:hAnsi="Arial"/>
                <w:sz w:val="14"/>
                <w:szCs w:val="14"/>
                <w:color w:val="auto"/>
              </w:rPr>
              <w:t>Restricted cash</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65,022</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191,692</w:t>
            </w:r>
          </w:p>
        </w:tc>
      </w:tr>
      <w:tr>
        <w:trPr>
          <w:trHeight w:val="189"/>
        </w:trPr>
        <w:tc>
          <w:tcPr>
            <w:tcW w:w="8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 net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3,079,416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8,179,025</w:t>
            </w:r>
          </w:p>
        </w:tc>
      </w:tr>
      <w:tr>
        <w:trPr>
          <w:trHeight w:val="185"/>
        </w:trPr>
        <w:tc>
          <w:tcPr>
            <w:tcW w:w="8020" w:type="dxa"/>
            <w:vAlign w:val="bottom"/>
            <w:gridSpan w:val="2"/>
          </w:tcPr>
          <w:p>
            <w:pPr>
              <w:ind w:left="120"/>
              <w:spacing w:after="0"/>
              <w:rPr>
                <w:sz w:val="20"/>
                <w:szCs w:val="20"/>
                <w:color w:val="auto"/>
              </w:rPr>
            </w:pPr>
            <w:r>
              <w:rPr>
                <w:rFonts w:ascii="Arial" w:cs="Arial" w:eastAsia="Arial" w:hAnsi="Arial"/>
                <w:sz w:val="14"/>
                <w:szCs w:val="14"/>
                <w:color w:val="auto"/>
              </w:rPr>
              <w:t>Loans receivable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55,878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1,258,539</w:t>
            </w:r>
          </w:p>
        </w:tc>
      </w:tr>
      <w:tr>
        <w:trPr>
          <w:trHeight w:val="189"/>
        </w:trPr>
        <w:tc>
          <w:tcPr>
            <w:tcW w:w="8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and debt investments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944,483</w:t>
            </w:r>
          </w:p>
        </w:tc>
      </w:tr>
      <w:tr>
        <w:trPr>
          <w:trHeight w:val="185"/>
        </w:trPr>
        <w:tc>
          <w:tcPr>
            <w:tcW w:w="8020" w:type="dxa"/>
            <w:vAlign w:val="bottom"/>
            <w:gridSpan w:val="2"/>
          </w:tcPr>
          <w:p>
            <w:pPr>
              <w:ind w:left="120"/>
              <w:spacing w:after="0"/>
              <w:rPr>
                <w:sz w:val="20"/>
                <w:szCs w:val="20"/>
                <w:color w:val="auto"/>
              </w:rPr>
            </w:pPr>
            <w:r>
              <w:rPr>
                <w:rFonts w:ascii="Arial" w:cs="Arial" w:eastAsia="Arial" w:hAnsi="Arial"/>
                <w:sz w:val="14"/>
                <w:szCs w:val="14"/>
                <w:color w:val="auto"/>
              </w:rPr>
              <w:t>Goodwill, deferred leasing costs and other intangible assets, net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118,300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275,954</w:t>
            </w:r>
          </w:p>
        </w:tc>
      </w:tr>
      <w:tr>
        <w:trPr>
          <w:trHeight w:val="189"/>
        </w:trPr>
        <w:tc>
          <w:tcPr>
            <w:tcW w:w="8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327,309</w:t>
            </w:r>
          </w:p>
        </w:tc>
      </w:tr>
      <w:tr>
        <w:trPr>
          <w:trHeight w:val="185"/>
        </w:trPr>
        <w:tc>
          <w:tcPr>
            <w:tcW w:w="8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Due from affiliates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60,317</w:t>
            </w:r>
          </w:p>
        </w:tc>
      </w:tr>
      <w:tr>
        <w:trPr>
          <w:trHeight w:val="206"/>
        </w:trPr>
        <w:tc>
          <w:tcPr>
            <w:tcW w:w="8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Total assets held for disposition</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3,676,615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11,237,319</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30"/>
        </w:trPr>
        <w:tc>
          <w:tcPr>
            <w:tcW w:w="76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87"/>
        </w:trPr>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7"/>
        </w:trPr>
        <w:tc>
          <w:tcPr>
            <w:tcW w:w="8020" w:type="dxa"/>
            <w:vAlign w:val="bottom"/>
            <w:gridSpan w:val="2"/>
          </w:tcPr>
          <w:p>
            <w:pPr>
              <w:ind w:left="120"/>
              <w:spacing w:after="0" w:line="187" w:lineRule="exact"/>
              <w:rPr>
                <w:sz w:val="20"/>
                <w:szCs w:val="20"/>
                <w:color w:val="auto"/>
              </w:rPr>
            </w:pPr>
            <w:r>
              <w:rPr>
                <w:rFonts w:ascii="Arial" w:cs="Arial" w:eastAsia="Arial" w:hAnsi="Arial"/>
                <w:sz w:val="14"/>
                <w:szCs w:val="14"/>
                <w:color w:val="auto"/>
              </w:rPr>
              <w:t xml:space="preserve">Debt, net </w:t>
            </w:r>
            <w:r>
              <w:rPr>
                <w:rFonts w:ascii="Arial" w:cs="Arial" w:eastAsia="Arial" w:hAnsi="Arial"/>
                <w:sz w:val="18"/>
                <w:szCs w:val="18"/>
                <w:color w:val="auto"/>
                <w:vertAlign w:val="superscript"/>
              </w:rPr>
              <w:t>(1)</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2,869,360</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7,352,828</w:t>
            </w:r>
          </w:p>
        </w:tc>
      </w:tr>
      <w:tr>
        <w:trPr>
          <w:trHeight w:val="185"/>
        </w:trPr>
        <w:tc>
          <w:tcPr>
            <w:tcW w:w="8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Lease intangibles and other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219,339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533,688</w:t>
            </w:r>
          </w:p>
        </w:tc>
      </w:tr>
      <w:tr>
        <w:trPr>
          <w:trHeight w:val="181"/>
        </w:trPr>
        <w:tc>
          <w:tcPr>
            <w:tcW w:w="80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 liabilities related to assets held for disposition</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3,088,699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7,886,516</w:t>
            </w:r>
          </w:p>
        </w:tc>
      </w:tr>
      <w:tr>
        <w:trPr>
          <w:trHeight w:val="20"/>
        </w:trPr>
        <w:tc>
          <w:tcPr>
            <w:tcW w:w="7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49" w:lineRule="exact"/>
        <w:rPr>
          <w:sz w:val="20"/>
          <w:szCs w:val="20"/>
          <w:color w:val="auto"/>
        </w:rPr>
      </w:pPr>
    </w:p>
    <w:p>
      <w:pPr>
        <w:ind w:left="206" w:right="380" w:hanging="206"/>
        <w:spacing w:after="0" w:line="253" w:lineRule="auto"/>
        <w:tabs>
          <w:tab w:leader="none" w:pos="233" w:val="left"/>
        </w:tabs>
        <w:numPr>
          <w:ilvl w:val="0"/>
          <w:numId w:val="103"/>
        </w:numPr>
        <w:rPr>
          <w:rFonts w:ascii="Arial" w:cs="Arial" w:eastAsia="Arial" w:hAnsi="Arial"/>
          <w:sz w:val="8"/>
          <w:szCs w:val="8"/>
          <w:color w:val="auto"/>
        </w:rPr>
      </w:pPr>
      <w:r>
        <w:rPr>
          <w:rFonts w:ascii="Arial" w:cs="Arial" w:eastAsia="Arial" w:hAnsi="Arial"/>
          <w:sz w:val="12"/>
          <w:szCs w:val="12"/>
          <w:color w:val="auto"/>
        </w:rPr>
        <w:t>Represents debt related to assets held for disposition if the debt is expected to be assumed by the acquirer upon sale or if the debt is expected to be extinguished through lender's assumption of underlying collateral, and includes debt that is in receivership, in payment default or not in compliance with certain debt covenants. Includes the 5.375% exchangeable senior notes and junior subordinated debt (as described in Note 14) which are obligations of NRF Holdco as the issuer.</w:t>
      </w:r>
    </w:p>
    <w:p>
      <w:pPr>
        <w:spacing w:after="0" w:line="174" w:lineRule="exact"/>
        <w:rPr>
          <w:sz w:val="20"/>
          <w:szCs w:val="20"/>
          <w:color w:val="auto"/>
        </w:rPr>
      </w:pPr>
    </w:p>
    <w:p>
      <w:pPr>
        <w:ind w:left="286"/>
        <w:spacing w:after="0"/>
        <w:rPr>
          <w:sz w:val="20"/>
          <w:szCs w:val="20"/>
          <w:color w:val="auto"/>
        </w:rPr>
      </w:pPr>
      <w:r>
        <w:rPr>
          <w:rFonts w:ascii="Arial" w:cs="Arial" w:eastAsia="Arial" w:hAnsi="Arial"/>
          <w:sz w:val="16"/>
          <w:szCs w:val="16"/>
          <w:i w:val="1"/>
          <w:iCs w:val="1"/>
          <w:color w:val="auto"/>
        </w:rPr>
        <w:t>Nonrecurring Fair Value of Assets Classified as Held for Disposition and Discontinued Operations</w:t>
      </w:r>
    </w:p>
    <w:p>
      <w:pPr>
        <w:spacing w:after="0" w:line="113" w:lineRule="exact"/>
        <w:rPr>
          <w:sz w:val="20"/>
          <w:szCs w:val="20"/>
          <w:color w:val="auto"/>
        </w:rPr>
      </w:pPr>
    </w:p>
    <w:p>
      <w:pPr>
        <w:ind w:left="6" w:right="160" w:firstLine="351"/>
        <w:spacing w:after="0" w:line="248" w:lineRule="auto"/>
        <w:rPr>
          <w:sz w:val="20"/>
          <w:szCs w:val="20"/>
          <w:color w:val="auto"/>
        </w:rPr>
      </w:pPr>
      <w:r>
        <w:rPr>
          <w:rFonts w:ascii="Arial" w:cs="Arial" w:eastAsia="Arial" w:hAnsi="Arial"/>
          <w:sz w:val="16"/>
          <w:szCs w:val="16"/>
          <w:color w:val="auto"/>
        </w:rPr>
        <w:t>The Company measures fair value of certain assets on a nonrecurring basis when events or changes in circumstances indicate that the carrying value of the assets may not be recoverable.</w:t>
      </w:r>
    </w:p>
    <w:p>
      <w:pPr>
        <w:spacing w:after="0" w:line="88" w:lineRule="exact"/>
        <w:rPr>
          <w:sz w:val="20"/>
          <w:szCs w:val="20"/>
          <w:color w:val="auto"/>
        </w:rPr>
      </w:pPr>
    </w:p>
    <w:p>
      <w:pPr>
        <w:ind w:left="6" w:right="180" w:firstLine="351"/>
        <w:spacing w:after="0" w:line="245" w:lineRule="auto"/>
        <w:rPr>
          <w:sz w:val="20"/>
          <w:szCs w:val="20"/>
          <w:color w:val="auto"/>
        </w:rPr>
      </w:pPr>
      <w:r>
        <w:rPr>
          <w:rFonts w:ascii="Arial" w:cs="Arial" w:eastAsia="Arial" w:hAnsi="Arial"/>
          <w:sz w:val="16"/>
          <w:szCs w:val="16"/>
          <w:color w:val="auto"/>
        </w:rPr>
        <w:t>The Company initially measures assets classified as held for disposition at the lower of their carrying amounts or fair value less disposal costs. For bulk sale transactions, the unit of account is the disposal group, with any excess of the aggregate carrying value over estimated fair value less costs to sell allocated to the individual assets within the group. The historical operating results of the Wellness Infrastructure, OED, Other IM and hotel businesses included in discontinued operations also include impairment charges recorded on individual assets prior to their classification as held for disposition, as determined when events or circumstances indicated that their carrying values may not be recoverable.</w:t>
      </w:r>
    </w:p>
    <w:p>
      <w:pPr>
        <w:spacing w:after="0" w:line="200" w:lineRule="exact"/>
        <w:rPr>
          <w:sz w:val="20"/>
          <w:szCs w:val="20"/>
          <w:color w:val="auto"/>
        </w:rPr>
      </w:pP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52" w:name="page153"/>
    <w:bookmarkEnd w:id="1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20" w:firstLine="351"/>
        <w:spacing w:after="0" w:line="252"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—Real estate classified as held for disposition and discontinued operations that have been written down and carried at fair value totaled $3.01</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at December 31, 2021 and $4.71 billion at December 31, 2020, generally representing Level 3 fair value. Impairment of real estate and related intangibles held for disposition was $313.4 million, $1.96 billion and $347.8 million for the years ended December 31, 2021, 2020 and 2019, respectively, reflected in discontinued operations (Note 12).</w:t>
      </w:r>
    </w:p>
    <w:p>
      <w:pPr>
        <w:spacing w:after="0" w:line="8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4"/>
          <w:szCs w:val="14"/>
          <w:color w:val="auto"/>
        </w:rPr>
        <w:t>Properties written down to estimated fair value at the time they were classified as held for disposition were valued using either sales price, broker opinions of value, or third-party appraisals, and in certain cases, adjusted as deemed appropriate by management to account for inherent risk associated with specific properties, and also incorporating estimated closing adjustments. The impairment assessment in 2020 also factored in the economic effects of COVID-19 on real estate values. Fair value was generally reduced for estimated disposal costs, ranging from approximately 1% to 3% of the respective fair value.</w:t>
      </w:r>
    </w:p>
    <w:p>
      <w:pPr>
        <w:spacing w:after="0" w:line="61"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For properties that were impaired in 2020 and 2019 prior to being retrospectively classified as held for disposition and discontinued operations in 2021, impairment was attributed primarily to shortened hold period assumptions, particularly in the hotel and wellness infrastructure portfolios. This was driven by the Company's accelerated digital transformation in the second quarter of 2020, the risk that the Company was unable to obtain accommodation from lenders on non-recourse mortgage debt that was then in default or at risk of default, and/or to a lesser extent, decline in property operating results, in part from the economic effects of COVID-19. Fair value of these properties was estimated based upon: (i) third party appraisals, (ii) broker opinions of value with discounts applied based upon management judgment, (iii) income capitalization approach, using net operating income for each property and applying capitalization rates between 7.0% and 12.0%; or (iv) discounted cash flow analyses with terminal values determined using terminal capitalization rates between 5.75% and 11.25%, and discount rates between 6.5% and 9.5%. The Company considered the risk characteristics of the properties and adjusted the capitalization rates and/or discount rates as applicable.</w:t>
      </w:r>
    </w:p>
    <w:p>
      <w:pPr>
        <w:spacing w:after="0" w:line="7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—Upon termination of the BRSP management contract on April 30, 2021, the Other IM goodwill balance of $81.6 million was fully written off as the</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value of the Other IM reporting unit represented principally the BRSP management contract. The receipt of a one-time termination payment of $102.3 million consequently resulted in a net gain of $20.7 million, recognized within other gain (loss) in discontinued operations (Note 12).</w:t>
      </w:r>
    </w:p>
    <w:p>
      <w:pPr>
        <w:spacing w:after="0" w:line="82" w:lineRule="exact"/>
        <w:rPr>
          <w:sz w:val="20"/>
          <w:szCs w:val="20"/>
          <w:color w:val="auto"/>
        </w:rPr>
      </w:pPr>
    </w:p>
    <w:p>
      <w:pPr>
        <w:ind w:right="80" w:firstLine="351"/>
        <w:spacing w:after="0" w:line="248" w:lineRule="auto"/>
        <w:rPr>
          <w:sz w:val="20"/>
          <w:szCs w:val="20"/>
          <w:color w:val="auto"/>
        </w:rPr>
      </w:pPr>
      <w:r>
        <w:rPr>
          <w:rFonts w:ascii="Arial" w:cs="Arial" w:eastAsia="Arial" w:hAnsi="Arial"/>
          <w:sz w:val="16"/>
          <w:szCs w:val="16"/>
          <w:color w:val="auto"/>
        </w:rPr>
        <w:t>The Company had previously recognized impairment loss on its Other IM goodwill in 2020 of $79.0 million and $515.0 million in the first and second quarters, respectively, and in 2019 of $387.0 million and $401.0 million in the third and fourth quarters, respectively.</w:t>
      </w:r>
    </w:p>
    <w:p>
      <w:pPr>
        <w:spacing w:after="0" w:line="88" w:lineRule="exact"/>
        <w:rPr>
          <w:sz w:val="20"/>
          <w:szCs w:val="20"/>
          <w:color w:val="auto"/>
        </w:rPr>
      </w:pPr>
    </w:p>
    <w:p>
      <w:pPr>
        <w:ind w:right="60" w:firstLine="351"/>
        <w:spacing w:after="0" w:line="244" w:lineRule="auto"/>
        <w:rPr>
          <w:sz w:val="20"/>
          <w:szCs w:val="20"/>
          <w:color w:val="auto"/>
        </w:rPr>
      </w:pPr>
      <w:r>
        <w:rPr>
          <w:rFonts w:ascii="Arial" w:cs="Arial" w:eastAsia="Arial" w:hAnsi="Arial"/>
          <w:sz w:val="16"/>
          <w:szCs w:val="16"/>
          <w:color w:val="auto"/>
        </w:rPr>
        <w:t>In 2020, in light of the economic effects of COVID-19 and the Company's acceleration of its digital transformation in the second quarter of 2020, both of which represented indicators of impairment, the Company's quantitative tests indicated that the carrying value of the Other IM reporting unit, including goodwill, was in excess of its estimated fair value at March 31, 2020 and at June 30, 2020. The remaining fair value of the Other IM reporting unit was determined to be principally in the BRSP management contract, as no value was ascribed to (a) the future capital raising potential of the non-digital credit and opportunity fund management business as it is no longer part of the Company's long-term strategy; and (b) the hypothetical contract of internally managing the Company's non-digital balance sheet assets following significant decreases in asset values in 2020.</w:t>
      </w:r>
    </w:p>
    <w:p>
      <w:pPr>
        <w:spacing w:after="0" w:line="94" w:lineRule="exact"/>
        <w:rPr>
          <w:sz w:val="20"/>
          <w:szCs w:val="20"/>
          <w:color w:val="auto"/>
        </w:rPr>
      </w:pPr>
    </w:p>
    <w:p>
      <w:pPr>
        <w:ind w:right="340" w:firstLine="351"/>
        <w:spacing w:after="0" w:line="246" w:lineRule="auto"/>
        <w:rPr>
          <w:sz w:val="20"/>
          <w:szCs w:val="20"/>
          <w:color w:val="auto"/>
        </w:rPr>
      </w:pPr>
      <w:r>
        <w:rPr>
          <w:rFonts w:ascii="Arial" w:cs="Arial" w:eastAsia="Arial" w:hAnsi="Arial"/>
          <w:sz w:val="16"/>
          <w:szCs w:val="16"/>
          <w:color w:val="auto"/>
        </w:rPr>
        <w:t>In 2019, impairment loss on the Other IM goodwill reflected: (a) loss of future fee income from sale of the Company's industrial business, and reduction in BRSP's fee base to reflect its reduced book value in the third quarter of 2019; and (b) beginning of the Company's transition to a digital focused investment management business in the fourth quarter of 2019.</w:t>
      </w:r>
    </w:p>
    <w:p>
      <w:pPr>
        <w:spacing w:after="0" w:line="73" w:lineRule="exact"/>
        <w:rPr>
          <w:sz w:val="20"/>
          <w:szCs w:val="20"/>
          <w:color w:val="auto"/>
        </w:rPr>
      </w:pPr>
    </w:p>
    <w:p>
      <w:pPr>
        <w:ind w:right="120" w:firstLine="351"/>
        <w:spacing w:after="0" w:line="249" w:lineRule="auto"/>
        <w:rPr>
          <w:sz w:val="20"/>
          <w:szCs w:val="20"/>
          <w:color w:val="auto"/>
        </w:rPr>
      </w:pPr>
      <w:r>
        <w:rPr>
          <w:rFonts w:ascii="Arial" w:cs="Arial" w:eastAsia="Arial" w:hAnsi="Arial"/>
          <w:sz w:val="16"/>
          <w:szCs w:val="16"/>
          <w:i w:val="1"/>
          <w:iCs w:val="1"/>
          <w:color w:val="auto"/>
        </w:rPr>
        <w:t>Investment Management Intangible Assets</w:t>
      </w:r>
      <w:r>
        <w:rPr>
          <w:rFonts w:ascii="Arial" w:cs="Arial" w:eastAsia="Arial" w:hAnsi="Arial"/>
          <w:sz w:val="16"/>
          <w:szCs w:val="16"/>
          <w:color w:val="auto"/>
        </w:rPr>
        <w:t>—In the first quarter of 2021, the remaining investor relationship intangible asset in Other IM was impaired by</w:t>
      </w:r>
      <w:r>
        <w:rPr>
          <w:rFonts w:ascii="Arial" w:cs="Arial" w:eastAsia="Arial" w:hAnsi="Arial"/>
          <w:sz w:val="16"/>
          <w:szCs w:val="16"/>
          <w:i w:val="1"/>
          <w:iCs w:val="1"/>
          <w:color w:val="auto"/>
        </w:rPr>
        <w:t xml:space="preserve"> </w:t>
      </w:r>
      <w:r>
        <w:rPr>
          <w:rFonts w:ascii="Arial" w:cs="Arial" w:eastAsia="Arial" w:hAnsi="Arial"/>
          <w:sz w:val="16"/>
          <w:szCs w:val="16"/>
          <w:color w:val="auto"/>
        </w:rPr>
        <w:t>$4.0 million (Note 12) to a fair value of $5.5 million based upon estimated recoverable value in a monetization of the Other IM business. In 2020 and 2019, management contracts were impaired by $4.3 million and $8.6 million, respectively, to aggregate fair values of $8.4 million and $16.9 million, respectively, at the time of impairment. Fair value was based upon revised future net cash flows over the remaining life of the contracts, generally discounted at 10%. Additionally, in the fourth quarter of 2019, an investor relationship intangible asset of $1.3 million was deemed to have no future value and was written off as the Company began to transition to a digital investment management strategy. All fair values were classified as Level 3.</w:t>
      </w:r>
    </w:p>
    <w:p>
      <w:pPr>
        <w:spacing w:after="0" w:line="71" w:lineRule="exact"/>
        <w:rPr>
          <w:sz w:val="20"/>
          <w:szCs w:val="20"/>
          <w:color w:val="auto"/>
        </w:rPr>
      </w:pPr>
    </w:p>
    <w:p>
      <w:pPr>
        <w:ind w:firstLine="351"/>
        <w:spacing w:after="0" w:line="250" w:lineRule="auto"/>
        <w:rPr>
          <w:sz w:val="20"/>
          <w:szCs w:val="20"/>
          <w:color w:val="auto"/>
        </w:rPr>
      </w:pPr>
      <w:r>
        <w:rPr>
          <w:rFonts w:ascii="Arial" w:cs="Arial" w:eastAsia="Arial" w:hAnsi="Arial"/>
          <w:sz w:val="16"/>
          <w:szCs w:val="16"/>
          <w:i w:val="1"/>
          <w:iCs w:val="1"/>
          <w:color w:val="auto"/>
        </w:rPr>
        <w:t>Equity Method Investments</w:t>
      </w:r>
      <w:r>
        <w:rPr>
          <w:rFonts w:ascii="Arial" w:cs="Arial" w:eastAsia="Arial" w:hAnsi="Arial"/>
          <w:sz w:val="16"/>
          <w:szCs w:val="16"/>
          <w:color w:val="auto"/>
        </w:rPr>
        <w:t>—Impairment on equity method investments classified as held for disposition and discontinued operations was $224.5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$237.5 million and $30.0 million in the years ended December 31, 2021, 2020 and 2019, respectively, reflected within equity method losses in discontinued operations (Note 12). Equity method investments that were impaired and written down to fair value in 2021 and 2020 totaled $19.7 million and $701.8 million, respectively, at the time of impairment, representing Level 3 fair value. Impairment was recorded based upon recoverable values for investments resolved or sold in 2019 and in 2021, including ADC loans accounted for as equity method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3" w:name="page154"/>
    <w:bookmarkEnd w:id="1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investments. Significant impairments were also recorded on these ADC loans in 2020, driven by then reduced cash flow streams expected from these investments, primarily taking into consideration a combination of lower land values, delayed leasing, and/or offer prices in the market, generally discounted at rates between 10% to 20%.</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Recurring Fair Value of Assets Classified as Held for Disposition and Discontinued Operations</w:t>
      </w:r>
    </w:p>
    <w:p>
      <w:pPr>
        <w:spacing w:after="0" w:line="9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6"/>
          <w:szCs w:val="16"/>
          <w:i w:val="1"/>
          <w:iCs w:val="1"/>
          <w:color w:val="auto"/>
        </w:rPr>
        <w:t>Equity Investments Carried at Net Asset Value</w:t>
      </w:r>
      <w:r>
        <w:rPr>
          <w:rFonts w:ascii="Arial" w:cs="Arial" w:eastAsia="Arial" w:hAnsi="Arial"/>
          <w:sz w:val="16"/>
          <w:szCs w:val="16"/>
          <w:color w:val="auto"/>
        </w:rPr>
        <w:t>—These are equity investments held for disposition that were valued based upon NAV, specifically interests in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Company-sponsored non-traded REIT and a private fund totaling $31.2 million at December 31, 2021, and additionally, including interest in a third party real estate private fund that has since been disposed, totaling $36.2 million at December 31, 2020.</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Equity Method Investments under Fair Value Option</w:t>
      </w:r>
      <w:r>
        <w:rPr>
          <w:rFonts w:ascii="Arial" w:cs="Arial" w:eastAsia="Arial" w:hAnsi="Arial"/>
          <w:sz w:val="16"/>
          <w:szCs w:val="16"/>
          <w:color w:val="auto"/>
        </w:rPr>
        <w:t>—Equity method investments under fair value option were classified as Level 3. Fair value totaling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$79.3 million was measured based upon indicative sales price at December 31, 2021. At December 31, 2020, fair value totaling $153.3 million was determined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using primarily appraised value of real estate assets of the investee, or the initial investment value was deemed to approximate fair value for an investee engaged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 real estate development during the development stage.</w:t>
      </w:r>
    </w:p>
    <w:p>
      <w:pPr>
        <w:spacing w:after="0" w:line="81" w:lineRule="exact"/>
        <w:rPr>
          <w:sz w:val="20"/>
          <w:szCs w:val="20"/>
          <w:color w:val="auto"/>
        </w:rPr>
      </w:pPr>
    </w:p>
    <w:p>
      <w:pPr>
        <w:ind w:right="20" w:firstLine="351"/>
        <w:spacing w:after="0" w:line="249" w:lineRule="auto"/>
        <w:rPr>
          <w:sz w:val="20"/>
          <w:szCs w:val="20"/>
          <w:color w:val="auto"/>
        </w:rPr>
      </w:pPr>
      <w:r>
        <w:rPr>
          <w:rFonts w:ascii="Arial" w:cs="Arial" w:eastAsia="Arial" w:hAnsi="Arial"/>
          <w:sz w:val="16"/>
          <w:szCs w:val="16"/>
          <w:i w:val="1"/>
          <w:iCs w:val="1"/>
          <w:color w:val="auto"/>
        </w:rPr>
        <w:t>Loans Receivable under Fair Value Option</w:t>
      </w:r>
      <w:r>
        <w:rPr>
          <w:rFonts w:ascii="Arial" w:cs="Arial" w:eastAsia="Arial" w:hAnsi="Arial"/>
          <w:sz w:val="16"/>
          <w:szCs w:val="16"/>
          <w:color w:val="auto"/>
        </w:rPr>
        <w:t>—Fair value of all loans held for disposition were classified as Level 3. At December 31, 2021,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loans held for disposition of $55.9 million represent a component of the overall sales price for the pending disposition of NRF Holdco. At December 31, 2020, loans held for disposition totaling $1.26 billion were measured either at their selling price where applicable, by comparing the current yield to the estimated yield of newly originated loans with similar credit risk or the market yield at which a third party might expect to purchase such investment, or based upon discounted cash flow projections of principal and interest expected to be collected, which include, but are not limited to, consideration of the financial standing of the borrower or sponsor as well as operating results and/or value of the underlying collateral, applying discount rates between 6.9% and 25.7%.</w:t>
      </w:r>
    </w:p>
    <w:p>
      <w:pPr>
        <w:spacing w:after="0" w:line="87" w:lineRule="exact"/>
        <w:rPr>
          <w:sz w:val="20"/>
          <w:szCs w:val="20"/>
          <w:color w:val="auto"/>
        </w:rPr>
      </w:pPr>
    </w:p>
    <w:p>
      <w:pPr>
        <w:ind w:right="260" w:firstLine="386"/>
        <w:spacing w:after="0" w:line="245" w:lineRule="auto"/>
        <w:rPr>
          <w:sz w:val="20"/>
          <w:szCs w:val="20"/>
          <w:color w:val="auto"/>
        </w:rPr>
      </w:pPr>
      <w:r>
        <w:rPr>
          <w:rFonts w:ascii="Arial" w:cs="Arial" w:eastAsia="Arial" w:hAnsi="Arial"/>
          <w:sz w:val="16"/>
          <w:szCs w:val="16"/>
          <w:color w:val="auto"/>
        </w:rPr>
        <w:t>Loans that are 90 days or more past due as to principal or interest, or where reasonable doubt exists as to timely collection, are generally considered nonperforming and placed on nonaccrual status. Following the disposition of a majority of the OED investments in December 2021, there were no such loans at December 31, 2021. At December 31, 2020, these loans, which included distressed loan portfolios that were previously acquired by the Company at a discount, had a total fair value of $873.2 million and unpaid principal balance of $2.2 billion.</w:t>
      </w:r>
    </w:p>
    <w:p>
      <w:pPr>
        <w:spacing w:after="0" w:line="12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6"/>
          <w:szCs w:val="16"/>
          <w:i w:val="1"/>
          <w:iCs w:val="1"/>
          <w:color w:val="auto"/>
        </w:rPr>
        <w:t>Debt Securities</w:t>
      </w:r>
      <w:r>
        <w:rPr>
          <w:rFonts w:ascii="Arial" w:cs="Arial" w:eastAsia="Arial" w:hAnsi="Arial"/>
          <w:sz w:val="16"/>
          <w:szCs w:val="16"/>
          <w:color w:val="auto"/>
        </w:rPr>
        <w:t>—The Company's investment in debt securities is composed of AFS N-Star CDO bonds, which are subordinate bonds retained by NRF Holdco</w:t>
      </w:r>
      <w:r>
        <w:rPr>
          <w:rFonts w:ascii="Arial" w:cs="Arial" w:eastAsia="Arial" w:hAnsi="Arial"/>
          <w:sz w:val="16"/>
          <w:szCs w:val="16"/>
          <w:i w:val="1"/>
          <w:iCs w:val="1"/>
          <w:color w:val="auto"/>
        </w:rPr>
        <w:t xml:space="preserve"> </w:t>
      </w:r>
      <w:r>
        <w:rPr>
          <w:rFonts w:ascii="Arial" w:cs="Arial" w:eastAsia="Arial" w:hAnsi="Arial"/>
          <w:sz w:val="16"/>
          <w:szCs w:val="16"/>
          <w:color w:val="auto"/>
        </w:rPr>
        <w:t>from its sponsored collateralized debt obligations ("CDOs"), and CDO bonds originally issued by NRF Holdco that it subsequently repurchased at a discount. These CDOs are collateralized primarily by commercial real estate debt and securities.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balance of N-Star CDO bonds, classified as Level 3 fair value, is summarized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Amortized Cost without</w:t>
            </w: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1"/>
                <w:szCs w:val="11"/>
                <w:b w:val="1"/>
                <w:bCs w:val="1"/>
                <w:color w:val="auto"/>
              </w:rPr>
              <w:t>Gross Cumulative Unrealized</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8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Allowance for Credit Loss</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Allowance for Credit Loss</w:t>
            </w:r>
          </w:p>
        </w:tc>
        <w:tc>
          <w:tcPr>
            <w:tcW w:w="340" w:type="dxa"/>
            <w:vAlign w:val="bottom"/>
          </w:tcPr>
          <w:p>
            <w:pPr>
              <w:spacing w:after="0"/>
              <w:rPr>
                <w:sz w:val="12"/>
                <w:szCs w:val="12"/>
                <w:color w:val="auto"/>
              </w:rPr>
            </w:pPr>
          </w:p>
        </w:tc>
        <w:tc>
          <w:tcPr>
            <w:tcW w:w="1200" w:type="dxa"/>
            <w:vAlign w:val="bottom"/>
            <w:gridSpan w:val="2"/>
          </w:tcPr>
          <w:p>
            <w:pPr>
              <w:ind w:left="240"/>
              <w:spacing w:after="0"/>
              <w:rPr>
                <w:sz w:val="20"/>
                <w:szCs w:val="20"/>
                <w:color w:val="auto"/>
              </w:rPr>
            </w:pPr>
            <w:r>
              <w:rPr>
                <w:rFonts w:ascii="Arial" w:cs="Arial" w:eastAsia="Arial" w:hAnsi="Arial"/>
                <w:sz w:val="11"/>
                <w:szCs w:val="11"/>
                <w:b w:val="1"/>
                <w:bCs w:val="1"/>
                <w:color w:val="auto"/>
              </w:rPr>
              <w:t>Gains</w:t>
            </w:r>
          </w:p>
        </w:tc>
        <w:tc>
          <w:tcPr>
            <w:tcW w:w="1080" w:type="dxa"/>
            <w:vAlign w:val="bottom"/>
          </w:tcPr>
          <w:p>
            <w:pPr>
              <w:jc w:val="right"/>
              <w:ind w:right="98"/>
              <w:spacing w:after="0"/>
              <w:rPr>
                <w:sz w:val="20"/>
                <w:szCs w:val="20"/>
                <w:color w:val="auto"/>
              </w:rPr>
            </w:pPr>
            <w:r>
              <w:rPr>
                <w:rFonts w:ascii="Arial" w:cs="Arial" w:eastAsia="Arial" w:hAnsi="Arial"/>
                <w:sz w:val="11"/>
                <w:szCs w:val="11"/>
                <w:b w:val="1"/>
                <w:bCs w:val="1"/>
                <w:color w:val="auto"/>
              </w:rPr>
              <w:t>Losses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5"/>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36,531</w:t>
            </w:r>
          </w:p>
        </w:tc>
        <w:tc>
          <w:tcPr>
            <w:tcW w:w="0" w:type="dxa"/>
            <w:vAlign w:val="bottom"/>
          </w:tcPr>
          <w:p>
            <w:pPr>
              <w:spacing w:after="0"/>
              <w:rPr>
                <w:sz w:val="1"/>
                <w:szCs w:val="1"/>
                <w:color w:val="auto"/>
              </w:rPr>
            </w:pPr>
          </w:p>
        </w:tc>
      </w:tr>
      <w:tr>
        <w:trPr>
          <w:trHeight w:val="182"/>
        </w:trPr>
        <w:tc>
          <w:tcPr>
            <w:tcW w:w="3580" w:type="dxa"/>
            <w:vAlign w:val="bottom"/>
            <w:gridSpan w:val="2"/>
          </w:tcPr>
          <w:p>
            <w:pPr>
              <w:spacing w:after="0"/>
              <w:rPr>
                <w:sz w:val="20"/>
                <w:szCs w:val="20"/>
                <w:color w:val="auto"/>
              </w:rPr>
            </w:pPr>
            <w:r>
              <w:rPr>
                <w:rFonts w:ascii="Arial" w:cs="Arial" w:eastAsia="Arial" w:hAnsi="Arial"/>
                <w:sz w:val="14"/>
                <w:szCs w:val="14"/>
                <w:color w:val="auto"/>
              </w:rPr>
              <w:t>December 31, 2020</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46,561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(24,688)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6,703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28,576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December 31, 2021, the fair value of N-Star CDO bonds represent a component of the overall sales price for the disposition of NRF Holdco. At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2020, the N-Star CDO bonds were valued based upon discounted cash flow projections of principal and interest expected to be collected, taking into</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consideration the Company's knowledge of the underlying collateral and recent trades, if any, within the securitizations, and applying discount rates between 18.3%</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 57.8%.</w:t>
      </w:r>
    </w:p>
    <w:p>
      <w:pPr>
        <w:spacing w:after="0" w:line="97" w:lineRule="exact"/>
        <w:rPr>
          <w:sz w:val="20"/>
          <w:szCs w:val="20"/>
          <w:color w:val="auto"/>
        </w:rPr>
      </w:pPr>
    </w:p>
    <w:p>
      <w:pPr>
        <w:ind w:right="60" w:firstLine="386"/>
        <w:spacing w:after="0" w:line="317" w:lineRule="auto"/>
        <w:rPr>
          <w:sz w:val="20"/>
          <w:szCs w:val="20"/>
          <w:color w:val="auto"/>
        </w:rPr>
      </w:pPr>
      <w:r>
        <w:rPr>
          <w:rFonts w:ascii="Arial" w:cs="Arial" w:eastAsia="Arial" w:hAnsi="Arial"/>
          <w:sz w:val="14"/>
          <w:szCs w:val="14"/>
          <w:color w:val="auto"/>
        </w:rPr>
        <w:t>The Company recognized provision for credit loss of $0.2 million in 2021 and $24.7 million in 2020. Credit losses were determined based upon an analysis of the present value of contractual cash flows expected to be collected from the underlying collateral as compared to the amortized cost basis of the security.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4" w:name="page155"/>
    <w:bookmarkEnd w:id="154"/>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6"/>
        <w:spacing w:after="0"/>
        <w:rPr>
          <w:sz w:val="20"/>
          <w:szCs w:val="20"/>
          <w:color w:val="auto"/>
        </w:rPr>
      </w:pPr>
      <w:r>
        <w:rPr>
          <w:rFonts w:ascii="Arial" w:cs="Arial" w:eastAsia="Arial" w:hAnsi="Arial"/>
          <w:sz w:val="16"/>
          <w:szCs w:val="16"/>
          <w:i w:val="1"/>
          <w:iCs w:val="1"/>
          <w:color w:val="auto"/>
        </w:rPr>
        <w:t>Level 3 Recurring Fair Values</w:t>
      </w:r>
    </w:p>
    <w:p>
      <w:pPr>
        <w:spacing w:after="0" w:line="113" w:lineRule="exact"/>
        <w:rPr>
          <w:sz w:val="20"/>
          <w:szCs w:val="20"/>
          <w:color w:val="auto"/>
        </w:rPr>
      </w:pPr>
    </w:p>
    <w:p>
      <w:pPr>
        <w:jc w:val="both"/>
        <w:ind w:left="6" w:right="100" w:firstLine="386"/>
        <w:spacing w:after="0" w:line="246" w:lineRule="auto"/>
        <w:rPr>
          <w:sz w:val="20"/>
          <w:szCs w:val="20"/>
          <w:color w:val="auto"/>
        </w:rPr>
      </w:pPr>
      <w:r>
        <w:rPr>
          <w:rFonts w:ascii="Arial" w:cs="Arial" w:eastAsia="Arial" w:hAnsi="Arial"/>
          <w:sz w:val="16"/>
          <w:szCs w:val="16"/>
          <w:color w:val="auto"/>
        </w:rPr>
        <w:t>The following table presents changes in recurring Level 3 fair value assets held for disposition. Realized and unrealized gains (losses) are included in AOCI for AFS debt securities, other gain (loss) for loans receivable and equity method losses for equity method investments, all of which were presented in discontinued operations (Note 12).</w:t>
      </w:r>
    </w:p>
    <w:p>
      <w:pPr>
        <w:spacing w:after="0" w:line="108"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1"/>
                <w:szCs w:val="11"/>
                <w:b w:val="1"/>
                <w:bCs w:val="1"/>
                <w:color w:val="auto"/>
              </w:rPr>
              <w:t>Fair Value Option</w:t>
            </w:r>
          </w:p>
        </w:tc>
        <w:tc>
          <w:tcPr>
            <w:tcW w:w="0" w:type="dxa"/>
            <w:vAlign w:val="bottom"/>
          </w:tcPr>
          <w:p>
            <w:pPr>
              <w:spacing w:after="0"/>
              <w:rPr>
                <w:sz w:val="1"/>
                <w:szCs w:val="1"/>
                <w:color w:val="auto"/>
              </w:rPr>
            </w:pPr>
          </w:p>
        </w:tc>
      </w:tr>
      <w:tr>
        <w:trPr>
          <w:trHeight w:val="105"/>
        </w:trPr>
        <w:tc>
          <w:tcPr>
            <w:tcW w:w="6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660" w:type="dxa"/>
            <w:vAlign w:val="bottom"/>
            <w:gridSpan w:val="3"/>
          </w:tcPr>
          <w:p>
            <w:pPr>
              <w:jc w:val="center"/>
              <w:ind w:right="80"/>
              <w:spacing w:after="0" w:line="105" w:lineRule="exact"/>
              <w:rPr>
                <w:sz w:val="20"/>
                <w:szCs w:val="20"/>
                <w:color w:val="auto"/>
              </w:rPr>
            </w:pPr>
            <w:r>
              <w:rPr>
                <w:rFonts w:ascii="Arial" w:cs="Arial" w:eastAsia="Arial" w:hAnsi="Arial"/>
                <w:sz w:val="11"/>
                <w:szCs w:val="11"/>
                <w:b w:val="1"/>
                <w:bCs w:val="1"/>
                <w:color w:val="auto"/>
              </w:rPr>
              <w:t>AFS Debt Securities Held for</w:t>
            </w:r>
          </w:p>
        </w:tc>
        <w:tc>
          <w:tcPr>
            <w:tcW w:w="16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Loans Held for Disposition</w:t>
            </w:r>
          </w:p>
        </w:tc>
        <w:tc>
          <w:tcPr>
            <w:tcW w:w="1580" w:type="dxa"/>
            <w:vAlign w:val="bottom"/>
            <w:gridSpan w:val="2"/>
          </w:tcPr>
          <w:p>
            <w:pPr>
              <w:jc w:val="right"/>
              <w:ind w:right="10"/>
              <w:spacing w:after="0" w:line="105" w:lineRule="exact"/>
              <w:rPr>
                <w:sz w:val="20"/>
                <w:szCs w:val="20"/>
                <w:color w:val="auto"/>
              </w:rPr>
            </w:pPr>
            <w:r>
              <w:rPr>
                <w:rFonts w:ascii="Arial" w:cs="Arial" w:eastAsia="Arial" w:hAnsi="Arial"/>
                <w:sz w:val="11"/>
                <w:szCs w:val="11"/>
                <w:b w:val="1"/>
                <w:bCs w:val="1"/>
                <w:color w:val="auto"/>
              </w:rPr>
              <w:t>Equity Method Investments</w:t>
            </w:r>
          </w:p>
        </w:tc>
        <w:tc>
          <w:tcPr>
            <w:tcW w:w="0" w:type="dxa"/>
            <w:vAlign w:val="bottom"/>
          </w:tcPr>
          <w:p>
            <w:pPr>
              <w:spacing w:after="0"/>
              <w:rPr>
                <w:sz w:val="1"/>
                <w:szCs w:val="1"/>
                <w:color w:val="auto"/>
              </w:rPr>
            </w:pPr>
          </w:p>
        </w:tc>
      </w:tr>
      <w:tr>
        <w:trPr>
          <w:trHeight w:val="117"/>
        </w:trPr>
        <w:tc>
          <w:tcPr>
            <w:tcW w:w="63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w w:val="96"/>
              </w:rPr>
              <w:t>Disposition</w:t>
            </w:r>
          </w:p>
        </w:tc>
        <w:tc>
          <w:tcPr>
            <w:tcW w:w="16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jc w:val="right"/>
              <w:ind w:right="210"/>
              <w:spacing w:after="0" w:line="117" w:lineRule="exact"/>
              <w:rPr>
                <w:sz w:val="20"/>
                <w:szCs w:val="20"/>
                <w:color w:val="auto"/>
              </w:rPr>
            </w:pPr>
            <w:r>
              <w:rPr>
                <w:rFonts w:ascii="Arial" w:cs="Arial" w:eastAsia="Arial" w:hAnsi="Arial"/>
                <w:sz w:val="11"/>
                <w:szCs w:val="11"/>
                <w:b w:val="1"/>
                <w:bCs w:val="1"/>
                <w:color w:val="auto"/>
              </w:rPr>
              <w:t>Held for Disposition</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2019</w:t>
            </w: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54,859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197,875</w:t>
            </w:r>
          </w:p>
        </w:tc>
        <w:tc>
          <w:tcPr>
            <w:tcW w:w="0" w:type="dxa"/>
            <w:vAlign w:val="bottom"/>
          </w:tcPr>
          <w:p>
            <w:pPr>
              <w:spacing w:after="0"/>
              <w:rPr>
                <w:sz w:val="1"/>
                <w:szCs w:val="1"/>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Election of fair value option on January 1, 2020</w:t>
            </w:r>
          </w:p>
        </w:tc>
        <w:tc>
          <w:tcPr>
            <w:tcW w:w="3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1,556,131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Reclassification of accrued interest on January 1, 2020</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Purchases, drawdowns, contributions and accretion</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6,539</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Paydowns, distributions and sales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Change in accrued interest and capitalization of paid-in-kind interest</w:t>
            </w:r>
          </w:p>
        </w:tc>
        <w:tc>
          <w:tcPr>
            <w:tcW w:w="3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Allowance for credit losses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Realized and unrealized losses in earnings, net</w:t>
            </w:r>
          </w:p>
        </w:tc>
        <w:tc>
          <w:tcPr>
            <w:tcW w:w="3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(299,405)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(62,413)</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Other comprehensive income (loss) </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70,760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179"/>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Fair value at December 31, 2020</w:t>
            </w:r>
          </w:p>
        </w:tc>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28,576</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1,258,539</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153,259</w:t>
            </w:r>
          </w:p>
        </w:tc>
        <w:tc>
          <w:tcPr>
            <w:tcW w:w="0" w:type="dxa"/>
            <w:vAlign w:val="bottom"/>
          </w:tcPr>
          <w:p>
            <w:pPr>
              <w:spacing w:after="0"/>
              <w:rPr>
                <w:sz w:val="1"/>
                <w:szCs w:val="1"/>
                <w:color w:val="auto"/>
              </w:rPr>
            </w:pPr>
          </w:p>
        </w:tc>
      </w:tr>
      <w:tr>
        <w:trPr>
          <w:trHeight w:val="82"/>
        </w:trPr>
        <w:tc>
          <w:tcPr>
            <w:tcW w:w="760" w:type="dxa"/>
            <w:vAlign w:val="bottom"/>
            <w:tcBorders>
              <w:bottom w:val="single" w:sz="8" w:color="CCEEFF"/>
            </w:tcBorders>
          </w:tcPr>
          <w:p>
            <w:pPr>
              <w:spacing w:after="0"/>
              <w:rPr>
                <w:sz w:val="6"/>
                <w:szCs w:val="6"/>
                <w:color w:val="auto"/>
              </w:rPr>
            </w:pPr>
          </w:p>
        </w:tc>
        <w:tc>
          <w:tcPr>
            <w:tcW w:w="56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360" w:type="dxa"/>
            <w:vAlign w:val="bottom"/>
            <w:tcBorders>
              <w:top w:val="single" w:sz="8" w:color="CCEEFF"/>
            </w:tcBorders>
            <w:gridSpan w:val="2"/>
          </w:tcPr>
          <w:p>
            <w:pPr>
              <w:spacing w:after="0"/>
              <w:rPr>
                <w:sz w:val="20"/>
                <w:szCs w:val="20"/>
                <w:color w:val="auto"/>
              </w:rPr>
            </w:pPr>
            <w:r>
              <w:rPr>
                <w:rFonts w:ascii="Arial" w:cs="Arial" w:eastAsia="Arial" w:hAnsi="Arial"/>
                <w:sz w:val="14"/>
                <w:szCs w:val="14"/>
                <w:color w:val="auto"/>
              </w:rPr>
              <w:t>Net unrealized gains (losses) on instruments held at December 31, 2020</w:t>
            </w:r>
          </w:p>
        </w:tc>
        <w:tc>
          <w:tcPr>
            <w:tcW w:w="3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In earnings</w:t>
            </w: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3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In other comprehensive loss</w:t>
            </w:r>
          </w:p>
        </w:tc>
        <w:tc>
          <w:tcPr>
            <w:tcW w:w="300" w:type="dxa"/>
            <w:vAlign w:val="bottom"/>
          </w:tcPr>
          <w:p>
            <w:pPr>
              <w:jc w:val="right"/>
              <w:ind w:right="132"/>
              <w:spacing w:after="0" w:line="154"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4"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tcPr>
          <w:p>
            <w:pPr>
              <w:ind w:left="820"/>
              <w:spacing w:after="0" w:line="154"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3"/>
                <w:szCs w:val="13"/>
                <w:color w:val="auto"/>
              </w:rPr>
            </w:pPr>
          </w:p>
        </w:tc>
        <w:tc>
          <w:tcPr>
            <w:tcW w:w="1400" w:type="dxa"/>
            <w:vAlign w:val="bottom"/>
          </w:tcPr>
          <w:p>
            <w:pPr>
              <w:jc w:val="right"/>
              <w:spacing w:after="0" w:line="154"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6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Fair value at December 31, 2020</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28,576</w:t>
            </w:r>
          </w:p>
        </w:tc>
        <w:tc>
          <w:tcPr>
            <w:tcW w:w="80" w:type="dxa"/>
            <w:vAlign w:val="bottom"/>
          </w:tcPr>
          <w:p>
            <w:pPr>
              <w:spacing w:after="0"/>
              <w:rPr>
                <w:sz w:val="16"/>
                <w:szCs w:val="16"/>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1,258,539</w:t>
            </w:r>
          </w:p>
        </w:tc>
        <w:tc>
          <w:tcPr>
            <w:tcW w:w="80" w:type="dxa"/>
            <w:vAlign w:val="bottom"/>
          </w:tcPr>
          <w:p>
            <w:pPr>
              <w:spacing w:after="0"/>
              <w:rPr>
                <w:sz w:val="16"/>
                <w:szCs w:val="16"/>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153,259</w:t>
            </w: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Purchases, drawdowns, contributions and accretion</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10,049</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Paydowns, distributions and sales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(440,646)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(12,594)</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Change in accrued interest and capitalization of paid-in-kind interest</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Allowance for credit losses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and unrealized losses in earnings, net</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(29,961)</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Deconsolidation of investment entities (Note 22</w:t>
            </w: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(647,218)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(27,402)</w:t>
            </w: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006EBF"/>
              </w:rPr>
              <w:t>—</w:t>
            </w: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gridSpan w:val="2"/>
          </w:tcPr>
          <w:p>
            <w:pPr>
              <w:ind w:left="120"/>
              <w:spacing w:after="0" w:line="187" w:lineRule="exact"/>
              <w:rPr>
                <w:sz w:val="20"/>
                <w:szCs w:val="20"/>
                <w:color w:val="auto"/>
              </w:rPr>
            </w:pPr>
            <w:r>
              <w:rPr>
                <w:rFonts w:ascii="Arial" w:cs="Arial" w:eastAsia="Arial" w:hAnsi="Arial"/>
                <w:sz w:val="14"/>
                <w:szCs w:val="14"/>
                <w:color w:val="auto"/>
              </w:rPr>
              <w:t xml:space="preserve">Other comprehensive loss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(39,879)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(4,001)</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2021</w:t>
            </w: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36,531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55,878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79,309</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760" w:type="dxa"/>
            <w:vAlign w:val="bottom"/>
          </w:tcPr>
          <w:p>
            <w:pPr>
              <w:spacing w:after="0"/>
              <w:rPr>
                <w:sz w:val="3"/>
                <w:szCs w:val="3"/>
                <w:color w:val="auto"/>
              </w:rPr>
            </w:pPr>
          </w:p>
        </w:tc>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unrealized gains (losses) on instruments held at December 31, 2021</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In earnings</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(28,216)</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 other comprehensive loss</w:t>
            </w: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99" w:lineRule="exact"/>
        <w:rPr>
          <w:sz w:val="20"/>
          <w:szCs w:val="20"/>
          <w:color w:val="auto"/>
        </w:rPr>
      </w:pPr>
    </w:p>
    <w:p>
      <w:pPr>
        <w:ind w:left="206" w:right="140" w:hanging="206"/>
        <w:spacing w:after="0" w:line="215" w:lineRule="auto"/>
        <w:tabs>
          <w:tab w:leader="none" w:pos="226" w:val="left"/>
        </w:tabs>
        <w:numPr>
          <w:ilvl w:val="0"/>
          <w:numId w:val="104"/>
        </w:numPr>
        <w:rPr>
          <w:rFonts w:ascii="Arial" w:cs="Arial" w:eastAsia="Arial" w:hAnsi="Arial"/>
          <w:sz w:val="16"/>
          <w:szCs w:val="16"/>
          <w:color w:val="auto"/>
          <w:vertAlign w:val="superscript"/>
        </w:rPr>
      </w:pPr>
      <w:r>
        <w:rPr>
          <w:rFonts w:ascii="Arial" w:cs="Arial" w:eastAsia="Arial" w:hAnsi="Arial"/>
          <w:sz w:val="12"/>
          <w:szCs w:val="12"/>
          <w:color w:val="auto"/>
        </w:rPr>
        <w:t>Amounts recorded in OCI for loans receivable and equity method investments represent foreign currency translation differences on the Company's foreign subsidiaries that hold the respective foreign currency denominated investments.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12. Discontinued Operations</w:t>
      </w:r>
    </w:p>
    <w:p>
      <w:pPr>
        <w:spacing w:after="0" w:line="161" w:lineRule="exact"/>
        <w:rPr>
          <w:sz w:val="20"/>
          <w:szCs w:val="20"/>
          <w:color w:val="auto"/>
        </w:rPr>
      </w:pPr>
    </w:p>
    <w:p>
      <w:pPr>
        <w:ind w:left="386"/>
        <w:spacing w:after="0"/>
        <w:rPr>
          <w:sz w:val="20"/>
          <w:szCs w:val="20"/>
          <w:color w:val="auto"/>
        </w:rPr>
      </w:pPr>
      <w:r>
        <w:rPr>
          <w:rFonts w:ascii="Arial" w:cs="Arial" w:eastAsia="Arial" w:hAnsi="Arial"/>
          <w:sz w:val="16"/>
          <w:szCs w:val="16"/>
          <w:color w:val="auto"/>
        </w:rPr>
        <w:t>Discontinued operations represent the following:</w:t>
      </w:r>
    </w:p>
    <w:p>
      <w:pPr>
        <w:sectPr>
          <w:pgSz w:w="11900" w:h="16838" w:orient="portrait"/>
          <w:cols w:equalWidth="0" w:num="1">
            <w:col w:w="11266"/>
          </w:cols>
          <w:pgMar w:left="314" w:top="140" w:right="319" w:bottom="1440" w:gutter="0" w:footer="0" w:header="0"/>
        </w:sectPr>
      </w:pPr>
    </w:p>
    <w:p>
      <w:pPr>
        <w:spacing w:after="0" w:line="108" w:lineRule="exact"/>
        <w:rPr>
          <w:sz w:val="20"/>
          <w:szCs w:val="20"/>
          <w:color w:val="auto"/>
        </w:rPr>
      </w:pPr>
    </w:p>
    <w:p>
      <w:pPr>
        <w:ind w:left="426"/>
        <w:spacing w:after="0"/>
        <w:rPr>
          <w:sz w:val="20"/>
          <w:szCs w:val="20"/>
          <w:color w:val="auto"/>
        </w:rPr>
      </w:pPr>
      <w:r>
        <w:rPr>
          <w:rFonts w:ascii="Arial" w:cs="Arial" w:eastAsia="Arial" w:hAnsi="Arial"/>
          <w:sz w:val="5"/>
          <w:szCs w:val="5"/>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6"/>
        <w:spacing w:after="0"/>
        <w:rPr>
          <w:sz w:val="20"/>
          <w:szCs w:val="20"/>
          <w:color w:val="auto"/>
        </w:rPr>
      </w:pPr>
      <w:r>
        <w:rPr>
          <w:rFonts w:ascii="Arial" w:cs="Arial" w:eastAsia="Arial" w:hAnsi="Arial"/>
          <w:sz w:val="5"/>
          <w:szCs w:val="5"/>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hanging="6"/>
        <w:spacing w:after="0" w:line="250" w:lineRule="auto"/>
        <w:rPr>
          <w:sz w:val="20"/>
          <w:szCs w:val="20"/>
          <w:color w:val="auto"/>
        </w:rPr>
      </w:pPr>
      <w:r>
        <w:rPr>
          <w:rFonts w:ascii="Arial" w:cs="Arial" w:eastAsia="Arial" w:hAnsi="Arial"/>
          <w:sz w:val="16"/>
          <w:szCs w:val="16"/>
          <w:i w:val="1"/>
          <w:iCs w:val="1"/>
          <w:color w:val="auto"/>
        </w:rPr>
        <w:t>Wellness Infrastructure</w:t>
      </w:r>
      <w:r>
        <w:rPr>
          <w:rFonts w:ascii="Arial" w:cs="Arial" w:eastAsia="Arial" w:hAnsi="Arial"/>
          <w:sz w:val="16"/>
          <w:szCs w:val="16"/>
          <w:color w:val="auto"/>
        </w:rPr>
        <w:t>—operations of the Wellness Infrastructure business, along with other non-core assets held by NRF Holdco, primarily: (i)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equity interest in and management of NorthStar Healthcare, debt securities collateralized largely by certain debt and preferred equity within the capital structure of the Wellness Infrastructure portfolio, limited partnership interests in private equity real estate funds; as well as (ii) the 5.375% exchangeable senior notes, trust preferred securities and corresponding junior subordinated debt, all of which were issued by NRF Holdco who acts as guarantor.</w:t>
      </w:r>
    </w:p>
    <w:p>
      <w:pPr>
        <w:spacing w:after="0" w:line="71" w:lineRule="exact"/>
        <w:rPr>
          <w:sz w:val="20"/>
          <w:szCs w:val="20"/>
          <w:color w:val="auto"/>
        </w:rPr>
      </w:pPr>
    </w:p>
    <w:p>
      <w:pPr>
        <w:ind w:right="60" w:hanging="6"/>
        <w:spacing w:after="0" w:line="250"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—operations of substantially all of the OED investments and Other IM business that were previously in the Other segment prior to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equity interests and subsequent deconsolidation of these subsidiaries in December 2021. This is composed of various non-digital real estate, real estate-related equity and debt investments, general partner interests and management rights with respect to these assets, and underlying compensation and administrative costs for managing these assets. Also included in discontinued operations are the economics related to the management of BRSP prior to termination of its management contract in April 2021.</w:t>
      </w:r>
    </w:p>
    <w:p>
      <w:pPr>
        <w:spacing w:after="0" w:line="200" w:lineRule="exact"/>
        <w:rPr>
          <w:sz w:val="20"/>
          <w:szCs w:val="20"/>
          <w:color w:val="auto"/>
        </w:rPr>
      </w:pPr>
    </w:p>
    <w:p>
      <w:pPr>
        <w:sectPr>
          <w:pgSz w:w="11900" w:h="16838" w:orient="portrait"/>
          <w:cols w:equalWidth="0" w:num="2">
            <w:col w:w="446" w:space="120"/>
            <w:col w:w="10700"/>
          </w:cols>
          <w:pgMar w:left="314" w:top="140" w:right="319" w:bottom="1440" w:gutter="0" w:footer="0" w:header="0"/>
          <w:type w:val="continuous"/>
        </w:sectPr>
      </w:pPr>
    </w:p>
    <w:p>
      <w:pPr>
        <w:spacing w:after="0" w:line="214"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7176135"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type w:val="continuous"/>
        </w:sectPr>
      </w:pPr>
    </w:p>
    <w:bookmarkStart w:id="155" w:name="page156"/>
    <w:bookmarkEnd w:id="1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560" w:right="140" w:hanging="145"/>
        <w:spacing w:after="0" w:line="252" w:lineRule="auto"/>
        <w:tabs>
          <w:tab w:leader="none" w:pos="556" w:val="left"/>
        </w:tabs>
        <w:numPr>
          <w:ilvl w:val="0"/>
          <w:numId w:val="105"/>
        </w:numPr>
        <w:rPr>
          <w:rFonts w:ascii="Arial" w:cs="Arial" w:eastAsia="Arial" w:hAnsi="Arial"/>
          <w:sz w:val="16"/>
          <w:szCs w:val="16"/>
          <w:i w:val="1"/>
          <w:iCs w:val="1"/>
          <w:color w:val="auto"/>
        </w:rPr>
      </w:pPr>
      <w:r>
        <w:rPr>
          <w:rFonts w:ascii="Arial" w:cs="Arial" w:eastAsia="Arial" w:hAnsi="Arial"/>
          <w:sz w:val="16"/>
          <w:szCs w:val="16"/>
          <w:i w:val="1"/>
          <w:iCs w:val="1"/>
          <w:color w:val="auto"/>
        </w:rPr>
        <w:t>Hotel</w:t>
      </w:r>
      <w:r>
        <w:rPr>
          <w:rFonts w:ascii="Arial" w:cs="Arial" w:eastAsia="Arial" w:hAnsi="Arial"/>
          <w:sz w:val="16"/>
          <w:szCs w:val="16"/>
          <w:color w:val="auto"/>
        </w:rPr>
        <w:t>—operations of the Company's Hospitality segment and the THL Hotel Portfolio that was previously in the Other segment. In March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sold 100% of the equity in its hotel subsidiaries holding five of the six portfolios in the Hospitality segment, and the Company's 55.6% interest in the THL Hotel Portfolio which was deconsolidated upon sale. The remaining hotel portfolio that was in receivership was sold by the lender in September 2021.</w:t>
      </w:r>
    </w:p>
    <w:p>
      <w:pPr>
        <w:spacing w:after="0" w:line="69" w:lineRule="exact"/>
        <w:rPr>
          <w:rFonts w:ascii="Arial" w:cs="Arial" w:eastAsia="Arial" w:hAnsi="Arial"/>
          <w:sz w:val="16"/>
          <w:szCs w:val="16"/>
          <w:i w:val="1"/>
          <w:iCs w:val="1"/>
          <w:color w:val="auto"/>
        </w:rPr>
      </w:pPr>
    </w:p>
    <w:p>
      <w:pPr>
        <w:ind w:left="560" w:hanging="145"/>
        <w:spacing w:after="0"/>
        <w:tabs>
          <w:tab w:leader="none" w:pos="560" w:val="left"/>
        </w:tabs>
        <w:numPr>
          <w:ilvl w:val="0"/>
          <w:numId w:val="105"/>
        </w:numPr>
        <w:rPr>
          <w:rFonts w:ascii="Arial" w:cs="Arial" w:eastAsia="Arial" w:hAnsi="Arial"/>
          <w:sz w:val="16"/>
          <w:szCs w:val="16"/>
          <w:i w:val="1"/>
          <w:iCs w:val="1"/>
          <w:color w:val="auto"/>
        </w:rPr>
      </w:pPr>
      <w:r>
        <w:rPr>
          <w:rFonts w:ascii="Arial" w:cs="Arial" w:eastAsia="Arial" w:hAnsi="Arial"/>
          <w:sz w:val="16"/>
          <w:szCs w:val="16"/>
          <w:i w:val="1"/>
          <w:iCs w:val="1"/>
          <w:color w:val="auto"/>
        </w:rPr>
        <w:t>Industrial</w:t>
      </w:r>
      <w:r>
        <w:rPr>
          <w:rFonts w:ascii="Arial" w:cs="Arial" w:eastAsia="Arial" w:hAnsi="Arial"/>
          <w:sz w:val="16"/>
          <w:szCs w:val="16"/>
          <w:color w:val="auto"/>
        </w:rPr>
        <w:t>—operations of the bulk industrial portfolio prior to the sale of the Company's 50% interest and deconsolidation in December 2020.</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(loss) from discontinued operations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17"/>
        </w:trPr>
        <w:tc>
          <w:tcPr>
            <w:tcW w:w="6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120" w:type="dxa"/>
            <w:vAlign w:val="bottom"/>
          </w:tcPr>
          <w:p>
            <w:pPr>
              <w:jc w:val="right"/>
              <w:ind w:right="551"/>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right"/>
              <w:ind w:right="531"/>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531"/>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2"/>
        </w:trPr>
        <w:tc>
          <w:tcPr>
            <w:tcW w:w="67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Property operating income</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737,282</w:t>
            </w:r>
          </w:p>
        </w:tc>
        <w:tc>
          <w:tcPr>
            <w:tcW w:w="80" w:type="dxa"/>
            <w:vAlign w:val="bottom"/>
          </w:tcPr>
          <w:p>
            <w:pPr>
              <w:spacing w:after="0"/>
              <w:rPr>
                <w:sz w:val="16"/>
                <w:szCs w:val="16"/>
                <w:color w:val="auto"/>
              </w:rPr>
            </w:pPr>
          </w:p>
        </w:tc>
        <w:tc>
          <w:tcPr>
            <w:tcW w:w="340" w:type="dxa"/>
            <w:vAlign w:val="bottom"/>
          </w:tcPr>
          <w:p>
            <w:pPr>
              <w:jc w:val="right"/>
              <w:ind w:right="195"/>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1,217,236</w:t>
            </w:r>
          </w:p>
        </w:tc>
        <w:tc>
          <w:tcPr>
            <w:tcW w:w="8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2,196,799</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19,143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164,445</w:t>
            </w: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Fee income</w:t>
            </w:r>
          </w:p>
        </w:tc>
        <w:tc>
          <w:tcPr>
            <w:tcW w:w="34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58,197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94,399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202,038</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29,037</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65,276</w:t>
            </w:r>
          </w:p>
        </w:tc>
      </w:tr>
      <w:tr>
        <w:trPr>
          <w:trHeight w:val="176"/>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Revenues from discontinued operations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843,659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1,414,430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2,628,558</w:t>
            </w:r>
          </w:p>
        </w:tc>
      </w:tr>
      <w:tr>
        <w:trPr>
          <w:trHeight w:val="169"/>
        </w:trPr>
        <w:tc>
          <w:tcPr>
            <w:tcW w:w="67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Property operating expense</w:t>
            </w:r>
          </w:p>
        </w:tc>
        <w:tc>
          <w:tcPr>
            <w:tcW w:w="34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462,896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799,850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1,182,150</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256,567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353,577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586,181</w:t>
            </w: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Transaction-related costs and investment expense</w:t>
            </w:r>
          </w:p>
        </w:tc>
        <w:tc>
          <w:tcPr>
            <w:tcW w:w="34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38,820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70,993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67,394</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96,860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337,262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578,011</w:t>
            </w: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Provision for loan losses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35,880</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Impairment loss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317,405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2,556,051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1,145,794</w:t>
            </w:r>
          </w:p>
        </w:tc>
      </w:tr>
      <w:tr>
        <w:trPr>
          <w:trHeight w:val="185"/>
        </w:trPr>
        <w:tc>
          <w:tcPr>
            <w:tcW w:w="6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Compensation and administrative expense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109,620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100,011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243,970</w:t>
            </w:r>
          </w:p>
        </w:tc>
      </w:tr>
      <w:tr>
        <w:trPr>
          <w:trHeight w:val="181"/>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Expenses from discontinued operations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1,282,168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4,217,744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3,839,380</w:t>
            </w:r>
          </w:p>
        </w:tc>
      </w:tr>
      <w:tr>
        <w:trPr>
          <w:trHeight w:val="16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Other income (loss)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8"/>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sale of real estate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49,429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41,922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1,520,808</w:t>
            </w: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Other gain (loss), net</w:t>
            </w:r>
          </w:p>
        </w:tc>
        <w:tc>
          <w:tcPr>
            <w:tcW w:w="34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72,617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(194,860)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(16,054)</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method earnings (losses)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(233,725)</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(203,399)</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129,709</w:t>
            </w:r>
          </w:p>
        </w:tc>
      </w:tr>
      <w:tr>
        <w:trPr>
          <w:trHeight w:val="17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Income (loss) from discontinued operations before income taxes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(550,188)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(3,159,651)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423,641</w:t>
            </w:r>
          </w:p>
        </w:tc>
      </w:tr>
      <w:tr>
        <w:trPr>
          <w:trHeight w:val="18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(49,900)</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(39,671)</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(23,068)</w:t>
            </w:r>
          </w:p>
        </w:tc>
      </w:tr>
      <w:tr>
        <w:trPr>
          <w:trHeight w:val="17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Income (loss) from discontinued operations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(600,088)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(3,199,322)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400,573</w:t>
            </w:r>
          </w:p>
        </w:tc>
      </w:tr>
      <w:tr>
        <w:trPr>
          <w:trHeight w:val="189"/>
        </w:trPr>
        <w:tc>
          <w:tcPr>
            <w:tcW w:w="6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from discontinued operations attributable to:</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5"/>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Noncontrolling interests in investment entities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(337,685)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(712,771)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990,985</w:t>
            </w:r>
          </w:p>
        </w:tc>
      </w:tr>
      <w:tr>
        <w:trPr>
          <w:trHeight w:val="187"/>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Noncontrolling interests in Operating Company</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(24,945)</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(246,540)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(49,748)</w:t>
            </w:r>
          </w:p>
        </w:tc>
      </w:tr>
      <w:tr>
        <w:trPr>
          <w:trHeight w:val="18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Loss from discontinued operations attributable to DigitalBridge Group, Inc.</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(237,458)</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(2,240,011)</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(540,664)</w:t>
            </w:r>
          </w:p>
        </w:tc>
      </w:tr>
      <w:tr>
        <w:trPr>
          <w:trHeight w:val="20"/>
        </w:trPr>
        <w:tc>
          <w:tcPr>
            <w:tcW w:w="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Values</w:t>
      </w:r>
    </w:p>
    <w:p>
      <w:pPr>
        <w:spacing w:after="0" w:line="115" w:lineRule="exact"/>
        <w:rPr>
          <w:sz w:val="20"/>
          <w:szCs w:val="20"/>
          <w:color w:val="auto"/>
        </w:rPr>
      </w:pPr>
    </w:p>
    <w:p>
      <w:pPr>
        <w:ind w:right="200" w:firstLine="386"/>
        <w:spacing w:after="0" w:line="246" w:lineRule="auto"/>
        <w:rPr>
          <w:sz w:val="20"/>
          <w:szCs w:val="20"/>
          <w:color w:val="auto"/>
        </w:rPr>
      </w:pPr>
      <w:r>
        <w:rPr>
          <w:rFonts w:ascii="Arial" w:cs="Arial" w:eastAsia="Arial" w:hAnsi="Arial"/>
          <w:sz w:val="16"/>
          <w:szCs w:val="16"/>
          <w:color w:val="auto"/>
        </w:rPr>
        <w:t>Financial assets and financial liabilities carried at fair value on a recurring basis include financial instruments for which the fair value option was elected, but exclude financial assets under the NAV practical expedient. Fair value is categorized into a three tier hierarchy that is prioritized based upon the level of transparency in inputs used in the valuation techniques.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Marketable Equity Securities</w:t>
      </w:r>
    </w:p>
    <w:p>
      <w:pPr>
        <w:spacing w:after="0" w:line="115" w:lineRule="exact"/>
        <w:rPr>
          <w:sz w:val="20"/>
          <w:szCs w:val="20"/>
          <w:color w:val="auto"/>
        </w:rPr>
      </w:pPr>
    </w:p>
    <w:p>
      <w:pPr>
        <w:ind w:right="60" w:firstLine="386"/>
        <w:spacing w:after="0" w:line="245" w:lineRule="auto"/>
        <w:rPr>
          <w:sz w:val="20"/>
          <w:szCs w:val="20"/>
          <w:color w:val="auto"/>
        </w:rPr>
      </w:pPr>
      <w:r>
        <w:rPr>
          <w:rFonts w:ascii="Arial" w:cs="Arial" w:eastAsia="Arial" w:hAnsi="Arial"/>
          <w:sz w:val="16"/>
          <w:szCs w:val="16"/>
          <w:color w:val="auto"/>
        </w:rPr>
        <w:t>Marketable equity securities of $201.9 million at December 31, 2021 and $218.5 million at December 31, 2020 (Note 5) consist of publicly traded equity securities held largely by private open-end funds sponsored and consolidated by the Company, and prior to January 2021, equity investment in a third party mutual fund. The equity securities of the consolidated funds comprise listed stocks primarily in the U.S. and to a lesser extent, in Europe, and predominantly in the technology, media and telecommunications sectors. These marketable equity securities are valued based upon listed prices in active markets and classified as Level 1 of the fair value hierarchy.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6" w:name="page157"/>
    <w:bookmarkEnd w:id="156"/>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Derivatives</w:t>
      </w:r>
    </w:p>
    <w:p>
      <w:pPr>
        <w:spacing w:after="0" w:line="115" w:lineRule="exact"/>
        <w:rPr>
          <w:sz w:val="20"/>
          <w:szCs w:val="20"/>
          <w:color w:val="auto"/>
        </w:rPr>
      </w:pPr>
    </w:p>
    <w:p>
      <w:pPr>
        <w:ind w:left="6" w:right="280" w:firstLine="386"/>
        <w:spacing w:after="0" w:line="288" w:lineRule="auto"/>
        <w:rPr>
          <w:sz w:val="20"/>
          <w:szCs w:val="20"/>
          <w:color w:val="auto"/>
        </w:rPr>
      </w:pPr>
      <w:r>
        <w:rPr>
          <w:rFonts w:ascii="Arial" w:cs="Arial" w:eastAsia="Arial" w:hAnsi="Arial"/>
          <w:sz w:val="14"/>
          <w:szCs w:val="14"/>
          <w:color w:val="auto"/>
        </w:rPr>
        <w:t>The Company's derivative instruments generally consist of: (i) foreign currency put options, forward contracts and costless collars to hedge the foreign currency exposure of certain foreign-denominated investments or investments in foreign subsidiaries (in GBP and EUR), with notional amounts and termination dates based upon the anticipated return of capital from these investments; and (ii) interest rate caps to limit the exposure to changes in interest rates on various floating rate debt obligations (indexed to LIBOR and GBP LIBOR and additionally, EURIBOR prior to December 31, 2021). These derivative contracts may be designated as qualifying hedge accounting relationships, specifically as net investment hedges and cash flow hedges, respectively.</w:t>
      </w:r>
    </w:p>
    <w:p>
      <w:pPr>
        <w:spacing w:after="0" w:line="63" w:lineRule="exact"/>
        <w:rPr>
          <w:sz w:val="20"/>
          <w:szCs w:val="20"/>
          <w:color w:val="auto"/>
        </w:rPr>
      </w:pPr>
    </w:p>
    <w:p>
      <w:pPr>
        <w:ind w:left="6" w:right="20" w:firstLine="386"/>
        <w:spacing w:after="0" w:line="244" w:lineRule="auto"/>
        <w:rPr>
          <w:sz w:val="20"/>
          <w:szCs w:val="20"/>
          <w:color w:val="auto"/>
        </w:rPr>
      </w:pPr>
      <w:r>
        <w:rPr>
          <w:rFonts w:ascii="Arial" w:cs="Arial" w:eastAsia="Arial" w:hAnsi="Arial"/>
          <w:sz w:val="16"/>
          <w:szCs w:val="16"/>
          <w:color w:val="auto"/>
        </w:rPr>
        <w:t>Fair values were $0.9 million at December 31, 2021 and $0.1 million at December 31, 2020 for derivative assets, included in other assets, and $103.8 million at December 31, 2020 for derivative liabilities, included in other liabilities. The Company did not have any derivatives in a liability position at December 31, 2021. All derivative positions were non-designated economic hedges except for an immaterial derivative asset at December 31, 2020. Derivative notional amounts at December 31, 2021 and 2020 aggregated to the equivalent of $182.3 million and $350.5 million, respectively, for foreign exchange contracts, and the equivalent of $2.0 billion and $4.6 billion, respectively, for interest rate contracts. The derivative instruments are subject to master netting arrangements with counterparties that allow the Company to offset the settlement of derivative assets and liabilities in the same currency by instrument type or, in the event of default by the counterparty, to offset all derivative assets and liabilities with the same counterparty. Notwithstanding the conditions for right of offset may have been met, the Company presents derivative assets and liabilities with the same counterparty on a gross basis on the consolidated balance sheets.</w:t>
      </w:r>
    </w:p>
    <w:p>
      <w:pPr>
        <w:spacing w:after="0" w:line="94" w:lineRule="exact"/>
        <w:rPr>
          <w:sz w:val="20"/>
          <w:szCs w:val="20"/>
          <w:color w:val="auto"/>
        </w:rPr>
      </w:pPr>
    </w:p>
    <w:p>
      <w:pPr>
        <w:ind w:left="6" w:right="120" w:firstLine="386"/>
        <w:spacing w:after="0" w:line="248" w:lineRule="auto"/>
        <w:rPr>
          <w:sz w:val="20"/>
          <w:szCs w:val="20"/>
          <w:color w:val="auto"/>
        </w:rPr>
      </w:pPr>
      <w:r>
        <w:rPr>
          <w:rFonts w:ascii="Arial" w:cs="Arial" w:eastAsia="Arial" w:hAnsi="Arial"/>
          <w:sz w:val="16"/>
          <w:szCs w:val="16"/>
          <w:color w:val="auto"/>
        </w:rPr>
        <w:t>Realized and unrealized gains and losses on derivative instruments are recorded in other gain (loss) on the consolidated statement of operations, other than interest expense, as follows: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17"/>
        </w:trPr>
        <w:tc>
          <w:tcPr>
            <w:tcW w:w="690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2"/>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532"/>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2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6900" w:type="dxa"/>
            <w:vAlign w:val="bottom"/>
            <w:gridSpan w:val="5"/>
            <w:shd w:val="clear" w:color="auto" w:fill="CCEEFF"/>
          </w:tcPr>
          <w:p>
            <w:pPr>
              <w:spacing w:after="0" w:line="127" w:lineRule="exact"/>
              <w:rPr>
                <w:sz w:val="20"/>
                <w:szCs w:val="20"/>
                <w:color w:val="auto"/>
              </w:rPr>
            </w:pPr>
            <w:r>
              <w:rPr>
                <w:rFonts w:ascii="Arial" w:cs="Arial" w:eastAsia="Arial" w:hAnsi="Arial"/>
                <w:sz w:val="14"/>
                <w:szCs w:val="14"/>
                <w:color w:val="auto"/>
              </w:rPr>
              <w:t>Foreign currency contracts: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5"/>
        </w:trPr>
        <w:tc>
          <w:tcPr>
            <w:tcW w:w="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i w:val="1"/>
                <w:iCs w:val="1"/>
                <w:color w:val="auto"/>
              </w:rPr>
              <w:t>Designated contracts</w:t>
            </w:r>
          </w:p>
        </w:tc>
        <w:tc>
          <w:tcPr>
            <w:tcW w:w="5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Realized gain transferred from AOCI to earnings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r>
      <w:tr>
        <w:trPr>
          <w:trHeight w:val="187"/>
        </w:trPr>
        <w:tc>
          <w:tcPr>
            <w:tcW w:w="20" w:type="dxa"/>
            <w:vAlign w:val="bottom"/>
          </w:tcPr>
          <w:p>
            <w:pPr>
              <w:spacing w:after="0"/>
              <w:rPr>
                <w:sz w:val="16"/>
                <w:szCs w:val="16"/>
                <w:color w:val="auto"/>
              </w:rPr>
            </w:pPr>
          </w:p>
        </w:tc>
        <w:tc>
          <w:tcPr>
            <w:tcW w:w="6880" w:type="dxa"/>
            <w:vAlign w:val="bottom"/>
            <w:gridSpan w:val="4"/>
          </w:tcPr>
          <w:p>
            <w:pPr>
              <w:ind w:left="180"/>
              <w:spacing w:after="0" w:line="187" w:lineRule="exact"/>
              <w:rPr>
                <w:sz w:val="20"/>
                <w:szCs w:val="20"/>
                <w:color w:val="auto"/>
              </w:rPr>
            </w:pPr>
            <w:r>
              <w:rPr>
                <w:rFonts w:ascii="Arial" w:cs="Arial" w:eastAsia="Arial" w:hAnsi="Arial"/>
                <w:sz w:val="14"/>
                <w:szCs w:val="14"/>
                <w:color w:val="auto"/>
              </w:rPr>
              <w:t xml:space="preserve">Unrealized gain (loss) transferred from AOCI to earnings </w:t>
            </w:r>
            <w:r>
              <w:rPr>
                <w:rFonts w:ascii="Arial" w:cs="Arial" w:eastAsia="Arial" w:hAnsi="Arial"/>
                <w:sz w:val="18"/>
                <w:szCs w:val="18"/>
                <w:color w:val="auto"/>
                <w:vertAlign w:val="superscript"/>
              </w:rPr>
              <w:t>(1)</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1,485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(2,693)</w:t>
            </w:r>
          </w:p>
        </w:tc>
      </w:tr>
      <w:tr>
        <w:trPr>
          <w:trHeight w:val="187"/>
        </w:trPr>
        <w:tc>
          <w:tcPr>
            <w:tcW w:w="2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100"/>
              <w:spacing w:after="0"/>
              <w:rPr>
                <w:sz w:val="20"/>
                <w:szCs w:val="20"/>
                <w:color w:val="auto"/>
              </w:rPr>
            </w:pPr>
            <w:r>
              <w:rPr>
                <w:rFonts w:ascii="Arial" w:cs="Arial" w:eastAsia="Arial" w:hAnsi="Arial"/>
                <w:sz w:val="14"/>
                <w:szCs w:val="14"/>
                <w:i w:val="1"/>
                <w:iCs w:val="1"/>
                <w:color w:val="auto"/>
              </w:rPr>
              <w:t>Non-designated contracts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880" w:type="dxa"/>
            <w:vAlign w:val="bottom"/>
            <w:gridSpan w:val="4"/>
          </w:tcPr>
          <w:p>
            <w:pPr>
              <w:ind w:left="180"/>
              <w:spacing w:after="0"/>
              <w:rPr>
                <w:sz w:val="20"/>
                <w:szCs w:val="20"/>
                <w:color w:val="auto"/>
              </w:rPr>
            </w:pPr>
            <w:r>
              <w:rPr>
                <w:rFonts w:ascii="Arial" w:cs="Arial" w:eastAsia="Arial" w:hAnsi="Arial"/>
                <w:sz w:val="14"/>
                <w:szCs w:val="14"/>
                <w:color w:val="auto"/>
              </w:rPr>
              <w:t>Unrealized gain (loss) in earnings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(2,727)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w w:val="99"/>
              </w:rPr>
              <w:t>Interest rate contracts:</w:t>
            </w:r>
          </w:p>
        </w:tc>
        <w:tc>
          <w:tcPr>
            <w:tcW w:w="548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880" w:type="dxa"/>
            <w:vAlign w:val="bottom"/>
            <w:gridSpan w:val="4"/>
          </w:tcPr>
          <w:p>
            <w:pPr>
              <w:ind w:left="100"/>
              <w:spacing w:after="0"/>
              <w:rPr>
                <w:sz w:val="20"/>
                <w:szCs w:val="20"/>
                <w:color w:val="auto"/>
              </w:rPr>
            </w:pPr>
            <w:r>
              <w:rPr>
                <w:rFonts w:ascii="Arial" w:cs="Arial" w:eastAsia="Arial" w:hAnsi="Arial"/>
                <w:sz w:val="14"/>
                <w:szCs w:val="14"/>
                <w:i w:val="1"/>
                <w:iCs w:val="1"/>
                <w:color w:val="auto"/>
              </w:rPr>
              <w:t>Designated contracts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8"/>
                <w:szCs w:val="18"/>
                <w:color w:val="auto"/>
                <w:vertAlign w:val="superscript"/>
              </w:rPr>
              <w:t>(2)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20" w:type="dxa"/>
            <w:vAlign w:val="bottom"/>
          </w:tcPr>
          <w:p>
            <w:pPr>
              <w:spacing w:after="0"/>
              <w:rPr>
                <w:sz w:val="16"/>
                <w:szCs w:val="16"/>
                <w:color w:val="auto"/>
              </w:rPr>
            </w:pPr>
          </w:p>
        </w:tc>
        <w:tc>
          <w:tcPr>
            <w:tcW w:w="6880" w:type="dxa"/>
            <w:vAlign w:val="bottom"/>
            <w:gridSpan w:val="4"/>
          </w:tcPr>
          <w:p>
            <w:pPr>
              <w:ind w:left="180"/>
              <w:spacing w:after="0"/>
              <w:rPr>
                <w:sz w:val="20"/>
                <w:szCs w:val="20"/>
                <w:color w:val="auto"/>
              </w:rPr>
            </w:pPr>
            <w:r>
              <w:rPr>
                <w:rFonts w:ascii="Arial" w:cs="Arial" w:eastAsia="Arial" w:hAnsi="Arial"/>
                <w:sz w:val="14"/>
                <w:szCs w:val="14"/>
                <w:color w:val="auto"/>
              </w:rPr>
              <w:t>Realized gain (loss) transferred from AOCI to earnings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8,019</w:t>
            </w:r>
          </w:p>
        </w:tc>
      </w:tr>
      <w:tr>
        <w:trPr>
          <w:trHeight w:val="189"/>
        </w:trPr>
        <w:tc>
          <w:tcPr>
            <w:tcW w:w="2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100"/>
              <w:spacing w:after="0"/>
              <w:rPr>
                <w:sz w:val="20"/>
                <w:szCs w:val="20"/>
                <w:color w:val="auto"/>
              </w:rPr>
            </w:pPr>
            <w:r>
              <w:rPr>
                <w:rFonts w:ascii="Arial" w:cs="Arial" w:eastAsia="Arial" w:hAnsi="Arial"/>
                <w:sz w:val="14"/>
                <w:szCs w:val="14"/>
                <w:i w:val="1"/>
                <w:iCs w:val="1"/>
                <w:color w:val="auto"/>
              </w:rPr>
              <w:t>Non-designated contracts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6880" w:type="dxa"/>
            <w:vAlign w:val="bottom"/>
            <w:gridSpan w:val="4"/>
          </w:tcPr>
          <w:p>
            <w:pPr>
              <w:ind w:left="180"/>
              <w:spacing w:after="0"/>
              <w:rPr>
                <w:sz w:val="20"/>
                <w:szCs w:val="20"/>
                <w:color w:val="auto"/>
              </w:rPr>
            </w:pPr>
            <w:r>
              <w:rPr>
                <w:rFonts w:ascii="Arial" w:cs="Arial" w:eastAsia="Arial" w:hAnsi="Arial"/>
                <w:sz w:val="14"/>
                <w:szCs w:val="14"/>
                <w:color w:val="auto"/>
              </w:rPr>
              <w:t xml:space="preserve">Realized and unrealized loss in earnings </w:t>
            </w:r>
            <w:r>
              <w:rPr>
                <w:rFonts w:ascii="Arial" w:cs="Arial" w:eastAsia="Arial" w:hAnsi="Arial"/>
                <w:sz w:val="18"/>
                <w:szCs w:val="18"/>
                <w:color w:val="auto"/>
                <w:vertAlign w:val="superscript"/>
              </w:rPr>
              <w:t>(3)</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(242,898)</w:t>
            </w:r>
          </w:p>
        </w:tc>
      </w:tr>
    </w:tbl>
    <w:p>
      <w:pPr>
        <w:spacing w:after="0" w:line="27"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320" w:hanging="206"/>
        <w:spacing w:after="0" w:line="262" w:lineRule="auto"/>
        <w:tabs>
          <w:tab w:leader="none" w:pos="231" w:val="left"/>
        </w:tabs>
        <w:numPr>
          <w:ilvl w:val="0"/>
          <w:numId w:val="106"/>
        </w:numPr>
        <w:rPr>
          <w:rFonts w:ascii="Arial" w:cs="Arial" w:eastAsia="Arial" w:hAnsi="Arial"/>
          <w:sz w:val="8"/>
          <w:szCs w:val="8"/>
          <w:color w:val="auto"/>
        </w:rPr>
      </w:pPr>
      <w:r>
        <w:rPr>
          <w:rFonts w:ascii="Arial" w:cs="Arial" w:eastAsia="Arial" w:hAnsi="Arial"/>
          <w:sz w:val="12"/>
          <w:szCs w:val="12"/>
          <w:color w:val="auto"/>
        </w:rPr>
        <w:t>The portion of derivative notional that is in excess of the beginning balance of the foreign denominated net investment is dedesignated upon a reassessment of the effectiveness of net investment hedges at period end.</w:t>
      </w:r>
    </w:p>
    <w:p>
      <w:pPr>
        <w:spacing w:after="0" w:line="26" w:lineRule="exact"/>
        <w:rPr>
          <w:rFonts w:ascii="Arial" w:cs="Arial" w:eastAsia="Arial" w:hAnsi="Arial"/>
          <w:sz w:val="8"/>
          <w:szCs w:val="8"/>
          <w:color w:val="auto"/>
        </w:rPr>
      </w:pPr>
    </w:p>
    <w:p>
      <w:pPr>
        <w:ind w:left="186" w:hanging="186"/>
        <w:spacing w:after="0"/>
        <w:tabs>
          <w:tab w:leader="none" w:pos="186" w:val="left"/>
        </w:tabs>
        <w:numPr>
          <w:ilvl w:val="0"/>
          <w:numId w:val="106"/>
        </w:numPr>
        <w:rPr>
          <w:rFonts w:ascii="Arial" w:cs="Arial" w:eastAsia="Arial" w:hAnsi="Arial"/>
          <w:sz w:val="8"/>
          <w:szCs w:val="8"/>
          <w:color w:val="auto"/>
        </w:rPr>
      </w:pPr>
      <w:r>
        <w:rPr>
          <w:rFonts w:ascii="Arial" w:cs="Arial" w:eastAsia="Arial" w:hAnsi="Arial"/>
          <w:sz w:val="12"/>
          <w:szCs w:val="12"/>
          <w:color w:val="auto"/>
        </w:rPr>
        <w:t>Represents amortization of the cost of designated interest rate caps to interest expense based upon expected hedged interest payments on variable</w:t>
      </w:r>
    </w:p>
    <w:p>
      <w:pPr>
        <w:spacing w:after="0" w:line="2" w:lineRule="exact"/>
        <w:rPr>
          <w:sz w:val="20"/>
          <w:szCs w:val="20"/>
          <w:color w:val="auto"/>
        </w:rPr>
      </w:pPr>
    </w:p>
    <w:p>
      <w:pPr>
        <w:ind w:left="206"/>
        <w:spacing w:after="0"/>
        <w:rPr>
          <w:sz w:val="20"/>
          <w:szCs w:val="20"/>
          <w:color w:val="auto"/>
        </w:rPr>
      </w:pPr>
      <w:r>
        <w:rPr>
          <w:rFonts w:ascii="Arial" w:cs="Arial" w:eastAsia="Arial" w:hAnsi="Arial"/>
          <w:sz w:val="12"/>
          <w:szCs w:val="12"/>
          <w:color w:val="auto"/>
        </w:rPr>
        <w:t>rate debt.</w:t>
      </w:r>
    </w:p>
    <w:p>
      <w:pPr>
        <w:spacing w:after="0" w:line="49" w:lineRule="exact"/>
        <w:rPr>
          <w:sz w:val="20"/>
          <w:szCs w:val="20"/>
          <w:color w:val="auto"/>
        </w:rPr>
      </w:pPr>
    </w:p>
    <w:p>
      <w:pPr>
        <w:ind w:left="186" w:hanging="186"/>
        <w:spacing w:after="0"/>
        <w:tabs>
          <w:tab w:leader="none" w:pos="186" w:val="left"/>
        </w:tabs>
        <w:numPr>
          <w:ilvl w:val="0"/>
          <w:numId w:val="107"/>
        </w:numPr>
        <w:rPr>
          <w:rFonts w:ascii="Arial" w:cs="Arial" w:eastAsia="Arial" w:hAnsi="Arial"/>
          <w:sz w:val="8"/>
          <w:szCs w:val="8"/>
          <w:color w:val="auto"/>
        </w:rPr>
      </w:pPr>
      <w:r>
        <w:rPr>
          <w:rFonts w:ascii="Arial" w:cs="Arial" w:eastAsia="Arial" w:hAnsi="Arial"/>
          <w:sz w:val="12"/>
          <w:szCs w:val="12"/>
          <w:color w:val="auto"/>
        </w:rPr>
        <w:t>Includes unrealized loss of $239.3 million in 2019 on a $2.0 billion notional forward starting swap that was settled at the end of 2019.</w:t>
      </w:r>
    </w:p>
    <w:p>
      <w:pPr>
        <w:spacing w:after="0" w:line="138" w:lineRule="exact"/>
        <w:rPr>
          <w:sz w:val="20"/>
          <w:szCs w:val="20"/>
          <w:color w:val="auto"/>
        </w:rPr>
      </w:pPr>
    </w:p>
    <w:p>
      <w:pPr>
        <w:ind w:left="6" w:right="20" w:firstLine="351"/>
        <w:spacing w:after="0" w:line="244" w:lineRule="auto"/>
        <w:rPr>
          <w:sz w:val="20"/>
          <w:szCs w:val="20"/>
          <w:color w:val="auto"/>
        </w:rPr>
      </w:pPr>
      <w:r>
        <w:rPr>
          <w:rFonts w:ascii="Arial" w:cs="Arial" w:eastAsia="Arial" w:hAnsi="Arial"/>
          <w:sz w:val="16"/>
          <w:szCs w:val="16"/>
          <w:color w:val="auto"/>
        </w:rPr>
        <w:t>Additionally, prior to January 2021, the Company had entered into a series of forward contracts on its shares in a third party real estate mutual fund in an aggregate notional amount of $119.0 million and a series of swap contracts with the same counterparty to pay the return of the Dow Jones U.S. Select REIT Total Return Index. The forward and swap contracts were settled upon expiration in January 2021 through delivery of all of the Company's shares in the mutual fund, realizing an immaterial net loss upon settlement. The forwards and swaps were not designated accounting hedges. At December 31, 2020, the forwards and swaps were in a liability position of $102.7 million and $0.1 million, respectively. During the year ended December 31, 2020, the forwards and swaps had realized and unrealized fair value gains totaling $15.4 million which were partially offset by a decrease in NAV of $14.3 million in the Company's investment in the mutual fund, both of which were recorded in other income on the consolidated statement of operations.</w:t>
      </w:r>
    </w:p>
    <w:p>
      <w:pPr>
        <w:spacing w:after="0" w:line="94" w:lineRule="exact"/>
        <w:rPr>
          <w:sz w:val="20"/>
          <w:szCs w:val="20"/>
          <w:color w:val="auto"/>
        </w:rPr>
      </w:pPr>
    </w:p>
    <w:p>
      <w:pPr>
        <w:ind w:left="6" w:right="40" w:firstLine="386"/>
        <w:spacing w:after="0" w:line="298" w:lineRule="auto"/>
        <w:rPr>
          <w:sz w:val="20"/>
          <w:szCs w:val="20"/>
          <w:color w:val="auto"/>
        </w:rPr>
      </w:pPr>
      <w:r>
        <w:rPr>
          <w:rFonts w:ascii="Arial" w:cs="Arial" w:eastAsia="Arial" w:hAnsi="Arial"/>
          <w:sz w:val="14"/>
          <w:szCs w:val="14"/>
          <w:color w:val="auto"/>
        </w:rPr>
        <w:t>The Company's foreign currency and interest rate contracts are generally traded over-the-counter, and are valued using a third-party service provider. Quotations on over-the-counter derivatives are not adjusted and are generally valued using observable inputs such as contractual cash flows, yield curve, foreign currency rates and credit spreads, and are classified as Level 2 of the fair value hierarchy. Although credit valuation adjustments, such as the risk of default, rely on</w:t>
      </w:r>
    </w:p>
    <w:p>
      <w:pPr>
        <w:spacing w:after="0" w:line="38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57" w:name="page158"/>
    <w:bookmarkEnd w:id="1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Level 3 inputs, these inputs are not significant to the overall valuation of the derivatives. As a result, derivative valuations in their entirety are classified as Level 2 of the fair value hierarchy.</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Settlement Liability</w:t>
      </w:r>
    </w:p>
    <w:p>
      <w:pPr>
        <w:spacing w:after="0" w:line="115" w:lineRule="exact"/>
        <w:rPr>
          <w:sz w:val="20"/>
          <w:szCs w:val="20"/>
          <w:color w:val="auto"/>
        </w:rPr>
      </w:pPr>
    </w:p>
    <w:p>
      <w:pPr>
        <w:ind w:right="20" w:firstLine="351"/>
        <w:spacing w:after="0" w:line="245" w:lineRule="auto"/>
        <w:rPr>
          <w:sz w:val="20"/>
          <w:szCs w:val="20"/>
          <w:color w:val="auto"/>
        </w:rPr>
      </w:pPr>
      <w:r>
        <w:rPr>
          <w:rFonts w:ascii="Arial" w:cs="Arial" w:eastAsia="Arial" w:hAnsi="Arial"/>
          <w:sz w:val="16"/>
          <w:szCs w:val="16"/>
          <w:color w:val="auto"/>
        </w:rPr>
        <w:t>In March 2020, the Company entered into a cooperation agreement with Blackwells Capital LLC ("Blackwells"), a stockholder of the Company. Pursuant to the cooperation agreement, Blackwells agreed to a standstill in its proxy contest with the Company, and to abide by certain voting commitments, including a standstill with respect to the Company until the expiration of the agreement in March 2030 and voting in favor of the Board of Directors' recommendations until the third anniversary of the agreement.</w:t>
      </w:r>
    </w:p>
    <w:p>
      <w:pPr>
        <w:spacing w:after="0" w:line="91" w:lineRule="exact"/>
        <w:rPr>
          <w:sz w:val="20"/>
          <w:szCs w:val="20"/>
          <w:color w:val="auto"/>
        </w:rPr>
      </w:pPr>
    </w:p>
    <w:p>
      <w:pPr>
        <w:ind w:right="20" w:firstLine="351"/>
        <w:spacing w:after="0" w:line="244" w:lineRule="auto"/>
        <w:rPr>
          <w:sz w:val="20"/>
          <w:szCs w:val="20"/>
          <w:color w:val="auto"/>
        </w:rPr>
      </w:pPr>
      <w:r>
        <w:rPr>
          <w:rFonts w:ascii="Arial" w:cs="Arial" w:eastAsia="Arial" w:hAnsi="Arial"/>
          <w:sz w:val="16"/>
          <w:szCs w:val="16"/>
          <w:color w:val="auto"/>
        </w:rPr>
        <w:t>Contemporaneously, the Company and Blackwells entered into a joint venture arrangement for the purpose of acquiring, holding and disposing of the Company's class A common stock. Pursuant to the arrangement, the Company contributed its class A common stock, valued at $14.7 million by the venture, and Blackwells contributed $1.47 million of cash that was then distributed to the Company, resulting in a net capital contribution of $13.23 million by the Company in the venture. All of the class A common stock held in the venture was repurchased by the Company in March 2020 (Note 9). Distributions from the joint venture arrangement upon dissolution effectively represent a settlement of the proxy contest with Blackwells. The initial fair value of the arrangement was recorded as a settlement loss on the statement of operations in March 2020, with a corresponding liability on the balance sheet, subject to remeasurement at each period end. The settlement liability represents the fair value of the disproportionate allocation of profits distribution to Blackwells pursuant to the joint venture arrangement. The profits are derived from dividend payments and appreciation in value of the Company's class A common stock, allocated between the Company and Blackwells based upon specified return hurdles.</w:t>
      </w:r>
    </w:p>
    <w:p>
      <w:pPr>
        <w:spacing w:after="0" w:line="94" w:lineRule="exact"/>
        <w:rPr>
          <w:sz w:val="20"/>
          <w:szCs w:val="20"/>
          <w:color w:val="auto"/>
        </w:rPr>
      </w:pPr>
    </w:p>
    <w:p>
      <w:pPr>
        <w:ind w:right="360" w:firstLine="351"/>
        <w:spacing w:after="0" w:line="246" w:lineRule="auto"/>
        <w:rPr>
          <w:sz w:val="20"/>
          <w:szCs w:val="20"/>
          <w:color w:val="auto"/>
        </w:rPr>
      </w:pPr>
      <w:r>
        <w:rPr>
          <w:rFonts w:ascii="Arial" w:cs="Arial" w:eastAsia="Arial" w:hAnsi="Arial"/>
          <w:sz w:val="16"/>
          <w:szCs w:val="16"/>
          <w:color w:val="auto"/>
        </w:rPr>
        <w:t>In June 2021, Blackwells terminated the arrangement and the joint venture was dissolved. The profits distribution allocated to Blackwells was valued at $47.0 million and paid in the form of 5.95 million shares of the Company's class A common stock, with $22.8 million recognized in 2021 through termination as other loss on the consolidated statement of operations.</w:t>
      </w:r>
    </w:p>
    <w:p>
      <w:pPr>
        <w:spacing w:after="0" w:line="89" w:lineRule="exact"/>
        <w:rPr>
          <w:sz w:val="20"/>
          <w:szCs w:val="20"/>
          <w:color w:val="auto"/>
        </w:rPr>
      </w:pPr>
    </w:p>
    <w:p>
      <w:pPr>
        <w:ind w:right="100" w:firstLine="351"/>
        <w:spacing w:after="0" w:line="244" w:lineRule="auto"/>
        <w:rPr>
          <w:sz w:val="20"/>
          <w:szCs w:val="20"/>
          <w:color w:val="auto"/>
        </w:rPr>
      </w:pPr>
      <w:r>
        <w:rPr>
          <w:rFonts w:ascii="Arial" w:cs="Arial" w:eastAsia="Arial" w:hAnsi="Arial"/>
          <w:sz w:val="16"/>
          <w:szCs w:val="16"/>
          <w:color w:val="auto"/>
        </w:rPr>
        <w:t>Prior to dissolution of the arrangement, the settlement liability, classified as a Level 3 fair value, was measured using a Monte Carlo simulation under a risk-neutral premise, assuming that the final distribution would occur at the end of the third year in March 2023. At December 31, 2020, the settlement liability was valued at $24.3 million, applying the following assumptions: (a) expected volatility of the Company's class A common stock of 67.2% based upon a combination of historical and implied volatility of the Company's class A common stock; (b) zero expected dividend yield given the Company's suspension of its common stock dividend beginning the second quarter of 2020; and (c) risk free rate of 0.14% per annum based upon a compounded zero-coupon U.S. Treasury yield. During 2020, the settlement liability increased approximately $20.4 million from inception in March 2020, recorded as other loss on the consolidated statement of operations.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u w:val="single" w:color="auto"/>
          <w:color w:val="auto"/>
        </w:rPr>
        <w:t>Fair Value Option</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discussion excludes loans receivable and equity method investments held for disposition which are addressed in Note 11.</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Loans Receivable</w:t>
      </w:r>
    </w:p>
    <w:p>
      <w:pPr>
        <w:spacing w:after="0" w:line="115" w:lineRule="exact"/>
        <w:rPr>
          <w:sz w:val="20"/>
          <w:szCs w:val="20"/>
          <w:color w:val="auto"/>
        </w:rPr>
      </w:pPr>
    </w:p>
    <w:p>
      <w:pPr>
        <w:ind w:right="20" w:firstLine="386"/>
        <w:spacing w:after="0" w:line="244" w:lineRule="auto"/>
        <w:rPr>
          <w:sz w:val="20"/>
          <w:szCs w:val="20"/>
          <w:color w:val="auto"/>
        </w:rPr>
      </w:pPr>
      <w:r>
        <w:rPr>
          <w:rFonts w:ascii="Arial" w:cs="Arial" w:eastAsia="Arial" w:hAnsi="Arial"/>
          <w:sz w:val="16"/>
          <w:szCs w:val="16"/>
          <w:color w:val="auto"/>
        </w:rPr>
        <w:t>Loans receivable held for investment are carried at fair value under the fair value option, consisting of corporate loans to borrowers in the digital infrastructure and telecommunications sector, and are predominantly warehoused for a future digital credit investment vehicle and a securitization vehicle. At December 31, 2021, fair value of loans held for investment totaled $173.9 million, with $91.0 million classified as Level 2 and $82.9 million classified as Level 3. At December 31, 2020, fair value of loans held for investment totaling $36.8 million were all classified as Level 3. Fair value of Level 2 loans held for investment were obtained from a reputable pricing service and were based upon quotations from dealers who act as market makers for these loans. Fair value of Level 3 loans held for investment were determined based upon discounted cash flow projections of principal and interest expected to be collected, which include, but are not limited to, consideration of the financial standing and operating results of the borrower, and applying discount rates ranging between 8.9% to 10.0% at December 31, 2021 and 7.2% to 8.9% at December 31, 2020. There were no loans that were 90 days or more past due as to principal or interest and/or placed on nonaccrual at December 31, 2021 and 2020.</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15" w:lineRule="exact"/>
        <w:rPr>
          <w:sz w:val="20"/>
          <w:szCs w:val="20"/>
          <w:color w:val="auto"/>
        </w:rPr>
      </w:pPr>
    </w:p>
    <w:p>
      <w:pPr>
        <w:ind w:right="420" w:firstLine="386"/>
        <w:spacing w:after="0" w:line="298" w:lineRule="auto"/>
        <w:rPr>
          <w:sz w:val="20"/>
          <w:szCs w:val="20"/>
          <w:color w:val="auto"/>
        </w:rPr>
      </w:pPr>
      <w:r>
        <w:rPr>
          <w:rFonts w:ascii="Arial" w:cs="Arial" w:eastAsia="Arial" w:hAnsi="Arial"/>
          <w:sz w:val="14"/>
          <w:szCs w:val="14"/>
          <w:color w:val="auto"/>
        </w:rPr>
        <w:t>At December 31, 2021, there were no equity method investments under the fair value option other than investments held for disposition (Note 11). At December 31, 2020, the Company had one equity method investment of $28.5 million under the fair value option. Beginning May 2021, the Company's equity interest in the investee is accounted for as a marketable equity security following the merger of the investee into a special purpose acquisition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8" w:name="page159"/>
    <w:bookmarkEnd w:id="1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386"/>
        <w:spacing w:after="0" w:line="248" w:lineRule="auto"/>
        <w:rPr>
          <w:sz w:val="20"/>
          <w:szCs w:val="20"/>
          <w:color w:val="auto"/>
        </w:rPr>
      </w:pPr>
      <w:r>
        <w:rPr>
          <w:rFonts w:ascii="Arial" w:cs="Arial" w:eastAsia="Arial" w:hAnsi="Arial"/>
          <w:sz w:val="16"/>
          <w:szCs w:val="16"/>
          <w:color w:val="auto"/>
        </w:rPr>
        <w:t>The following table presents changes in recurring Level 3 fair value assets held for investment. Realized and unrealized gains (losses) are included in other gain (loss) for loans receivable and equity method earnings (losses) for equity method investments.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1"/>
                <w:szCs w:val="11"/>
                <w:b w:val="1"/>
                <w:bCs w:val="1"/>
                <w:color w:val="auto"/>
              </w:rPr>
              <w:t>Fair Value Option</w:t>
            </w:r>
          </w:p>
        </w:tc>
        <w:tc>
          <w:tcPr>
            <w:tcW w:w="920" w:type="dxa"/>
            <w:vAlign w:val="bottom"/>
            <w:tcBorders>
              <w:bottom w:val="single" w:sz="8" w:color="auto"/>
            </w:tcBorders>
          </w:tcPr>
          <w:p>
            <w:pPr>
              <w:spacing w:after="0"/>
              <w:rPr>
                <w:sz w:val="12"/>
                <w:szCs w:val="12"/>
                <w:color w:val="auto"/>
              </w:rPr>
            </w:pPr>
          </w:p>
        </w:tc>
      </w:tr>
      <w:tr>
        <w:trPr>
          <w:trHeight w:val="117"/>
        </w:trPr>
        <w:tc>
          <w:tcPr>
            <w:tcW w:w="400" w:type="dxa"/>
            <w:vAlign w:val="bottom"/>
          </w:tcPr>
          <w:p>
            <w:pPr>
              <w:spacing w:after="0"/>
              <w:rPr>
                <w:sz w:val="10"/>
                <w:szCs w:val="10"/>
                <w:color w:val="auto"/>
              </w:rPr>
            </w:pPr>
          </w:p>
        </w:tc>
        <w:tc>
          <w:tcPr>
            <w:tcW w:w="69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1980" w:type="dxa"/>
            <w:vAlign w:val="bottom"/>
            <w:gridSpan w:val="3"/>
          </w:tcPr>
          <w:p>
            <w:pPr>
              <w:ind w:left="440"/>
              <w:spacing w:after="0" w:line="117" w:lineRule="exact"/>
              <w:rPr>
                <w:sz w:val="20"/>
                <w:szCs w:val="20"/>
                <w:color w:val="auto"/>
              </w:rPr>
            </w:pPr>
            <w:r>
              <w:rPr>
                <w:rFonts w:ascii="Arial" w:cs="Arial" w:eastAsia="Arial" w:hAnsi="Arial"/>
                <w:sz w:val="11"/>
                <w:szCs w:val="11"/>
                <w:b w:val="1"/>
                <w:bCs w:val="1"/>
                <w:color w:val="auto"/>
              </w:rPr>
              <w:t>Loans Held for Investment</w:t>
            </w:r>
          </w:p>
        </w:tc>
        <w:tc>
          <w:tcPr>
            <w:tcW w:w="1900" w:type="dxa"/>
            <w:vAlign w:val="bottom"/>
            <w:gridSpan w:val="2"/>
          </w:tcPr>
          <w:p>
            <w:pPr>
              <w:jc w:val="right"/>
              <w:spacing w:after="0" w:line="117" w:lineRule="exact"/>
              <w:rPr>
                <w:sz w:val="20"/>
                <w:szCs w:val="20"/>
                <w:color w:val="auto"/>
              </w:rPr>
            </w:pPr>
            <w:r>
              <w:rPr>
                <w:rFonts w:ascii="Arial" w:cs="Arial" w:eastAsia="Arial" w:hAnsi="Arial"/>
                <w:sz w:val="11"/>
                <w:szCs w:val="11"/>
                <w:b w:val="1"/>
                <w:bCs w:val="1"/>
                <w:color w:val="auto"/>
              </w:rPr>
              <w:t>Equity Method Investments</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400" w:type="dxa"/>
            <w:vAlign w:val="bottom"/>
            <w:shd w:val="clear" w:color="auto" w:fill="CCEEFF"/>
          </w:tcPr>
          <w:p>
            <w:pPr>
              <w:spacing w:after="0"/>
              <w:rPr>
                <w:sz w:val="15"/>
                <w:szCs w:val="15"/>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2019</w:t>
            </w:r>
          </w:p>
        </w:tc>
        <w:tc>
          <w:tcPr>
            <w:tcW w:w="9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Purchases, originations, drawdowns and contributions</w:t>
            </w:r>
          </w:p>
        </w:tc>
        <w:tc>
          <w:tcPr>
            <w:tcW w:w="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36,395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Change in accrued interest and capitalization of paid-in-kind interest</w:t>
            </w:r>
          </w:p>
        </w:tc>
        <w:tc>
          <w:tcPr>
            <w:tcW w:w="9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Realized and unrealized gain in earnings, net</w:t>
            </w:r>
          </w:p>
        </w:tc>
        <w:tc>
          <w:tcPr>
            <w:tcW w:w="9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3,540</w:t>
            </w:r>
          </w:p>
        </w:tc>
      </w:tr>
      <w:tr>
        <w:trPr>
          <w:trHeight w:val="206"/>
        </w:trPr>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6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2020</w:t>
            </w:r>
          </w:p>
        </w:tc>
        <w:tc>
          <w:tcPr>
            <w:tcW w:w="90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28,540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7"/>
        </w:trPr>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7"/>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unrealized losses in earnings on instruments held at December 31, 2020</w:t>
            </w:r>
          </w:p>
        </w:tc>
        <w:tc>
          <w:tcPr>
            <w:tcW w:w="9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7"/>
        </w:trPr>
        <w:tc>
          <w:tcPr>
            <w:tcW w:w="400" w:type="dxa"/>
            <w:vAlign w:val="bottom"/>
            <w:shd w:val="clear" w:color="auto" w:fill="CCEEFF"/>
          </w:tcPr>
          <w:p>
            <w:pPr>
              <w:spacing w:after="0"/>
              <w:rPr>
                <w:sz w:val="16"/>
                <w:szCs w:val="16"/>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2020</w:t>
            </w:r>
          </w:p>
        </w:tc>
        <w:tc>
          <w:tcPr>
            <w:tcW w:w="9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28,540</w:t>
            </w: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Purchases, originations, drawdowns and contributions</w:t>
            </w:r>
          </w:p>
        </w:tc>
        <w:tc>
          <w:tcPr>
            <w:tcW w:w="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8"/>
        </w:trPr>
        <w:tc>
          <w:tcPr>
            <w:tcW w:w="40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Paydowns, distributions and sales</w:t>
            </w:r>
          </w:p>
        </w:tc>
        <w:tc>
          <w:tcPr>
            <w:tcW w:w="9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(9,174)</w:t>
            </w:r>
          </w:p>
        </w:tc>
      </w:tr>
      <w:tr>
        <w:trPr>
          <w:trHeight w:val="185"/>
        </w:trPr>
        <w:tc>
          <w:tcPr>
            <w:tcW w:w="7320" w:type="dxa"/>
            <w:vAlign w:val="bottom"/>
            <w:gridSpan w:val="3"/>
          </w:tcPr>
          <w:p>
            <w:pPr>
              <w:ind w:left="120"/>
              <w:spacing w:after="0"/>
              <w:rPr>
                <w:sz w:val="20"/>
                <w:szCs w:val="20"/>
                <w:color w:val="auto"/>
              </w:rPr>
            </w:pPr>
            <w:r>
              <w:rPr>
                <w:rFonts w:ascii="Arial" w:cs="Arial" w:eastAsia="Arial" w:hAnsi="Arial"/>
                <w:sz w:val="14"/>
                <w:szCs w:val="14"/>
                <w:color w:val="auto"/>
              </w:rPr>
              <w:t>Change in accrued interest and capitalization of paid-in-kind interest</w:t>
            </w:r>
          </w:p>
        </w:tc>
        <w:tc>
          <w:tcPr>
            <w:tcW w:w="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8"/>
        </w:trPr>
        <w:tc>
          <w:tcPr>
            <w:tcW w:w="40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Change in accounting treatment for equity interest</w:t>
            </w:r>
          </w:p>
        </w:tc>
        <w:tc>
          <w:tcPr>
            <w:tcW w:w="9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(27,626)</w:t>
            </w:r>
          </w:p>
        </w:tc>
      </w:tr>
      <w:tr>
        <w:trPr>
          <w:trHeight w:val="185"/>
        </w:trPr>
        <w:tc>
          <w:tcPr>
            <w:tcW w:w="732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Realized and unrealized gain in earnings, net</w:t>
            </w:r>
          </w:p>
        </w:tc>
        <w:tc>
          <w:tcPr>
            <w:tcW w:w="9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8,260</w:t>
            </w:r>
          </w:p>
        </w:tc>
      </w:tr>
      <w:tr>
        <w:trPr>
          <w:trHeight w:val="206"/>
        </w:trPr>
        <w:tc>
          <w:tcPr>
            <w:tcW w:w="400" w:type="dxa"/>
            <w:vAlign w:val="bottom"/>
            <w:tcBorders>
              <w:bottom w:val="single" w:sz="8" w:color="CCEEFF"/>
            </w:tcBorders>
            <w:shd w:val="clear" w:color="auto" w:fill="CCEEFF"/>
          </w:tcPr>
          <w:p>
            <w:pPr>
              <w:spacing w:after="0"/>
              <w:rPr>
                <w:sz w:val="17"/>
                <w:szCs w:val="17"/>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2021</w:t>
            </w:r>
          </w:p>
        </w:tc>
        <w:tc>
          <w:tcPr>
            <w:tcW w:w="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82,930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7"/>
        </w:trPr>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2"/>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unrealized losses in earnings on instruments held at December 31, 2021</w:t>
            </w:r>
          </w:p>
        </w:tc>
        <w:tc>
          <w:tcPr>
            <w:tcW w:w="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Carried at Fair Value Using Net Asset Value</w:t>
      </w:r>
    </w:p>
    <w:p>
      <w:pPr>
        <w:spacing w:after="0" w:line="103" w:lineRule="exact"/>
        <w:rPr>
          <w:sz w:val="20"/>
          <w:szCs w:val="20"/>
          <w:color w:val="auto"/>
        </w:rPr>
      </w:pPr>
    </w:p>
    <w:p>
      <w:pPr>
        <w:ind w:firstLine="351"/>
        <w:spacing w:after="0" w:line="218" w:lineRule="auto"/>
        <w:rPr>
          <w:sz w:val="20"/>
          <w:szCs w:val="20"/>
          <w:color w:val="auto"/>
        </w:rPr>
      </w:pPr>
      <w:r>
        <w:rPr>
          <w:rFonts w:ascii="Arial" w:cs="Arial" w:eastAsia="Arial" w:hAnsi="Arial"/>
          <w:sz w:val="16"/>
          <w:szCs w:val="16"/>
          <w:color w:val="auto"/>
        </w:rPr>
        <w:t>The Company has an investment in a non-traded healthcare REIT of $44.6 million at December 31, 2021. The investment is valued based upon NAV beginning October 2021 when the investee, a healthcare real estate investor/ manager, was acquired in conjunction with a merger of its co-sponsored non-traded REITs. The transaction diluted the Company's equity interest in the investee, which was previously accounted for as an equity method investment. Redemption of the Company's partnership interest in the non-traded healthcare REIT is restricted until the earliest of (1) the second anniversary of the issuance to the Company of such partnership units, (2) change in control of the general partner, and (3) initial public offering of the equity of the non-traded healthcare REIT, which may be subject to further restriction on redemption by the underwriters.</w:t>
      </w:r>
    </w:p>
    <w:p>
      <w:pPr>
        <w:spacing w:after="0" w:line="73" w:lineRule="exact"/>
        <w:rPr>
          <w:sz w:val="20"/>
          <w:szCs w:val="20"/>
          <w:color w:val="auto"/>
        </w:rPr>
      </w:pPr>
    </w:p>
    <w:p>
      <w:pPr>
        <w:ind w:right="1960" w:firstLine="351"/>
        <w:spacing w:after="0" w:line="388" w:lineRule="auto"/>
        <w:rPr>
          <w:sz w:val="20"/>
          <w:szCs w:val="20"/>
          <w:color w:val="auto"/>
        </w:rPr>
      </w:pPr>
      <w:r>
        <w:rPr>
          <w:rFonts w:ascii="Arial" w:cs="Arial" w:eastAsia="Arial" w:hAnsi="Arial"/>
          <w:sz w:val="16"/>
          <w:szCs w:val="16"/>
          <w:color w:val="auto"/>
        </w:rPr>
        <w:t xml:space="preserve">At December 31, 2020, there were no equity investments valued using NAV, other than investments held for disposition (Note 11). </w:t>
      </w:r>
      <w:r>
        <w:rPr>
          <w:rFonts w:ascii="Arial" w:cs="Arial" w:eastAsia="Arial" w:hAnsi="Arial"/>
          <w:sz w:val="16"/>
          <w:szCs w:val="16"/>
          <w:b w:val="1"/>
          <w:bCs w:val="1"/>
          <w:color w:val="auto"/>
        </w:rPr>
        <w:t>Nonrecurring Fair Values</w:t>
      </w:r>
    </w:p>
    <w:p>
      <w:pPr>
        <w:spacing w:after="0" w:line="1" w:lineRule="exact"/>
        <w:rPr>
          <w:sz w:val="20"/>
          <w:szCs w:val="20"/>
          <w:color w:val="auto"/>
        </w:rPr>
      </w:pPr>
    </w:p>
    <w:p>
      <w:pPr>
        <w:ind w:right="80" w:firstLine="351"/>
        <w:spacing w:after="0" w:line="245" w:lineRule="auto"/>
        <w:rPr>
          <w:sz w:val="20"/>
          <w:szCs w:val="20"/>
          <w:color w:val="auto"/>
        </w:rPr>
      </w:pPr>
      <w:r>
        <w:rPr>
          <w:rFonts w:ascii="Arial" w:cs="Arial" w:eastAsia="Arial" w:hAnsi="Arial"/>
          <w:sz w:val="16"/>
          <w:szCs w:val="16"/>
          <w:color w:val="auto"/>
        </w:rPr>
        <w:t>The Company measures fair value of certain assets on a nonrecurring basis when events or changes in circumstances indicate that the carrying value of the assets may not be recoverable. Adjustments to fair value generally result from the application of lower of amortized cost or fair value accounting for assets held for disposition or otherwise, write-down of asset values due to impairment. Impairment is discussed in Note 11 for real estate, Notes 5 and 11 for equity method investments, and Notes 6 and 11 for intangible assets, including goodwill.</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 Reported at Cost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Fair value of financial instruments reported at amortized cost, excluding those held for disposition, are presented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9" w:name="page160"/>
    <w:bookmarkEnd w:id="1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Fair Value Measurements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760" w:type="dxa"/>
            <w:vAlign w:val="bottom"/>
            <w:gridSpan w:val="3"/>
          </w:tcPr>
          <w:p>
            <w:pPr>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2"/>
                <w:szCs w:val="12"/>
                <w:color w:val="auto"/>
              </w:rPr>
            </w:pP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26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3</w:t>
            </w:r>
          </w:p>
        </w:tc>
        <w:tc>
          <w:tcPr>
            <w:tcW w:w="280" w:type="dxa"/>
            <w:vAlign w:val="bottom"/>
          </w:tcPr>
          <w:p>
            <w:pPr>
              <w:spacing w:after="0"/>
              <w:rPr>
                <w:sz w:val="12"/>
                <w:szCs w:val="12"/>
                <w:color w:val="auto"/>
              </w:rPr>
            </w:pPr>
          </w:p>
        </w:tc>
        <w:tc>
          <w:tcPr>
            <w:tcW w:w="920" w:type="dxa"/>
            <w:vAlign w:val="bottom"/>
          </w:tcPr>
          <w:p>
            <w:pPr>
              <w:jc w:val="right"/>
              <w:ind w:right="412"/>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2"/>
              <w:spacing w:after="0"/>
              <w:rPr>
                <w:sz w:val="20"/>
                <w:szCs w:val="20"/>
                <w:color w:val="auto"/>
              </w:rPr>
            </w:pPr>
            <w:r>
              <w:rPr>
                <w:rFonts w:ascii="Arial" w:cs="Arial" w:eastAsia="Arial" w:hAnsi="Arial"/>
                <w:sz w:val="11"/>
                <w:szCs w:val="11"/>
                <w:b w:val="1"/>
                <w:bCs w:val="1"/>
                <w:color w:val="auto"/>
              </w:rPr>
              <w:t>Carrying Value</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8"/>
              </w:rPr>
              <w:t>December 31, 2021</w:t>
            </w:r>
          </w:p>
        </w:tc>
        <w:tc>
          <w:tcPr>
            <w:tcW w:w="37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00" w:type="dxa"/>
            <w:vAlign w:val="bottom"/>
            <w:tcBorders>
              <w:bottom w:val="single" w:sz="8" w:color="auto"/>
            </w:tcBorders>
            <w:gridSpan w:val="2"/>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gridSpan w:val="3"/>
          </w:tcPr>
          <w:p>
            <w:pPr>
              <w:ind w:left="80"/>
              <w:spacing w:after="0"/>
              <w:rPr>
                <w:sz w:val="20"/>
                <w:szCs w:val="20"/>
                <w:color w:val="auto"/>
              </w:rPr>
            </w:pPr>
            <w:r>
              <w:rPr>
                <w:rFonts w:ascii="Arial" w:cs="Arial" w:eastAsia="Arial" w:hAnsi="Arial"/>
                <w:sz w:val="14"/>
                <w:szCs w:val="14"/>
                <w:color w:val="auto"/>
              </w:rPr>
              <w:t>Debt at amortized cost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Secured fund fee revenue notes</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291,394</w:t>
            </w:r>
          </w:p>
        </w:tc>
        <w:tc>
          <w:tcPr>
            <w:tcW w:w="0" w:type="dxa"/>
            <w:vAlign w:val="bottom"/>
          </w:tcPr>
          <w:p>
            <w:pPr>
              <w:spacing w:after="0"/>
              <w:rPr>
                <w:sz w:val="1"/>
                <w:szCs w:val="1"/>
                <w:color w:val="auto"/>
              </w:rPr>
            </w:pPr>
          </w:p>
        </w:tc>
      </w:tr>
      <w:tr>
        <w:trPr>
          <w:trHeight w:val="185"/>
        </w:trPr>
        <w:tc>
          <w:tcPr>
            <w:tcW w:w="4760" w:type="dxa"/>
            <w:vAlign w:val="bottom"/>
            <w:gridSpan w:val="3"/>
          </w:tcPr>
          <w:p>
            <w:pPr>
              <w:ind w:left="180"/>
              <w:spacing w:after="0"/>
              <w:rPr>
                <w:sz w:val="20"/>
                <w:szCs w:val="20"/>
                <w:color w:val="auto"/>
              </w:rPr>
            </w:pPr>
            <w:r>
              <w:rPr>
                <w:rFonts w:ascii="Arial" w:cs="Arial" w:eastAsia="Arial" w:hAnsi="Arial"/>
                <w:sz w:val="14"/>
                <w:szCs w:val="14"/>
                <w:color w:val="auto"/>
              </w:rPr>
              <w:t>Convertible and exchangeable senior notes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716,970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716,970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334,264</w:t>
            </w:r>
          </w:p>
        </w:tc>
        <w:tc>
          <w:tcPr>
            <w:tcW w:w="0" w:type="dxa"/>
            <w:vAlign w:val="bottom"/>
          </w:tcPr>
          <w:p>
            <w:pPr>
              <w:spacing w:after="0"/>
              <w:rPr>
                <w:sz w:val="1"/>
                <w:szCs w:val="1"/>
                <w:color w:val="auto"/>
              </w:rPr>
            </w:pPr>
          </w:p>
        </w:tc>
      </w:tr>
      <w:tr>
        <w:trPr>
          <w:trHeight w:val="189"/>
        </w:trPr>
        <w:tc>
          <w:tcPr>
            <w:tcW w:w="47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Investment-level secured debt</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3,598,655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655,270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4,253,925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4,234,744</w:t>
            </w:r>
          </w:p>
        </w:tc>
        <w:tc>
          <w:tcPr>
            <w:tcW w:w="0" w:type="dxa"/>
            <w:vAlign w:val="bottom"/>
          </w:tcPr>
          <w:p>
            <w:pPr>
              <w:spacing w:after="0"/>
              <w:rPr>
                <w:sz w:val="1"/>
                <w:szCs w:val="1"/>
                <w:color w:val="auto"/>
              </w:rPr>
            </w:pPr>
          </w:p>
        </w:tc>
      </w:tr>
      <w:tr>
        <w:trPr>
          <w:trHeight w:val="124"/>
        </w:trPr>
        <w:tc>
          <w:tcPr>
            <w:tcW w:w="1000" w:type="dxa"/>
            <w:vAlign w:val="bottom"/>
            <w:tcBorders>
              <w:bottom w:val="single" w:sz="8" w:color="auto"/>
            </w:tcBorders>
            <w:gridSpan w:val="2"/>
          </w:tcPr>
          <w:p>
            <w:pPr>
              <w:spacing w:after="0" w:line="117" w:lineRule="exact"/>
              <w:rPr>
                <w:sz w:val="20"/>
                <w:szCs w:val="20"/>
                <w:color w:val="auto"/>
              </w:rPr>
            </w:pPr>
            <w:r>
              <w:rPr>
                <w:rFonts w:ascii="Arial" w:cs="Arial" w:eastAsia="Arial" w:hAnsi="Arial"/>
                <w:sz w:val="11"/>
                <w:szCs w:val="11"/>
                <w:b w:val="1"/>
                <w:bCs w:val="1"/>
                <w:color w:val="auto"/>
                <w:w w:val="98"/>
              </w:rPr>
              <w:t>December 31, 2020</w:t>
            </w:r>
          </w:p>
        </w:tc>
        <w:tc>
          <w:tcPr>
            <w:tcW w:w="3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gridSpan w:val="3"/>
          </w:tcPr>
          <w:p>
            <w:pPr>
              <w:ind w:left="80"/>
              <w:spacing w:after="0"/>
              <w:rPr>
                <w:sz w:val="20"/>
                <w:szCs w:val="20"/>
                <w:color w:val="auto"/>
              </w:rPr>
            </w:pPr>
            <w:r>
              <w:rPr>
                <w:rFonts w:ascii="Arial" w:cs="Arial" w:eastAsia="Arial" w:hAnsi="Arial"/>
                <w:sz w:val="14"/>
                <w:szCs w:val="14"/>
                <w:color w:val="auto"/>
              </w:rPr>
              <w:t>Debt at amortized cost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 and exchangeable senior notes</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520,522</w:t>
            </w:r>
          </w:p>
        </w:tc>
        <w:tc>
          <w:tcPr>
            <w:tcW w:w="0" w:type="dxa"/>
            <w:vAlign w:val="bottom"/>
          </w:tcPr>
          <w:p>
            <w:pPr>
              <w:spacing w:after="0"/>
              <w:rPr>
                <w:sz w:val="1"/>
                <w:szCs w:val="1"/>
                <w:color w:val="auto"/>
              </w:rPr>
            </w:pPr>
          </w:p>
        </w:tc>
      </w:tr>
      <w:tr>
        <w:trPr>
          <w:trHeight w:val="182"/>
        </w:trPr>
        <w:tc>
          <w:tcPr>
            <w:tcW w:w="4760" w:type="dxa"/>
            <w:vAlign w:val="bottom"/>
            <w:gridSpan w:val="3"/>
          </w:tcPr>
          <w:p>
            <w:pPr>
              <w:ind w:left="180"/>
              <w:spacing w:after="0"/>
              <w:rPr>
                <w:sz w:val="20"/>
                <w:szCs w:val="20"/>
                <w:color w:val="auto"/>
              </w:rPr>
            </w:pPr>
            <w:r>
              <w:rPr>
                <w:rFonts w:ascii="Arial" w:cs="Arial" w:eastAsia="Arial" w:hAnsi="Arial"/>
                <w:sz w:val="14"/>
                <w:szCs w:val="14"/>
                <w:color w:val="auto"/>
              </w:rPr>
              <w:t>Investment-level secured debt</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3,407,175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3,407,175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3,410,467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386"/>
        <w:spacing w:after="0" w:line="310" w:lineRule="auto"/>
        <w:rPr>
          <w:sz w:val="20"/>
          <w:szCs w:val="20"/>
          <w:color w:val="auto"/>
        </w:rPr>
      </w:pPr>
      <w:r>
        <w:rPr>
          <w:rFonts w:ascii="Arial" w:cs="Arial" w:eastAsia="Arial" w:hAnsi="Arial"/>
          <w:sz w:val="14"/>
          <w:szCs w:val="14"/>
          <w:i w:val="1"/>
          <w:iCs w:val="1"/>
          <w:color w:val="auto"/>
        </w:rPr>
        <w:t>Debt</w:t>
      </w:r>
      <w:r>
        <w:rPr>
          <w:rFonts w:ascii="Arial" w:cs="Arial" w:eastAsia="Arial" w:hAnsi="Arial"/>
          <w:sz w:val="14"/>
          <w:szCs w:val="14"/>
          <w:color w:val="auto"/>
        </w:rPr>
        <w:t>—Senior notes were valued using the last trade price in active markets. Fair value of investment-level debt were estimated by either discounting</w:t>
      </w:r>
      <w:r>
        <w:rPr>
          <w:rFonts w:ascii="Arial" w:cs="Arial" w:eastAsia="Arial" w:hAnsi="Arial"/>
          <w:sz w:val="14"/>
          <w:szCs w:val="14"/>
          <w:i w:val="1"/>
          <w:iCs w:val="1"/>
          <w:color w:val="auto"/>
        </w:rPr>
        <w:t xml:space="preserve"> </w:t>
      </w:r>
      <w:r>
        <w:rPr>
          <w:rFonts w:ascii="Arial" w:cs="Arial" w:eastAsia="Arial" w:hAnsi="Arial"/>
          <w:sz w:val="14"/>
          <w:szCs w:val="14"/>
          <w:color w:val="auto"/>
        </w:rPr>
        <w:t>expected future cash outlays at interest rates available to the respective borrower subsidiaries for similar instruments or for securitized debt, based upon indicative bond prices quoted by brokers in the secondary market. Fair value of the secured fund fee revenue notes approximated its carrying value at December 31, 2021.</w:t>
      </w:r>
    </w:p>
    <w:p>
      <w:pPr>
        <w:spacing w:after="0" w:line="31" w:lineRule="exact"/>
        <w:rPr>
          <w:sz w:val="20"/>
          <w:szCs w:val="20"/>
          <w:color w:val="auto"/>
        </w:rPr>
      </w:pPr>
    </w:p>
    <w:p>
      <w:pPr>
        <w:ind w:right="220" w:firstLine="386"/>
        <w:spacing w:after="0" w:line="268"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—The carrying values of cash and cash equivalents, accounts receivable, due from and to affiliates, interest payable and accounts payable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 fair value due to their short term nature and credit risk, if any, is negligible.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Variable Interest Entities</w:t>
      </w:r>
    </w:p>
    <w:p>
      <w:pPr>
        <w:spacing w:after="0" w:line="115" w:lineRule="exact"/>
        <w:rPr>
          <w:sz w:val="20"/>
          <w:szCs w:val="20"/>
          <w:color w:val="auto"/>
        </w:rPr>
      </w:pPr>
    </w:p>
    <w:p>
      <w:pPr>
        <w:ind w:right="100" w:firstLine="386"/>
        <w:spacing w:after="0" w:line="246" w:lineRule="auto"/>
        <w:rPr>
          <w:sz w:val="20"/>
          <w:szCs w:val="20"/>
          <w:color w:val="auto"/>
        </w:rPr>
      </w:pPr>
      <w:r>
        <w:rPr>
          <w:rFonts w:ascii="Arial" w:cs="Arial" w:eastAsia="Arial" w:hAnsi="Arial"/>
          <w:sz w:val="16"/>
          <w:szCs w:val="16"/>
          <w:color w:val="auto"/>
        </w:rPr>
        <w:t>A VIE is an entity that lacks sufficient equity to finance its activities without additional subordinated financial support from other parties, or whose equity holders lack the characteristics of a controlling financial interest. The following discusses the Company's involvement with VIEs where the Company is the primary beneficiary and consolidates the VIEs or where the Company is not the primary beneficiary and does not consolidate the VIEs.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Operating Subsidiary</w:t>
      </w:r>
    </w:p>
    <w:p>
      <w:pPr>
        <w:spacing w:after="0" w:line="115" w:lineRule="exact"/>
        <w:rPr>
          <w:sz w:val="20"/>
          <w:szCs w:val="20"/>
          <w:color w:val="auto"/>
        </w:rPr>
      </w:pPr>
    </w:p>
    <w:p>
      <w:pPr>
        <w:ind w:right="20" w:firstLine="386"/>
        <w:spacing w:after="0" w:line="244" w:lineRule="auto"/>
        <w:rPr>
          <w:sz w:val="20"/>
          <w:szCs w:val="20"/>
          <w:color w:val="auto"/>
        </w:rPr>
      </w:pPr>
      <w:r>
        <w:rPr>
          <w:rFonts w:ascii="Arial" w:cs="Arial" w:eastAsia="Arial" w:hAnsi="Arial"/>
          <w:sz w:val="16"/>
          <w:szCs w:val="16"/>
          <w:color w:val="auto"/>
        </w:rPr>
        <w:t>The Company's operating subsidiary, OP, is a limited liability company that has governing provisions that are the functional equivalent of a limited partnership. The Company holds the majority of membership interest in OP, acts as the managing member of OP and exercises full responsibility, discretion and control over the day-to-day management of OP. The noncontrolling interests in OP do not have substantive liquidation rights, substantive kick-out rights without cause, or substantive participating rights that could be exercised by a simple majority of noncontrolling interest members (including by such a member unilaterally). The absence of such rights, which represent voting rights in a limited partnership equivalent structure, would render OP to be a VIE. The Company, as managing member, has the power to direct the core activities of OP that most significantly affect OP's performance, and through its majority interest in OP, has both the right to receive benefits from and the obligation to absorb losses of OP. Accordingly, the Company is the primary beneficiary of OP and consolidates OP. As the Company conducts its business and holds its assets and liabilities through OP, the total assets and liabilities of OP represent substantially all of the total consolidated assets and liabilities of the Company.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Company-Sponsored Private Funds</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Company sponsors private funds and other investment vehicles as general partner for the purpose of providing investment management services in exchange for management fees and carried interest. These private funds are established as limited partnerships or equivalent structures. Limited partners of the private funds do not have either substantive liquidation rights, or substantive kick-out rights without cause, or substantive participating rights that could be exercised by a simple majority of limited partners or by a single limited partner. Accordingly, the absence of such rights, which represent voting rights in a limited partnership, results in the private funds being considered VIEs. The nature of the Company's involvement with its sponsored funds comprise fee arrangements and general partner and limited partner equity interests. The fee arrangements are commensurate with the level of management services provided by the Company, and contain terms and conditions that are customary to similar at-market fee arrangements.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0" w:name="page161"/>
    <w:bookmarkEnd w:id="1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Consolidated Company-Sponsored Private Funds</w:t>
      </w:r>
      <w:r>
        <w:rPr>
          <w:rFonts w:ascii="Arial" w:cs="Arial" w:eastAsia="Arial" w:hAnsi="Arial"/>
          <w:sz w:val="14"/>
          <w:szCs w:val="14"/>
          <w:color w:val="auto"/>
        </w:rPr>
        <w:t>—The Company currently consolidates sponsored private funds in which it has more than an insignificant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equity interest in the fund as general partner. As a result, the Company is considered to be acting in the capacity of a principal of the sponsored private fund and 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therefore the primary beneficiary of the fund. The Company’s exposure is limited to the value of its outstanding investment in the consolidated private funds of</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$53.1 million at December 31, 2021 and $46.5 million at December 31, 2020. The Company, as general partner, is not obligated to provide any financial support to</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private funds. At December 31, 2021 and 2020, the consolidated private funds had total assets of $230.6 million and $172.2 million,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 total liabilities of $63.0 million and $41.8 million, respectively, made up primarily of cash, marketable equity securities and unsettled trades.</w:t>
      </w:r>
    </w:p>
    <w:p>
      <w:pPr>
        <w:spacing w:after="0" w:line="81" w:lineRule="exact"/>
        <w:rPr>
          <w:sz w:val="20"/>
          <w:szCs w:val="20"/>
          <w:color w:val="auto"/>
        </w:rPr>
      </w:pPr>
    </w:p>
    <w:p>
      <w:pPr>
        <w:ind w:right="20" w:firstLine="351"/>
        <w:spacing w:after="0" w:line="247" w:lineRule="auto"/>
        <w:rPr>
          <w:sz w:val="20"/>
          <w:szCs w:val="20"/>
          <w:color w:val="auto"/>
        </w:rPr>
      </w:pPr>
      <w:r>
        <w:rPr>
          <w:rFonts w:ascii="Arial" w:cs="Arial" w:eastAsia="Arial" w:hAnsi="Arial"/>
          <w:sz w:val="16"/>
          <w:szCs w:val="16"/>
          <w:i w:val="1"/>
          <w:iCs w:val="1"/>
          <w:color w:val="auto"/>
        </w:rPr>
        <w:t>Unconsolidated Company-Sponsored Private Funds</w:t>
      </w:r>
      <w:r>
        <w:rPr>
          <w:rFonts w:ascii="Arial" w:cs="Arial" w:eastAsia="Arial" w:hAnsi="Arial"/>
          <w:sz w:val="16"/>
          <w:szCs w:val="16"/>
          <w:color w:val="auto"/>
        </w:rPr>
        <w:t>—The Company does not consolidate its sponsored private funds where it has insignificant direct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or capital commitments to these funds as general partner. The Company may invest alongside certain of its sponsored private funds through joint ventures between the Company and these funds, or the Company may have capital commitments to its sponsored private funds that are satisfied directly through the co-investment joint ventures as an affiliate of the general partner. In these instances, the co-investment joint ventures are consolidated by the Company. As the Company's direct equity interests in its sponsored private funds as general partner absorb insignificant variability, the Company is considered to be acting in the capacity of an agent of these funds and is therefore not the primary beneficiary of these funds. The Company accounts for its equity interests in unconsolidated sponsored private funds under the equity method. The Company's maximum exposure to loss is limited to the carrying value of its investment in the unconsolidated sponsored private funds, totaling $382.7 million at December 31, 2021 and $173.0 million at December 31, 2020, included in equity investments, and $45.4 million at December 31, 2021 and $41.4 million at December 31, 2020, included within assets held for disposition.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Securitizations</w:t>
      </w:r>
    </w:p>
    <w:p>
      <w:pPr>
        <w:spacing w:after="0" w:line="115"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The Company previously securitized loans receivable and CRE debt securities using VIEs. Upon securitization, the Company had retained beneficial interests in the securitization vehicles, usually in the form of equity tranches or subordinate securities. The Company also acquired securities issued by securitization trusts that are VIEs. The securitization vehicles were structured as pass-through entities that receive principal and interest on the underlying mortgage loans and debt securities and distribute those payments to the holders of the notes, certificates or bonds issued by the securitization vehicles. The loans and debt securities were transferred into securitization vehicles such that these assets are restricted and legally isolated from the creditors of the Company, and therefore are not available to satisfy the Company's obligations but only the obligations of the securitization vehicles. The obligations of the securitization vehicles did not have any recourse to the general credit of the Company and its other subsidiaries.</w:t>
      </w:r>
    </w:p>
    <w:p>
      <w:pPr>
        <w:spacing w:after="0" w:line="78" w:lineRule="exact"/>
        <w:rPr>
          <w:sz w:val="20"/>
          <w:szCs w:val="20"/>
          <w:color w:val="auto"/>
        </w:rPr>
      </w:pPr>
    </w:p>
    <w:p>
      <w:pPr>
        <w:ind w:right="40" w:firstLine="351"/>
        <w:spacing w:after="0" w:line="286" w:lineRule="auto"/>
        <w:rPr>
          <w:sz w:val="20"/>
          <w:szCs w:val="20"/>
          <w:color w:val="auto"/>
        </w:rPr>
      </w:pPr>
      <w:r>
        <w:rPr>
          <w:rFonts w:ascii="Arial" w:cs="Arial" w:eastAsia="Arial" w:hAnsi="Arial"/>
          <w:sz w:val="14"/>
          <w:szCs w:val="14"/>
          <w:i w:val="1"/>
          <w:iCs w:val="1"/>
          <w:color w:val="auto"/>
        </w:rPr>
        <w:t>Unconsolidated Securitizations</w:t>
      </w:r>
      <w:r>
        <w:rPr>
          <w:rFonts w:ascii="Arial" w:cs="Arial" w:eastAsia="Arial" w:hAnsi="Arial"/>
          <w:sz w:val="14"/>
          <w:szCs w:val="14"/>
          <w:color w:val="auto"/>
        </w:rPr>
        <w:t>—The Company does not consolidate the assets and liabilities of CDOs in which the Company has an interest but does not</w:t>
      </w:r>
      <w:r>
        <w:rPr>
          <w:rFonts w:ascii="Arial" w:cs="Arial" w:eastAsia="Arial" w:hAnsi="Arial"/>
          <w:sz w:val="14"/>
          <w:szCs w:val="14"/>
          <w:i w:val="1"/>
          <w:iCs w:val="1"/>
          <w:color w:val="auto"/>
        </w:rPr>
        <w:t xml:space="preserve"> </w:t>
      </w:r>
      <w:r>
        <w:rPr>
          <w:rFonts w:ascii="Arial" w:cs="Arial" w:eastAsia="Arial" w:hAnsi="Arial"/>
          <w:sz w:val="14"/>
          <w:szCs w:val="14"/>
          <w:color w:val="auto"/>
        </w:rPr>
        <w:t>retain the collateral management function. NRF Holdco had previously delegated the collateral management rights for certain of its sponsored N-Star CDOs and third party-sponsored CDOs to a third party collateral manager or collateral manager delegate who is entitled to a percentage of the senior and subordinate collateral management fees. The Company continues to receive fees as named collateral manager or collateral manager delegate and retained administrative responsibilities. The Company determined that the fees paid to the third party collateral manager or collateral manager delegate represent a variable interest in the CDOs and that the third party is acting as a principal. The Company concluded that it does not have the power to direct the activities that most significantly impact the economic performance of these CDOs, which include but are not limited to, the ability to sell distressed collateral, and therefore the Company is not the primary beneficiary of such CDOs and does not consolidate these CDOs. The Company’s exposure to loss is limited to its investment in these unconsolidated CDOs, comprising CDO bonds, which aggregate to $30.2 million at December 31, 2021 and $21.9 million at December 31, 2020, presented as debt securities within assets held for disposition (Note 11). The Company's investment in the N-Star CDOs was subsequently disposed in February 2022.</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Trusts</w:t>
      </w:r>
    </w:p>
    <w:p>
      <w:pPr>
        <w:spacing w:after="0" w:line="115" w:lineRule="exact"/>
        <w:rPr>
          <w:sz w:val="20"/>
          <w:szCs w:val="20"/>
          <w:color w:val="auto"/>
        </w:rPr>
      </w:pPr>
    </w:p>
    <w:p>
      <w:pPr>
        <w:ind w:right="140" w:firstLine="351"/>
        <w:spacing w:after="0" w:line="278" w:lineRule="auto"/>
        <w:rPr>
          <w:sz w:val="20"/>
          <w:szCs w:val="20"/>
          <w:color w:val="auto"/>
        </w:rPr>
      </w:pPr>
      <w:r>
        <w:rPr>
          <w:rFonts w:ascii="Arial" w:cs="Arial" w:eastAsia="Arial" w:hAnsi="Arial"/>
          <w:sz w:val="14"/>
          <w:szCs w:val="14"/>
          <w:color w:val="auto"/>
        </w:rPr>
        <w:t>Wholly-owned subsidiaries of NRF Holdco that were formed as statutory trusts, NorthStar Realty Finance Trust I through VIII (the “Trusts”), previously issued trust preferred securities ("TruPS") in private placement offerings and used the proceeds to purchase junior subordinated notes to evidence loans made to NRF Holdco. The sole assets of the Trusts consist of a like amount of junior subordinated notes issued by the Issuer at the time of the offerings (the "Junior</w:t>
      </w:r>
    </w:p>
    <w:p>
      <w:pPr>
        <w:spacing w:after="0" w:line="2"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Notes"). Neither the Company nor the OP is an obligor or guarantor on the Junior Notes or the TruPS. NRF Holdco may redeem the Junior Notes at par, in whole or in part, for cash, after five years. To the extent NRF Holdco redeems the Junior Notes, the Trusts are required to redeem a corresponding amount of TruPS.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1" w:name="page162"/>
    <w:bookmarkEnd w:id="161"/>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 w:right="20" w:firstLine="351"/>
        <w:spacing w:after="0" w:line="245" w:lineRule="auto"/>
        <w:rPr>
          <w:sz w:val="20"/>
          <w:szCs w:val="20"/>
          <w:color w:val="auto"/>
        </w:rPr>
      </w:pPr>
      <w:r>
        <w:rPr>
          <w:rFonts w:ascii="Arial" w:cs="Arial" w:eastAsia="Arial" w:hAnsi="Arial"/>
          <w:sz w:val="16"/>
          <w:szCs w:val="16"/>
          <w:color w:val="auto"/>
        </w:rPr>
        <w:t>The Company owns all of the common stock of the Trusts but does not consolidate the Trusts as the holders of the preferred securities issued by the Trusts are the primary beneficiaries of the Trusts. The Company accounts for its interest in the Trusts under the equity method and its maximum exposure to loss is limited to its investment carrying value of $3.7 million at December 31, 2021 and 2020. The Trusts were recorded as equity investments and the junior subordinated notes as debt, both classified as held for disposition (Note 11), and were subsequently disposed in February 2022.</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15. Earnings per Share</w:t>
      </w:r>
    </w:p>
    <w:p>
      <w:pPr>
        <w:spacing w:after="0" w:line="115"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following table provides the basic and diluted earnings per common share computations:</w:t>
      </w:r>
    </w:p>
    <w:p>
      <w:pPr>
        <w:spacing w:after="0" w:line="104"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17"/>
        </w:trPr>
        <w:tc>
          <w:tcPr>
            <w:tcW w:w="6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 except per share data)</w:t>
            </w:r>
          </w:p>
        </w:tc>
        <w:tc>
          <w:tcPr>
            <w:tcW w:w="340" w:type="dxa"/>
            <w:vAlign w:val="bottom"/>
          </w:tcPr>
          <w:p>
            <w:pPr>
              <w:spacing w:after="0"/>
              <w:rPr>
                <w:sz w:val="10"/>
                <w:szCs w:val="10"/>
                <w:color w:val="auto"/>
              </w:rPr>
            </w:pPr>
          </w:p>
        </w:tc>
        <w:tc>
          <w:tcPr>
            <w:tcW w:w="1100" w:type="dxa"/>
            <w:vAlign w:val="bottom"/>
          </w:tcPr>
          <w:p>
            <w:pPr>
              <w:jc w:val="right"/>
              <w:ind w:right="531"/>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551"/>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531"/>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19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2"/>
        </w:trPr>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loss allocated to common stockholders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Loss from continuing operations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(216,823)</w:t>
            </w:r>
          </w:p>
        </w:tc>
        <w:tc>
          <w:tcPr>
            <w:tcW w:w="100" w:type="dxa"/>
            <w:vAlign w:val="bottom"/>
          </w:tcPr>
          <w:p>
            <w:pPr>
              <w:spacing w:after="0"/>
              <w:rPr>
                <w:sz w:val="16"/>
                <w:szCs w:val="16"/>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(591,088)</w:t>
            </w:r>
          </w:p>
        </w:tc>
        <w:tc>
          <w:tcPr>
            <w:tcW w:w="8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(549,488)</w:t>
            </w:r>
          </w:p>
        </w:tc>
      </w:tr>
      <w:tr>
        <w:trPr>
          <w:trHeight w:val="187"/>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from continuing operations attributable to noncontrolling interests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144,184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155,340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41,345</w:t>
            </w:r>
          </w:p>
        </w:tc>
      </w:tr>
      <w:tr>
        <w:trPr>
          <w:trHeight w:val="179"/>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Loss from continuing operations attributable to DigitalBridge Group, Inc.</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(72,639)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(435,748)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(508,143)</w:t>
            </w:r>
          </w:p>
        </w:tc>
      </w:tr>
      <w:tr>
        <w:trPr>
          <w:trHeight w:val="189"/>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from discontinued operations attributable to DigitalBridge Group, Inc.</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(2,240,011)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(540,664)</w:t>
            </w:r>
          </w:p>
        </w:tc>
      </w:tr>
      <w:tr>
        <w:trPr>
          <w:trHeight w:val="185"/>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Preferred stock redemption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5,150</w:t>
            </w:r>
          </w:p>
        </w:tc>
      </w:tr>
      <w:tr>
        <w:trPr>
          <w:trHeight w:val="189"/>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Preferred dividends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(108,550)</w:t>
            </w:r>
          </w:p>
        </w:tc>
      </w:tr>
      <w:tr>
        <w:trPr>
          <w:trHeight w:val="176"/>
        </w:trPr>
        <w:tc>
          <w:tcPr>
            <w:tcW w:w="6720" w:type="dxa"/>
            <w:vAlign w:val="bottom"/>
            <w:gridSpan w:val="2"/>
          </w:tcPr>
          <w:p>
            <w:pPr>
              <w:ind w:left="22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(385,716)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(2,750,782)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(1,152,207)</w:t>
            </w:r>
          </w:p>
        </w:tc>
      </w:tr>
      <w:tr>
        <w:trPr>
          <w:trHeight w:val="187"/>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income allocated to participating securities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w:t>
            </w:r>
          </w:p>
        </w:tc>
      </w:tr>
      <w:tr>
        <w:trPr>
          <w:trHeight w:val="179"/>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Net loss allocated to common stockholders—basic</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(385,716)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(2,752,032)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(1,155,698)</w:t>
            </w:r>
          </w:p>
        </w:tc>
      </w:tr>
      <w:tr>
        <w:trPr>
          <w:trHeight w:val="189"/>
        </w:trPr>
        <w:tc>
          <w:tcPr>
            <w:tcW w:w="672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4"/>
                <w:szCs w:val="14"/>
                <w:color w:val="auto"/>
              </w:rPr>
              <w:t xml:space="preserve">Interest expense attributable to convertible and exchangeable notes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Net loss allocated to common stockholders—diluted</w:t>
            </w: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(385,716)</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(2,752,032)</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(1,155,698)</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3"/>
        </w:trPr>
        <w:tc>
          <w:tcPr>
            <w:tcW w:w="672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Weighted average common shares outstanding</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5"/>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Weighted average number of common shares outstanding—basic</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491,456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473,558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479,588</w:t>
            </w:r>
          </w:p>
        </w:tc>
      </w:tr>
      <w:tr>
        <w:trPr>
          <w:trHeight w:val="189"/>
        </w:trPr>
        <w:tc>
          <w:tcPr>
            <w:tcW w:w="672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4"/>
                <w:szCs w:val="14"/>
                <w:color w:val="auto"/>
              </w:rPr>
              <w:t xml:space="preserve">Weighted average effect of dilutive shares </w:t>
            </w:r>
            <w:r>
              <w:rPr>
                <w:rFonts w:ascii="Arial" w:cs="Arial" w:eastAsia="Arial" w:hAnsi="Arial"/>
                <w:sz w:val="18"/>
                <w:szCs w:val="18"/>
                <w:color w:val="auto"/>
                <w:vertAlign w:val="superscript"/>
              </w:rPr>
              <w:t>(1)(2)(3)</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Weighted average number of common shares outstanding—diluted</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491,456</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473,558</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479,588</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3"/>
        </w:trPr>
        <w:tc>
          <w:tcPr>
            <w:tcW w:w="672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Loss per share—basic</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5"/>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Loss from continuing operations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6"/>
                <w:szCs w:val="16"/>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from discontinued operations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76"/>
        </w:trPr>
        <w:tc>
          <w:tcPr>
            <w:tcW w:w="6720" w:type="dxa"/>
            <w:vAlign w:val="bottom"/>
            <w:gridSpan w:val="2"/>
          </w:tcPr>
          <w:p>
            <w:pPr>
              <w:ind w:left="220"/>
              <w:spacing w:after="0"/>
              <w:rPr>
                <w:sz w:val="20"/>
                <w:szCs w:val="20"/>
                <w:color w:val="auto"/>
              </w:rPr>
            </w:pPr>
            <w:r>
              <w:rPr>
                <w:rFonts w:ascii="Arial" w:cs="Arial" w:eastAsia="Arial" w:hAnsi="Arial"/>
                <w:sz w:val="14"/>
                <w:szCs w:val="14"/>
                <w:color w:val="auto"/>
              </w:rPr>
              <w:t>Net loss attributable to common stockholders per common share—basic</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3"/>
        </w:trPr>
        <w:tc>
          <w:tcPr>
            <w:tcW w:w="672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Loss per share—diluted</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5"/>
        </w:trPr>
        <w:tc>
          <w:tcPr>
            <w:tcW w:w="6720" w:type="dxa"/>
            <w:vAlign w:val="bottom"/>
            <w:gridSpan w:val="2"/>
          </w:tcPr>
          <w:p>
            <w:pPr>
              <w:ind w:left="80"/>
              <w:spacing w:after="0"/>
              <w:rPr>
                <w:sz w:val="20"/>
                <w:szCs w:val="20"/>
                <w:color w:val="auto"/>
              </w:rPr>
            </w:pPr>
            <w:r>
              <w:rPr>
                <w:rFonts w:ascii="Arial" w:cs="Arial" w:eastAsia="Arial" w:hAnsi="Arial"/>
                <w:sz w:val="14"/>
                <w:szCs w:val="14"/>
                <w:color w:val="auto"/>
              </w:rPr>
              <w:t>Loss from continuing operations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6"/>
                <w:szCs w:val="16"/>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from discontinued operations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76"/>
        </w:trPr>
        <w:tc>
          <w:tcPr>
            <w:tcW w:w="6720" w:type="dxa"/>
            <w:vAlign w:val="bottom"/>
            <w:gridSpan w:val="2"/>
          </w:tcPr>
          <w:p>
            <w:pPr>
              <w:ind w:left="220"/>
              <w:spacing w:after="0"/>
              <w:rPr>
                <w:sz w:val="20"/>
                <w:szCs w:val="20"/>
                <w:color w:val="auto"/>
              </w:rPr>
            </w:pPr>
            <w:r>
              <w:rPr>
                <w:rFonts w:ascii="Arial" w:cs="Arial" w:eastAsia="Arial" w:hAnsi="Arial"/>
                <w:sz w:val="14"/>
                <w:szCs w:val="14"/>
                <w:color w:val="auto"/>
              </w:rPr>
              <w:t>Net loss attributable to common stockholders per common share—diluted</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r>
      <w:tr>
        <w:trPr>
          <w:trHeight w:val="20"/>
        </w:trPr>
        <w:tc>
          <w:tcPr>
            <w:tcW w:w="19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20" w:hanging="206"/>
        <w:spacing w:after="0" w:line="253" w:lineRule="auto"/>
        <w:tabs>
          <w:tab w:leader="none" w:pos="185" w:val="left"/>
        </w:tabs>
        <w:numPr>
          <w:ilvl w:val="0"/>
          <w:numId w:val="108"/>
        </w:numPr>
        <w:rPr>
          <w:rFonts w:ascii="Arial" w:cs="Arial" w:eastAsia="Arial" w:hAnsi="Arial"/>
          <w:sz w:val="8"/>
          <w:szCs w:val="8"/>
          <w:color w:val="auto"/>
        </w:rPr>
      </w:pPr>
      <w:r>
        <w:rPr>
          <w:rFonts w:ascii="Arial" w:cs="Arial" w:eastAsia="Arial" w:hAnsi="Arial"/>
          <w:sz w:val="12"/>
          <w:szCs w:val="12"/>
          <w:color w:val="auto"/>
        </w:rPr>
        <w:t>With respect to the assumed conversion or exchange of the Company's outstanding senior notes, the following are excluded from the calculation of diluted earnings per share as their inclusion would be antidilutive: (a) for the years ended December 31, 2021, 2020 and 2019, the effect of adding back $54.7 million, $29.9 million and $28.2 million of interest expense, respectively, and 135,396,500, 87,478,400 and 38,112,100 of weighted average dilutive common share equivalents, respectively.</w:t>
      </w:r>
    </w:p>
    <w:p>
      <w:pPr>
        <w:spacing w:after="0" w:line="31" w:lineRule="exact"/>
        <w:rPr>
          <w:rFonts w:ascii="Arial" w:cs="Arial" w:eastAsia="Arial" w:hAnsi="Arial"/>
          <w:sz w:val="8"/>
          <w:szCs w:val="8"/>
          <w:color w:val="auto"/>
        </w:rPr>
      </w:pPr>
    </w:p>
    <w:p>
      <w:pPr>
        <w:ind w:left="206" w:right="40" w:hanging="206"/>
        <w:spacing w:after="0" w:line="250" w:lineRule="auto"/>
        <w:tabs>
          <w:tab w:leader="none" w:pos="185" w:val="left"/>
        </w:tabs>
        <w:numPr>
          <w:ilvl w:val="0"/>
          <w:numId w:val="108"/>
        </w:numPr>
        <w:rPr>
          <w:rFonts w:ascii="Arial" w:cs="Arial" w:eastAsia="Arial" w:hAnsi="Arial"/>
          <w:sz w:val="8"/>
          <w:szCs w:val="8"/>
          <w:color w:val="auto"/>
        </w:rPr>
      </w:pPr>
      <w:r>
        <w:rPr>
          <w:rFonts w:ascii="Arial" w:cs="Arial" w:eastAsia="Arial" w:hAnsi="Arial"/>
          <w:sz w:val="12"/>
          <w:szCs w:val="12"/>
          <w:color w:val="auto"/>
        </w:rPr>
        <w:t>The calculation of diluted earnings per share excludes the effect of the following as their inclusion would be antidilutive: (a) class A common shares that are contingently issuable in relation to performance stock units (Note 17) with weighted average shares of 10,850,800, 5,776,800 and 990,700 for the years ended December 31, 2021, 2020 and 2019, respectively; and (b) class A common shares that are issuable to net settle the exercise of warrants (Note 10) with weighted average shares of 10,637,600 and 862,200 for the years ended December 31, 2021 and 2020, respectively. There were no warrants outstanding in 2019.</w:t>
      </w:r>
    </w:p>
    <w:p>
      <w:pPr>
        <w:spacing w:after="0" w:line="33" w:lineRule="exact"/>
        <w:rPr>
          <w:rFonts w:ascii="Arial" w:cs="Arial" w:eastAsia="Arial" w:hAnsi="Arial"/>
          <w:sz w:val="8"/>
          <w:szCs w:val="8"/>
          <w:color w:val="auto"/>
        </w:rPr>
      </w:pPr>
    </w:p>
    <w:p>
      <w:pPr>
        <w:ind w:left="206" w:right="420" w:hanging="206"/>
        <w:spacing w:after="0" w:line="262" w:lineRule="auto"/>
        <w:tabs>
          <w:tab w:leader="none" w:pos="185" w:val="left"/>
        </w:tabs>
        <w:numPr>
          <w:ilvl w:val="0"/>
          <w:numId w:val="108"/>
        </w:numPr>
        <w:rPr>
          <w:rFonts w:ascii="Arial" w:cs="Arial" w:eastAsia="Arial" w:hAnsi="Arial"/>
          <w:sz w:val="8"/>
          <w:szCs w:val="8"/>
          <w:color w:val="auto"/>
        </w:rPr>
      </w:pPr>
      <w:r>
        <w:rPr>
          <w:rFonts w:ascii="Arial" w:cs="Arial" w:eastAsia="Arial" w:hAnsi="Arial"/>
          <w:sz w:val="12"/>
          <w:szCs w:val="12"/>
          <w:color w:val="auto"/>
        </w:rPr>
        <w:t>OP Units may be redeemed for registered or unregistered class A common stock on a one-for-one basis and are not dilutive. At December 31, 2021, 2020 and 2019, 50,455,100, 51,076,700 and 53,261,100 of OP Units, respectively, were not included in the computation of diluted earnings per share in the respective periods presented.</w:t>
      </w:r>
    </w:p>
    <w:p>
      <w:pPr>
        <w:spacing w:after="0" w:line="39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62" w:name="page163"/>
    <w:bookmarkEnd w:id="1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Fee Income</w:t>
      </w:r>
    </w:p>
    <w:p>
      <w:pPr>
        <w:spacing w:after="0" w:line="161" w:lineRule="exact"/>
        <w:rPr>
          <w:sz w:val="20"/>
          <w:szCs w:val="20"/>
          <w:color w:val="auto"/>
        </w:rPr>
      </w:pPr>
    </w:p>
    <w:p>
      <w:pPr>
        <w:ind w:right="180" w:firstLine="351"/>
        <w:spacing w:after="0" w:line="248" w:lineRule="auto"/>
        <w:rPr>
          <w:sz w:val="20"/>
          <w:szCs w:val="20"/>
          <w:color w:val="auto"/>
        </w:rPr>
      </w:pPr>
      <w:r>
        <w:rPr>
          <w:rFonts w:ascii="Arial" w:cs="Arial" w:eastAsia="Arial" w:hAnsi="Arial"/>
          <w:sz w:val="16"/>
          <w:szCs w:val="16"/>
          <w:color w:val="auto"/>
        </w:rPr>
        <w:t>The Company's digital investment management platform manages capital on behalf of a diverse, global investor base, including but not limited to, sovereign wealth funds, public and private pensions, asset managers, insurance companies, and endowments, for which the Company earns fee income.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fee income by type, excluding amounts classified as discontinued operations (Note 12):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7"/>
        </w:trPr>
        <w:tc>
          <w:tcPr>
            <w:tcW w:w="63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0"/>
                <w:szCs w:val="10"/>
                <w:color w:val="auto"/>
              </w:rPr>
            </w:pPr>
          </w:p>
        </w:tc>
        <w:tc>
          <w:tcPr>
            <w:tcW w:w="1200" w:type="dxa"/>
            <w:vAlign w:val="bottom"/>
          </w:tcPr>
          <w:p>
            <w:pPr>
              <w:jc w:val="right"/>
              <w:ind w:right="593"/>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right"/>
              <w:ind w:right="595"/>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593"/>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9"/>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31,757</w:t>
            </w:r>
          </w:p>
        </w:tc>
      </w:tr>
      <w:tr>
        <w:trPr>
          <w:trHeight w:val="302"/>
        </w:trPr>
        <w:tc>
          <w:tcPr>
            <w:tcW w:w="6360" w:type="dxa"/>
            <w:vAlign w:val="bottom"/>
            <w:gridSpan w:val="2"/>
          </w:tcPr>
          <w:p>
            <w:pPr>
              <w:spacing w:after="0"/>
              <w:rPr>
                <w:sz w:val="20"/>
                <w:szCs w:val="20"/>
                <w:color w:val="auto"/>
              </w:rPr>
            </w:pPr>
            <w:r>
              <w:rPr>
                <w:rFonts w:ascii="Arial" w:cs="Arial" w:eastAsia="Arial" w:hAnsi="Arial"/>
                <w:sz w:val="14"/>
                <w:szCs w:val="14"/>
                <w:color w:val="auto"/>
              </w:rPr>
              <w:t>Incentive fees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fees</w:t>
            </w: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4,899</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w:t>
            </w:r>
          </w:p>
        </w:tc>
      </w:tr>
      <w:tr>
        <w:trPr>
          <w:trHeight w:val="181"/>
        </w:trPr>
        <w:tc>
          <w:tcPr>
            <w:tcW w:w="6360" w:type="dxa"/>
            <w:vAlign w:val="bottom"/>
            <w:gridSpan w:val="2"/>
          </w:tcPr>
          <w:p>
            <w:pPr>
              <w:ind w:left="260"/>
              <w:spacing w:after="0"/>
              <w:rPr>
                <w:sz w:val="20"/>
                <w:szCs w:val="20"/>
                <w:color w:val="auto"/>
              </w:rPr>
            </w:pPr>
            <w:r>
              <w:rPr>
                <w:rFonts w:ascii="Arial" w:cs="Arial" w:eastAsia="Arial" w:hAnsi="Arial"/>
                <w:sz w:val="14"/>
                <w:szCs w:val="14"/>
                <w:color w:val="auto"/>
              </w:rPr>
              <w:t>Total fee income—affiliates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180,826</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83,355</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33,523</w:t>
            </w:r>
          </w:p>
        </w:tc>
      </w:tr>
      <w:tr>
        <w:trPr>
          <w:trHeight w:val="20"/>
        </w:trPr>
        <w:tc>
          <w:tcPr>
            <w:tcW w:w="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00" w:firstLine="351"/>
        <w:spacing w:after="0" w:line="252"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4"/>
          <w:szCs w:val="14"/>
          <w:color w:val="auto"/>
        </w:rPr>
        <w:t>—</w:t>
      </w:r>
      <w:r>
        <w:rPr>
          <w:rFonts w:ascii="Arial" w:cs="Arial" w:eastAsia="Arial" w:hAnsi="Arial"/>
          <w:sz w:val="16"/>
          <w:szCs w:val="16"/>
          <w:color w:val="auto"/>
        </w:rPr>
        <w:t>The Company earns management fees for providing investment management services to its sponsored private funds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vehicles, portfolio companies and managed accounts. Management fees are calculated generally at annual rates ranging from 0.3% to 1.5% of investors' committed capital during the commitment period of the vehicle, and thereafter, contributed or invested capital; or net asset value for vehicles in the liquid securities strategy.</w:t>
      </w:r>
    </w:p>
    <w:p>
      <w:pPr>
        <w:spacing w:after="0" w:line="69" w:lineRule="exact"/>
        <w:rPr>
          <w:sz w:val="20"/>
          <w:szCs w:val="20"/>
          <w:color w:val="auto"/>
        </w:rPr>
      </w:pPr>
    </w:p>
    <w:p>
      <w:pPr>
        <w:ind w:right="120" w:firstLine="351"/>
        <w:spacing w:after="0" w:line="252" w:lineRule="auto"/>
        <w:rPr>
          <w:sz w:val="20"/>
          <w:szCs w:val="20"/>
          <w:color w:val="auto"/>
        </w:rPr>
      </w:pPr>
      <w:r>
        <w:rPr>
          <w:rFonts w:ascii="Arial" w:cs="Arial" w:eastAsia="Arial" w:hAnsi="Arial"/>
          <w:sz w:val="16"/>
          <w:szCs w:val="16"/>
          <w:i w:val="1"/>
          <w:iCs w:val="1"/>
          <w:color w:val="auto"/>
        </w:rPr>
        <w:t>Incentive Fees</w:t>
      </w:r>
      <w:r>
        <w:rPr>
          <w:rFonts w:ascii="Arial" w:cs="Arial" w:eastAsia="Arial" w:hAnsi="Arial"/>
          <w:sz w:val="16"/>
          <w:szCs w:val="16"/>
          <w:color w:val="auto"/>
        </w:rPr>
        <w:t>—The Company is entitled to incentive fees from funds and managed accounts in its liquid securities strategy. Incentive fees are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 performance of the respective funds or accounts, subject to the achievement of specified return thresholds in accordance with the terms set out in their respective governing agreements. A portion of the incentive fees earned by the Company is allocable to senior management, investment professionals, and certain other employees of the Company, included in carried interest and incentive fee compensation expense.</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Other Fee Income</w:t>
      </w:r>
      <w:r>
        <w:rPr>
          <w:rFonts w:ascii="Arial" w:cs="Arial" w:eastAsia="Arial" w:hAnsi="Arial"/>
          <w:sz w:val="16"/>
          <w:szCs w:val="16"/>
          <w:color w:val="auto"/>
        </w:rPr>
        <w:t>—Other fees include primarily service fees for information technology, facilities and operational support provided to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Equity-Based Compensation</w:t>
      </w:r>
    </w:p>
    <w:p>
      <w:pPr>
        <w:spacing w:after="0" w:line="115" w:lineRule="exact"/>
        <w:rPr>
          <w:sz w:val="20"/>
          <w:szCs w:val="20"/>
          <w:color w:val="auto"/>
        </w:rPr>
      </w:pPr>
    </w:p>
    <w:p>
      <w:pPr>
        <w:ind w:right="40" w:firstLine="351"/>
        <w:spacing w:after="0" w:line="244" w:lineRule="auto"/>
        <w:rPr>
          <w:sz w:val="20"/>
          <w:szCs w:val="20"/>
          <w:color w:val="auto"/>
        </w:rPr>
      </w:pPr>
      <w:r>
        <w:rPr>
          <w:rFonts w:ascii="Arial" w:cs="Arial" w:eastAsia="Arial" w:hAnsi="Arial"/>
          <w:sz w:val="16"/>
          <w:szCs w:val="16"/>
          <w:color w:val="auto"/>
        </w:rPr>
        <w:t>The DigitalBridge Group, Inc. 2014 Omnibus Stock Incentive Plan (the "Equity Incentive Plan") provides for the grant of restricted stock, performance stock units ("PSUs"), Long Term Incentive Plan ("LTIP") units, restricted stock units ("RSUs"), deferred stock units ("DSUs"), options, warrants or rights to purchase shares of the Company's common stock, cash incentives and other equity-based awards to the Company's officers, directors (including non-employee directors), employees, co-employees, consultants or advisors of the Company or of any parent or subsidiary who provides services to the Company. Shares reserved for the issuance of awards under the Equity Incentive Plan are subject to equitable adjustment upon the occurrence of certain corporate events, provided that this number automatically increases each January 1st by 2% of the outstanding number of shares of the Company’s class A common stock on the immediately preceding December 31st. At December 31, 2021, an aggregate 73.8 million shares of the Company's class A common stock were reserved for the issuance of awards under the Equity Incentive Plan.</w:t>
      </w:r>
    </w:p>
    <w:p>
      <w:pPr>
        <w:spacing w:after="0" w:line="78" w:lineRule="exact"/>
        <w:rPr>
          <w:sz w:val="20"/>
          <w:szCs w:val="20"/>
          <w:color w:val="auto"/>
        </w:rPr>
      </w:pPr>
    </w:p>
    <w:p>
      <w:pPr>
        <w:ind w:right="20" w:firstLine="351"/>
        <w:spacing w:after="0" w:line="250"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4"/>
          <w:szCs w:val="14"/>
          <w:color w:val="auto"/>
        </w:rPr>
        <w:t>—</w:t>
      </w:r>
      <w:r>
        <w:rPr>
          <w:rFonts w:ascii="Arial" w:cs="Arial" w:eastAsia="Arial" w:hAnsi="Arial"/>
          <w:sz w:val="16"/>
          <w:szCs w:val="16"/>
          <w:color w:val="auto"/>
        </w:rPr>
        <w:t>Restricted stock awards in the Company's class A common stock are granted to senior executives, directors and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subject to a service condition only, with annual time-based vesting in equal tranches over a three-year period. Restricted stock is entitled to dividends declared and paid on the Company's class A common stock and such dividends are not forfeitable prior to vesting of the award. Restricted stock awards are valued based on the Company's class A common stock price on grant date and equity-based compensation expense is recognized on a straight-line basis over the requisite service period.</w:t>
      </w:r>
    </w:p>
    <w:p>
      <w:pPr>
        <w:spacing w:after="0" w:line="71" w:lineRule="exact"/>
        <w:rPr>
          <w:sz w:val="20"/>
          <w:szCs w:val="20"/>
          <w:color w:val="auto"/>
        </w:rPr>
      </w:pPr>
    </w:p>
    <w:p>
      <w:pPr>
        <w:ind w:right="20" w:firstLine="351"/>
        <w:spacing w:after="0" w:line="299" w:lineRule="auto"/>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3"/>
          <w:szCs w:val="13"/>
          <w:color w:val="auto"/>
        </w:rPr>
        <w:t>—</w:t>
      </w:r>
      <w:r>
        <w:rPr>
          <w:rFonts w:ascii="Arial" w:cs="Arial" w:eastAsia="Arial" w:hAnsi="Arial"/>
          <w:sz w:val="14"/>
          <w:szCs w:val="14"/>
          <w:color w:val="auto"/>
        </w:rPr>
        <w:t>RSUs in the Company's class A common stock are subject to a performance condition. Vesting of performance-based RSUs occur</w:t>
      </w:r>
      <w:r>
        <w:rPr>
          <w:rFonts w:ascii="Arial" w:cs="Arial" w:eastAsia="Arial" w:hAnsi="Arial"/>
          <w:sz w:val="14"/>
          <w:szCs w:val="14"/>
          <w:i w:val="1"/>
          <w:iCs w:val="1"/>
          <w:color w:val="auto"/>
        </w:rPr>
        <w:t xml:space="preserve"> </w:t>
      </w:r>
      <w:r>
        <w:rPr>
          <w:rFonts w:ascii="Arial" w:cs="Arial" w:eastAsia="Arial" w:hAnsi="Arial"/>
          <w:sz w:val="14"/>
          <w:szCs w:val="14"/>
          <w:color w:val="auto"/>
        </w:rPr>
        <w:t>upon achievement of certain Company-specific metrics over a performance measurement period. Only vested RSUs are entitled to accrued dividends declared and paid on the Company's class A common stock during the time period the RSUs are outstanding. Fair value of RSUs are based on the Company's class A common stock price on grant date. Equity-based compensation expense is recognized when it becomes probable that the performance condition will be met.</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Performance Stock Units</w:t>
      </w:r>
      <w:r>
        <w:rPr>
          <w:rFonts w:ascii="Arial" w:cs="Arial" w:eastAsia="Arial" w:hAnsi="Arial"/>
          <w:sz w:val="13"/>
          <w:szCs w:val="13"/>
          <w:color w:val="auto"/>
        </w:rPr>
        <w:t>—</w:t>
      </w:r>
      <w:r>
        <w:rPr>
          <w:rFonts w:ascii="Arial" w:cs="Arial" w:eastAsia="Arial" w:hAnsi="Arial"/>
          <w:sz w:val="14"/>
          <w:szCs w:val="14"/>
          <w:color w:val="auto"/>
        </w:rPr>
        <w:t>PSUs are granted to senior executives and certain employees, and are subject to both a service condition and a market condition.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Following the end of the measurement period, the recipients of PSUs who remain employed will vest in, and be issued a number of shares of the Company's class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 common stock, generally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3" w:name="page164"/>
    <w:bookmarkEnd w:id="163"/>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 w:right="60"/>
        <w:spacing w:after="0" w:line="288" w:lineRule="auto"/>
        <w:rPr>
          <w:sz w:val="20"/>
          <w:szCs w:val="20"/>
          <w:color w:val="auto"/>
        </w:rPr>
      </w:pPr>
      <w:r>
        <w:rPr>
          <w:rFonts w:ascii="Arial" w:cs="Arial" w:eastAsia="Arial" w:hAnsi="Arial"/>
          <w:sz w:val="14"/>
          <w:szCs w:val="14"/>
          <w:color w:val="auto"/>
        </w:rPr>
        <w:t>ranging from 0% to 200% of the number of PSUs granted and determined based upon the performance of the Company's class A common stock relative to that of a specified peer group over a three-year measurement period (such measurement metric the "total shareholder return"). In addition, recipients of PSUs whose employment is terminated after the first anniversary of their PSU grant are eligible to vest in a portion of the PSU award following the end of the measurement period based upon achievement of the total shareholder return metric applicable to the award. PSUs also contain dividend equivalent rights which entitle the recipients to a payment equal to the amount of dividends that would have been paid on the shares that are ultimately issued at the end of the measurement period.</w:t>
      </w:r>
    </w:p>
    <w:p>
      <w:pPr>
        <w:spacing w:after="0" w:line="63" w:lineRule="exact"/>
        <w:rPr>
          <w:sz w:val="20"/>
          <w:szCs w:val="20"/>
          <w:color w:val="auto"/>
        </w:rPr>
      </w:pPr>
    </w:p>
    <w:p>
      <w:pPr>
        <w:ind w:left="6" w:right="480" w:firstLine="351"/>
        <w:spacing w:after="0" w:line="248" w:lineRule="auto"/>
        <w:rPr>
          <w:sz w:val="20"/>
          <w:szCs w:val="20"/>
          <w:color w:val="auto"/>
        </w:rPr>
      </w:pPr>
      <w:r>
        <w:rPr>
          <w:rFonts w:ascii="Arial" w:cs="Arial" w:eastAsia="Arial" w:hAnsi="Arial"/>
          <w:sz w:val="16"/>
          <w:szCs w:val="16"/>
          <w:color w:val="auto"/>
        </w:rPr>
        <w:t>Fair value of PSUs, including dividend equivalent rights, was determined using a Monte Carlo simulation under a risk-neutral premise, with the following assumptions:</w:t>
      </w:r>
    </w:p>
    <w:p>
      <w:pPr>
        <w:spacing w:after="0" w:line="106"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6060" w:type="dxa"/>
            <w:vAlign w:val="bottom"/>
          </w:tcPr>
          <w:p>
            <w:pPr>
              <w:spacing w:after="0"/>
              <w:rPr>
                <w:sz w:val="13"/>
                <w:szCs w:val="13"/>
                <w:color w:val="auto"/>
              </w:rPr>
            </w:pPr>
          </w:p>
        </w:tc>
        <w:tc>
          <w:tcPr>
            <w:tcW w:w="1760" w:type="dxa"/>
            <w:vAlign w:val="bottom"/>
            <w:gridSpan w:val="2"/>
          </w:tcPr>
          <w:p>
            <w:pPr>
              <w:ind w:left="380"/>
              <w:spacing w:after="0"/>
              <w:rPr>
                <w:sz w:val="20"/>
                <w:szCs w:val="20"/>
                <w:color w:val="auto"/>
              </w:rPr>
            </w:pPr>
            <w:r>
              <w:rPr>
                <w:rFonts w:ascii="Arial" w:cs="Arial" w:eastAsia="Arial" w:hAnsi="Arial"/>
                <w:sz w:val="11"/>
                <w:szCs w:val="11"/>
                <w:b w:val="1"/>
                <w:bCs w:val="1"/>
                <w:color w:val="auto"/>
              </w:rPr>
              <w:t>2021 PSU Grants</w:t>
            </w:r>
          </w:p>
        </w:tc>
        <w:tc>
          <w:tcPr>
            <w:tcW w:w="1760" w:type="dxa"/>
            <w:vAlign w:val="bottom"/>
            <w:gridSpan w:val="2"/>
          </w:tcPr>
          <w:p>
            <w:pPr>
              <w:ind w:left="400"/>
              <w:spacing w:after="0"/>
              <w:rPr>
                <w:sz w:val="20"/>
                <w:szCs w:val="20"/>
                <w:color w:val="auto"/>
              </w:rPr>
            </w:pPr>
            <w:r>
              <w:rPr>
                <w:rFonts w:ascii="Arial" w:cs="Arial" w:eastAsia="Arial" w:hAnsi="Arial"/>
                <w:sz w:val="11"/>
                <w:szCs w:val="11"/>
                <w:b w:val="1"/>
                <w:bCs w:val="1"/>
                <w:color w:val="auto"/>
              </w:rPr>
              <w:t>2020 PSU Grants</w:t>
            </w:r>
          </w:p>
        </w:tc>
        <w:tc>
          <w:tcPr>
            <w:tcW w:w="1680" w:type="dxa"/>
            <w:vAlign w:val="bottom"/>
          </w:tcPr>
          <w:p>
            <w:pPr>
              <w:ind w:left="400"/>
              <w:spacing w:after="0"/>
              <w:rPr>
                <w:sz w:val="20"/>
                <w:szCs w:val="20"/>
                <w:color w:val="auto"/>
              </w:rPr>
            </w:pPr>
            <w:r>
              <w:rPr>
                <w:rFonts w:ascii="Arial" w:cs="Arial" w:eastAsia="Arial" w:hAnsi="Arial"/>
                <w:sz w:val="11"/>
                <w:szCs w:val="11"/>
                <w:b w:val="1"/>
                <w:bCs w:val="1"/>
                <w:color w:val="auto"/>
              </w:rPr>
              <w:t>2019 PSU Grants</w:t>
            </w:r>
          </w:p>
        </w:tc>
      </w:tr>
      <w:tr>
        <w:trPr>
          <w:trHeight w:val="186"/>
        </w:trPr>
        <w:tc>
          <w:tcPr>
            <w:tcW w:w="60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4"/>
                <w:szCs w:val="14"/>
                <w:color w:val="auto"/>
              </w:rPr>
              <w:t xml:space="preserve">Expected volatility of the Company's class A common stock </w:t>
            </w:r>
            <w:r>
              <w:rPr>
                <w:rFonts w:ascii="Arial" w:cs="Arial" w:eastAsia="Arial" w:hAnsi="Arial"/>
                <w:sz w:val="18"/>
                <w:szCs w:val="18"/>
                <w:color w:val="auto"/>
                <w:vertAlign w:val="superscript"/>
              </w:rPr>
              <w:t>(1)</w:t>
            </w: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35.4%</w:t>
            </w: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34.1%</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26.2%</w:t>
            </w:r>
          </w:p>
        </w:tc>
      </w:tr>
      <w:tr>
        <w:trPr>
          <w:trHeight w:val="187"/>
        </w:trPr>
        <w:tc>
          <w:tcPr>
            <w:tcW w:w="6060" w:type="dxa"/>
            <w:vAlign w:val="bottom"/>
          </w:tcPr>
          <w:p>
            <w:pPr>
              <w:spacing w:after="0" w:line="187" w:lineRule="exact"/>
              <w:rPr>
                <w:sz w:val="20"/>
                <w:szCs w:val="20"/>
                <w:color w:val="auto"/>
              </w:rPr>
            </w:pPr>
            <w:r>
              <w:rPr>
                <w:rFonts w:ascii="Arial" w:cs="Arial" w:eastAsia="Arial" w:hAnsi="Arial"/>
                <w:sz w:val="14"/>
                <w:szCs w:val="14"/>
                <w:color w:val="auto"/>
              </w:rPr>
              <w:t xml:space="preserve">Expected annual dividend yield </w:t>
            </w:r>
            <w:r>
              <w:rPr>
                <w:rFonts w:ascii="Arial" w:cs="Arial" w:eastAsia="Arial" w:hAnsi="Arial"/>
                <w:sz w:val="18"/>
                <w:szCs w:val="18"/>
                <w:color w:val="auto"/>
                <w:vertAlign w:val="superscript"/>
              </w:rPr>
              <w:t>(2)</w:t>
            </w:r>
          </w:p>
        </w:tc>
        <w:tc>
          <w:tcPr>
            <w:tcW w:w="1660" w:type="dxa"/>
            <w:vAlign w:val="bottom"/>
          </w:tcPr>
          <w:p>
            <w:pPr>
              <w:jc w:val="center"/>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9"/>
              </w:rPr>
              <w:t>8.5% - 8.7%</w:t>
            </w:r>
          </w:p>
        </w:tc>
      </w:tr>
      <w:tr>
        <w:trPr>
          <w:trHeight w:val="187"/>
        </w:trPr>
        <w:tc>
          <w:tcPr>
            <w:tcW w:w="6060" w:type="dxa"/>
            <w:vAlign w:val="bottom"/>
            <w:shd w:val="clear" w:color="auto" w:fill="CCEEFF"/>
          </w:tcPr>
          <w:p>
            <w:pPr>
              <w:spacing w:after="0" w:line="187" w:lineRule="exact"/>
              <w:rPr>
                <w:sz w:val="20"/>
                <w:szCs w:val="20"/>
                <w:color w:val="auto"/>
              </w:rPr>
            </w:pPr>
            <w:r>
              <w:rPr>
                <w:rFonts w:ascii="Arial" w:cs="Arial" w:eastAsia="Arial" w:hAnsi="Arial"/>
                <w:sz w:val="14"/>
                <w:szCs w:val="14"/>
                <w:color w:val="auto"/>
              </w:rPr>
              <w:t xml:space="preserve">Risk-free rate (per annum) </w:t>
            </w:r>
            <w:r>
              <w:rPr>
                <w:rFonts w:ascii="Arial" w:cs="Arial" w:eastAsia="Arial" w:hAnsi="Arial"/>
                <w:sz w:val="18"/>
                <w:szCs w:val="18"/>
                <w:color w:val="auto"/>
                <w:vertAlign w:val="superscript"/>
              </w:rPr>
              <w:t>(3)</w:t>
            </w: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2.2% - 2.4%</w:t>
            </w: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186" w:hanging="186"/>
        <w:spacing w:after="0"/>
        <w:tabs>
          <w:tab w:leader="none" w:pos="186" w:val="left"/>
        </w:tabs>
        <w:numPr>
          <w:ilvl w:val="0"/>
          <w:numId w:val="109"/>
        </w:numPr>
        <w:rPr>
          <w:rFonts w:ascii="Arial" w:cs="Arial" w:eastAsia="Arial" w:hAnsi="Arial"/>
          <w:sz w:val="16"/>
          <w:szCs w:val="16"/>
          <w:color w:val="auto"/>
          <w:vertAlign w:val="superscript"/>
        </w:rPr>
      </w:pPr>
      <w:r>
        <w:rPr>
          <w:rFonts w:ascii="Arial" w:cs="Arial" w:eastAsia="Arial" w:hAnsi="Arial"/>
          <w:sz w:val="12"/>
          <w:szCs w:val="12"/>
          <w:color w:val="auto"/>
        </w:rPr>
        <w:t>Based upon the historical volatility of the Company's stock and those of a specified peer group.</w:t>
      </w:r>
    </w:p>
    <w:p>
      <w:pPr>
        <w:spacing w:after="0" w:line="38" w:lineRule="exact"/>
        <w:rPr>
          <w:rFonts w:ascii="Arial" w:cs="Arial" w:eastAsia="Arial" w:hAnsi="Arial"/>
          <w:sz w:val="16"/>
          <w:szCs w:val="16"/>
          <w:color w:val="auto"/>
          <w:vertAlign w:val="superscript"/>
        </w:rPr>
      </w:pPr>
    </w:p>
    <w:p>
      <w:pPr>
        <w:ind w:left="206" w:right="60" w:hanging="206"/>
        <w:spacing w:after="0" w:line="215" w:lineRule="auto"/>
        <w:tabs>
          <w:tab w:leader="none" w:pos="233" w:val="left"/>
        </w:tabs>
        <w:numPr>
          <w:ilvl w:val="0"/>
          <w:numId w:val="109"/>
        </w:numPr>
        <w:rPr>
          <w:rFonts w:ascii="Arial" w:cs="Arial" w:eastAsia="Arial" w:hAnsi="Arial"/>
          <w:sz w:val="16"/>
          <w:szCs w:val="16"/>
          <w:color w:val="auto"/>
          <w:vertAlign w:val="superscript"/>
        </w:rPr>
      </w:pPr>
      <w:r>
        <w:rPr>
          <w:rFonts w:ascii="Arial" w:cs="Arial" w:eastAsia="Arial" w:hAnsi="Arial"/>
          <w:sz w:val="12"/>
          <w:szCs w:val="12"/>
          <w:color w:val="auto"/>
        </w:rPr>
        <w:t>Based upon the Company's expected annualized dividends. Expected dividend yield is zero for the 2021 PSU award as the Company suspended common dividends beginning with the second quarter of 2020.</w:t>
      </w:r>
    </w:p>
    <w:p>
      <w:pPr>
        <w:spacing w:after="0" w:line="3" w:lineRule="exact"/>
        <w:rPr>
          <w:rFonts w:ascii="Arial" w:cs="Arial" w:eastAsia="Arial" w:hAnsi="Arial"/>
          <w:sz w:val="16"/>
          <w:szCs w:val="16"/>
          <w:color w:val="auto"/>
          <w:vertAlign w:val="superscript"/>
        </w:rPr>
      </w:pPr>
    </w:p>
    <w:p>
      <w:pPr>
        <w:ind w:left="246" w:hanging="246"/>
        <w:spacing w:after="0"/>
        <w:tabs>
          <w:tab w:leader="none" w:pos="246" w:val="left"/>
        </w:tabs>
        <w:numPr>
          <w:ilvl w:val="0"/>
          <w:numId w:val="109"/>
        </w:numPr>
        <w:rPr>
          <w:rFonts w:ascii="Arial" w:cs="Arial" w:eastAsia="Arial" w:hAnsi="Arial"/>
          <w:sz w:val="16"/>
          <w:szCs w:val="16"/>
          <w:color w:val="auto"/>
          <w:vertAlign w:val="superscript"/>
        </w:rPr>
      </w:pPr>
      <w:r>
        <w:rPr>
          <w:rFonts w:ascii="Arial" w:cs="Arial" w:eastAsia="Arial" w:hAnsi="Arial"/>
          <w:sz w:val="12"/>
          <w:szCs w:val="12"/>
          <w:color w:val="auto"/>
        </w:rPr>
        <w:t>Based upon the continuously compounded zero-coupon U.S. Treasury yield for the term coinciding with the remaining measurement period of the award as of valuation date.</w:t>
      </w:r>
    </w:p>
    <w:p>
      <w:pPr>
        <w:spacing w:after="0" w:line="127" w:lineRule="exact"/>
        <w:rPr>
          <w:sz w:val="20"/>
          <w:szCs w:val="20"/>
          <w:color w:val="auto"/>
        </w:rPr>
      </w:pPr>
    </w:p>
    <w:p>
      <w:pPr>
        <w:ind w:left="6" w:right="300" w:firstLine="351"/>
        <w:spacing w:after="0" w:line="245" w:lineRule="auto"/>
        <w:rPr>
          <w:sz w:val="20"/>
          <w:szCs w:val="20"/>
          <w:color w:val="auto"/>
        </w:rPr>
      </w:pPr>
      <w:r>
        <w:rPr>
          <w:rFonts w:ascii="Arial" w:cs="Arial" w:eastAsia="Arial" w:hAnsi="Arial"/>
          <w:sz w:val="16"/>
          <w:szCs w:val="16"/>
          <w:color w:val="auto"/>
        </w:rPr>
        <w:t>Fair value of PSU awards, excluding dividend equivalent rights, is recognized on a straight-line basis over their measurement period as compensation expense, and is not subject to reversal even if the market condition is not achieved. The dividend equivalent right is accounted for as a liability-classified award. The fair value of the dividend equivalent right is recognized as compensation expense on a straight-line basis over the measurement period, and is subject to adjustment to fair value at each reporting period.</w:t>
      </w:r>
    </w:p>
    <w:p>
      <w:pPr>
        <w:spacing w:after="0" w:line="75" w:lineRule="exact"/>
        <w:rPr>
          <w:sz w:val="20"/>
          <w:szCs w:val="20"/>
          <w:color w:val="auto"/>
        </w:rPr>
      </w:pPr>
    </w:p>
    <w:p>
      <w:pPr>
        <w:ind w:left="6" w:right="80" w:firstLine="351"/>
        <w:spacing w:after="0" w:line="256" w:lineRule="auto"/>
        <w:rPr>
          <w:sz w:val="20"/>
          <w:szCs w:val="20"/>
          <w:color w:val="auto"/>
        </w:rPr>
      </w:pPr>
      <w:r>
        <w:rPr>
          <w:rFonts w:ascii="Arial" w:cs="Arial" w:eastAsia="Arial" w:hAnsi="Arial"/>
          <w:sz w:val="16"/>
          <w:szCs w:val="16"/>
          <w:i w:val="1"/>
          <w:iCs w:val="1"/>
          <w:color w:val="auto"/>
        </w:rPr>
        <w:t>LTIP Units</w:t>
      </w:r>
      <w:r>
        <w:rPr>
          <w:rFonts w:ascii="Arial" w:cs="Arial" w:eastAsia="Arial" w:hAnsi="Arial"/>
          <w:sz w:val="14"/>
          <w:szCs w:val="14"/>
          <w:color w:val="auto"/>
        </w:rPr>
        <w:t>—</w:t>
      </w:r>
      <w:r>
        <w:rPr>
          <w:rFonts w:ascii="Arial" w:cs="Arial" w:eastAsia="Arial" w:hAnsi="Arial"/>
          <w:sz w:val="16"/>
          <w:szCs w:val="16"/>
          <w:color w:val="auto"/>
        </w:rPr>
        <w:t>LTIP units are units in the Operating Company that are designated as profits interests for federal income tax purposes. Unvested LTIP units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market conditions do not accrue distributions. Each vested LTIP unit is convertible, at the election of the holder (subject to capital account limitation), into one common OP Unit and upon conversion, subject to the redemption terms of OP Units (Note 9).</w:t>
      </w:r>
    </w:p>
    <w:p>
      <w:pPr>
        <w:spacing w:after="0" w:line="82" w:lineRule="exact"/>
        <w:rPr>
          <w:sz w:val="20"/>
          <w:szCs w:val="20"/>
          <w:color w:val="auto"/>
        </w:rPr>
      </w:pPr>
    </w:p>
    <w:p>
      <w:pPr>
        <w:jc w:val="both"/>
        <w:ind w:left="6" w:right="140" w:firstLine="351"/>
        <w:spacing w:after="0" w:line="246" w:lineRule="auto"/>
        <w:rPr>
          <w:sz w:val="20"/>
          <w:szCs w:val="20"/>
          <w:color w:val="auto"/>
        </w:rPr>
      </w:pPr>
      <w:r>
        <w:rPr>
          <w:rFonts w:ascii="Arial" w:cs="Arial" w:eastAsia="Arial" w:hAnsi="Arial"/>
          <w:sz w:val="16"/>
          <w:szCs w:val="16"/>
          <w:color w:val="auto"/>
        </w:rPr>
        <w:t>LTIP units issued have either (1) a service condition only, valued based upon the Company's class A common stock price on grant date; or (2) both a service condition and a market condition based upon the Company's class A common stock achieving target prices over predetermined measurement periods, subject to continuous employment to the time of vesting, and valued using a Monte Carlo simulation.</w:t>
      </w:r>
    </w:p>
    <w:p>
      <w:pPr>
        <w:spacing w:after="0" w:line="89"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assumptions were applied in the Monte Carlo model under a risk-neutral premise:</w:t>
      </w:r>
    </w:p>
    <w:p>
      <w:pPr>
        <w:spacing w:after="0" w:line="107"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Arial" w:cs="Arial" w:eastAsia="Arial" w:hAnsi="Arial"/>
                <w:sz w:val="11"/>
                <w:szCs w:val="11"/>
                <w:b w:val="1"/>
                <w:bCs w:val="1"/>
                <w:color w:val="auto"/>
              </w:rPr>
              <w:t>2020 LTIP Grant</w:t>
            </w:r>
          </w:p>
        </w:tc>
        <w:tc>
          <w:tcPr>
            <w:tcW w:w="1680" w:type="dxa"/>
            <w:vAlign w:val="bottom"/>
          </w:tcPr>
          <w:p>
            <w:pPr>
              <w:ind w:left="360"/>
              <w:spacing w:after="0"/>
              <w:rPr>
                <w:sz w:val="20"/>
                <w:szCs w:val="20"/>
                <w:color w:val="auto"/>
              </w:rPr>
            </w:pPr>
            <w:r>
              <w:rPr>
                <w:rFonts w:ascii="Arial" w:cs="Arial" w:eastAsia="Arial" w:hAnsi="Arial"/>
                <w:sz w:val="11"/>
                <w:szCs w:val="11"/>
                <w:b w:val="1"/>
                <w:bCs w:val="1"/>
                <w:color w:val="auto"/>
              </w:rPr>
              <w:t xml:space="preserve">2019 LTIP Grant </w:t>
            </w:r>
            <w:r>
              <w:rPr>
                <w:rFonts w:ascii="Arial" w:cs="Arial" w:eastAsia="Arial" w:hAnsi="Arial"/>
                <w:sz w:val="14"/>
                <w:szCs w:val="14"/>
                <w:b w:val="1"/>
                <w:bCs w:val="1"/>
                <w:color w:val="auto"/>
                <w:vertAlign w:val="superscript"/>
              </w:rPr>
              <w:t>(1)</w:t>
            </w:r>
          </w:p>
        </w:tc>
      </w:tr>
      <w:tr>
        <w:trPr>
          <w:trHeight w:val="179"/>
        </w:trPr>
        <w:tc>
          <w:tcPr>
            <w:tcW w:w="78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4"/>
                <w:szCs w:val="14"/>
                <w:color w:val="auto"/>
              </w:rPr>
              <w:t xml:space="preserve">Expected volatility of the Company's class A common stock </w:t>
            </w:r>
            <w:r>
              <w:rPr>
                <w:rFonts w:ascii="Arial" w:cs="Arial" w:eastAsia="Arial" w:hAnsi="Arial"/>
                <w:sz w:val="18"/>
                <w:szCs w:val="18"/>
                <w:color w:val="auto"/>
                <w:vertAlign w:val="superscript"/>
              </w:rPr>
              <w:t>(2)</w:t>
            </w: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43.1%</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28.3%</w:t>
            </w:r>
          </w:p>
        </w:tc>
      </w:tr>
      <w:tr>
        <w:trPr>
          <w:trHeight w:val="187"/>
        </w:trPr>
        <w:tc>
          <w:tcPr>
            <w:tcW w:w="7820" w:type="dxa"/>
            <w:vAlign w:val="bottom"/>
          </w:tcPr>
          <w:p>
            <w:pPr>
              <w:spacing w:after="0" w:line="187" w:lineRule="exact"/>
              <w:rPr>
                <w:sz w:val="20"/>
                <w:szCs w:val="20"/>
                <w:color w:val="auto"/>
              </w:rPr>
            </w:pPr>
            <w:r>
              <w:rPr>
                <w:rFonts w:ascii="Arial" w:cs="Arial" w:eastAsia="Arial" w:hAnsi="Arial"/>
                <w:sz w:val="14"/>
                <w:szCs w:val="14"/>
                <w:color w:val="auto"/>
              </w:rPr>
              <w:t xml:space="preserve">Expected dividend yield </w:t>
            </w:r>
            <w:r>
              <w:rPr>
                <w:rFonts w:ascii="Arial" w:cs="Arial" w:eastAsia="Arial" w:hAnsi="Arial"/>
                <w:sz w:val="18"/>
                <w:szCs w:val="18"/>
                <w:color w:val="auto"/>
                <w:vertAlign w:val="superscript"/>
              </w:rPr>
              <w:t>(3)</w:t>
            </w:r>
          </w:p>
        </w:tc>
        <w:tc>
          <w:tcPr>
            <w:tcW w:w="1660" w:type="dxa"/>
            <w:vAlign w:val="bottom"/>
          </w:tcPr>
          <w:p>
            <w:pPr>
              <w:jc w:val="center"/>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8.1%</w:t>
            </w:r>
          </w:p>
        </w:tc>
      </w:tr>
      <w:tr>
        <w:trPr>
          <w:trHeight w:val="187"/>
        </w:trPr>
        <w:tc>
          <w:tcPr>
            <w:tcW w:w="7820" w:type="dxa"/>
            <w:vAlign w:val="bottom"/>
            <w:shd w:val="clear" w:color="auto" w:fill="CCEEFF"/>
          </w:tcPr>
          <w:p>
            <w:pPr>
              <w:spacing w:after="0" w:line="187" w:lineRule="exact"/>
              <w:rPr>
                <w:sz w:val="20"/>
                <w:szCs w:val="20"/>
                <w:color w:val="auto"/>
              </w:rPr>
            </w:pPr>
            <w:r>
              <w:rPr>
                <w:rFonts w:ascii="Arial" w:cs="Arial" w:eastAsia="Arial" w:hAnsi="Arial"/>
                <w:sz w:val="14"/>
                <w:szCs w:val="14"/>
                <w:color w:val="auto"/>
              </w:rPr>
              <w:t xml:space="preserve">Risk-free rate (per annum) </w:t>
            </w:r>
            <w:r>
              <w:rPr>
                <w:rFonts w:ascii="Arial" w:cs="Arial" w:eastAsia="Arial" w:hAnsi="Arial"/>
                <w:sz w:val="18"/>
                <w:szCs w:val="18"/>
                <w:color w:val="auto"/>
                <w:vertAlign w:val="superscript"/>
              </w:rPr>
              <w:t>(4)</w:t>
            </w: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r>
    </w:tbl>
    <w:p>
      <w:pPr>
        <w:spacing w:after="0" w:line="72"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540" w:hanging="206"/>
        <w:spacing w:after="0" w:line="262" w:lineRule="auto"/>
        <w:tabs>
          <w:tab w:leader="none" w:pos="233" w:val="left"/>
        </w:tabs>
        <w:numPr>
          <w:ilvl w:val="0"/>
          <w:numId w:val="110"/>
        </w:numPr>
        <w:rPr>
          <w:rFonts w:ascii="Arial" w:cs="Arial" w:eastAsia="Arial" w:hAnsi="Arial"/>
          <w:sz w:val="8"/>
          <w:szCs w:val="8"/>
          <w:color w:val="auto"/>
        </w:rPr>
      </w:pPr>
      <w:r>
        <w:rPr>
          <w:rFonts w:ascii="Arial" w:cs="Arial" w:eastAsia="Arial" w:hAnsi="Arial"/>
          <w:sz w:val="12"/>
          <w:szCs w:val="12"/>
          <w:color w:val="auto"/>
        </w:rPr>
        <w:t>Represents 10 million LTIP units granted to Marc Ganzi in connection with the Company's acquisition of Digital Bridge Holdings, LLC in July 2019, with vesting based upon achievement of the Company's class A common stock price closing at or above $10 over any 90 consecutive trading days prior to the fifth anniversary of the grant date.</w:t>
      </w:r>
    </w:p>
    <w:p>
      <w:pPr>
        <w:spacing w:after="0" w:line="26" w:lineRule="exact"/>
        <w:rPr>
          <w:rFonts w:ascii="Arial" w:cs="Arial" w:eastAsia="Arial" w:hAnsi="Arial"/>
          <w:sz w:val="8"/>
          <w:szCs w:val="8"/>
          <w:color w:val="auto"/>
        </w:rPr>
      </w:pPr>
    </w:p>
    <w:p>
      <w:pPr>
        <w:ind w:left="186" w:hanging="186"/>
        <w:spacing w:after="0"/>
        <w:tabs>
          <w:tab w:leader="none" w:pos="186" w:val="left"/>
        </w:tabs>
        <w:numPr>
          <w:ilvl w:val="0"/>
          <w:numId w:val="110"/>
        </w:numPr>
        <w:rPr>
          <w:rFonts w:ascii="Arial" w:cs="Arial" w:eastAsia="Arial" w:hAnsi="Arial"/>
          <w:sz w:val="8"/>
          <w:szCs w:val="8"/>
          <w:color w:val="auto"/>
        </w:rPr>
      </w:pPr>
      <w:r>
        <w:rPr>
          <w:rFonts w:ascii="Arial" w:cs="Arial" w:eastAsia="Arial" w:hAnsi="Arial"/>
          <w:sz w:val="12"/>
          <w:szCs w:val="12"/>
          <w:color w:val="auto"/>
        </w:rPr>
        <w:t>Based upon historical volatility of the Company's stock and those of a specified peer group.</w:t>
      </w:r>
    </w:p>
    <w:p>
      <w:pPr>
        <w:spacing w:after="0" w:line="49" w:lineRule="exact"/>
        <w:rPr>
          <w:rFonts w:ascii="Arial" w:cs="Arial" w:eastAsia="Arial" w:hAnsi="Arial"/>
          <w:sz w:val="8"/>
          <w:szCs w:val="8"/>
          <w:color w:val="auto"/>
        </w:rPr>
      </w:pPr>
    </w:p>
    <w:p>
      <w:pPr>
        <w:ind w:left="206" w:right="40" w:hanging="206"/>
        <w:spacing w:after="0" w:line="262" w:lineRule="auto"/>
        <w:tabs>
          <w:tab w:leader="none" w:pos="233" w:val="left"/>
        </w:tabs>
        <w:numPr>
          <w:ilvl w:val="0"/>
          <w:numId w:val="110"/>
        </w:numPr>
        <w:rPr>
          <w:rFonts w:ascii="Arial" w:cs="Arial" w:eastAsia="Arial" w:hAnsi="Arial"/>
          <w:sz w:val="8"/>
          <w:szCs w:val="8"/>
          <w:color w:val="auto"/>
        </w:rPr>
      </w:pPr>
      <w:r>
        <w:rPr>
          <w:rFonts w:ascii="Arial" w:cs="Arial" w:eastAsia="Arial" w:hAnsi="Arial"/>
          <w:sz w:val="12"/>
          <w:szCs w:val="12"/>
          <w:color w:val="auto"/>
        </w:rPr>
        <w:t>Based upon the Company's most recently issued dividend prior to grant date and closing price of the Company's class A common stock on grant date. Expected dividend yield is zero for the 2020 LTIP award as the Company suspended common dividends beginning with the second quarter of 2020.</w:t>
      </w:r>
    </w:p>
    <w:p>
      <w:pPr>
        <w:spacing w:after="0" w:line="26" w:lineRule="exact"/>
        <w:rPr>
          <w:rFonts w:ascii="Arial" w:cs="Arial" w:eastAsia="Arial" w:hAnsi="Arial"/>
          <w:sz w:val="8"/>
          <w:szCs w:val="8"/>
          <w:color w:val="auto"/>
        </w:rPr>
      </w:pPr>
    </w:p>
    <w:p>
      <w:pPr>
        <w:ind w:left="246" w:hanging="246"/>
        <w:spacing w:after="0"/>
        <w:tabs>
          <w:tab w:leader="none" w:pos="246" w:val="left"/>
        </w:tabs>
        <w:numPr>
          <w:ilvl w:val="0"/>
          <w:numId w:val="110"/>
        </w:numPr>
        <w:rPr>
          <w:rFonts w:ascii="Arial" w:cs="Arial" w:eastAsia="Arial" w:hAnsi="Arial"/>
          <w:sz w:val="8"/>
          <w:szCs w:val="8"/>
          <w:color w:val="auto"/>
        </w:rPr>
      </w:pPr>
      <w:r>
        <w:rPr>
          <w:rFonts w:ascii="Arial" w:cs="Arial" w:eastAsia="Arial" w:hAnsi="Arial"/>
          <w:sz w:val="12"/>
          <w:szCs w:val="12"/>
          <w:color w:val="auto"/>
        </w:rPr>
        <w:t>Based upon the continuously compounded zero-coupon US Treasury yield for the term coinciding with the measurement period of the award as of valuation date.</w:t>
      </w:r>
    </w:p>
    <w:p>
      <w:pPr>
        <w:spacing w:after="0" w:line="138" w:lineRule="exact"/>
        <w:rPr>
          <w:sz w:val="20"/>
          <w:szCs w:val="20"/>
          <w:color w:val="auto"/>
        </w:rPr>
      </w:pPr>
    </w:p>
    <w:p>
      <w:pPr>
        <w:ind w:left="6" w:right="60" w:firstLine="351"/>
        <w:spacing w:after="0" w:line="245" w:lineRule="auto"/>
        <w:rPr>
          <w:sz w:val="20"/>
          <w:szCs w:val="20"/>
          <w:color w:val="auto"/>
        </w:rPr>
      </w:pPr>
      <w:r>
        <w:rPr>
          <w:rFonts w:ascii="Arial" w:cs="Arial" w:eastAsia="Arial" w:hAnsi="Arial"/>
          <w:sz w:val="16"/>
          <w:szCs w:val="16"/>
          <w:color w:val="auto"/>
        </w:rPr>
        <w:t>Equity-based compensation cost on LTIP units is recognized on a straight-line basis either over (1) the service period for awards with a service condition only; or (2) the derived service period for awards with both a service condition and a market condition, irrespective of whether the market condition is satisfied. The derived service period is a service period that is inferred from the application of the simulation technique used in the valuation of the award, and represents the median of the terms in the simulation in which the market condition is satisfied.</w:t>
      </w:r>
    </w:p>
    <w:p>
      <w:pPr>
        <w:spacing w:after="0" w:line="200" w:lineRule="exact"/>
        <w:rPr>
          <w:sz w:val="20"/>
          <w:szCs w:val="20"/>
          <w:color w:val="auto"/>
        </w:rPr>
      </w:pPr>
    </w:p>
    <w:p>
      <w:pPr>
        <w:spacing w:after="0" w:line="21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64" w:name="page165"/>
    <w:bookmarkEnd w:id="164"/>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6" w:firstLine="351"/>
        <w:spacing w:after="0" w:line="291" w:lineRule="auto"/>
        <w:rPr>
          <w:sz w:val="20"/>
          <w:szCs w:val="20"/>
          <w:color w:val="auto"/>
        </w:rPr>
      </w:pPr>
      <w:r>
        <w:rPr>
          <w:rFonts w:ascii="Arial" w:cs="Arial" w:eastAsia="Arial" w:hAnsi="Arial"/>
          <w:sz w:val="14"/>
          <w:szCs w:val="14"/>
          <w:i w:val="1"/>
          <w:iCs w:val="1"/>
          <w:color w:val="auto"/>
        </w:rPr>
        <w:t>Deferred Stock Units</w:t>
      </w:r>
      <w:r>
        <w:rPr>
          <w:rFonts w:ascii="Arial" w:cs="Arial" w:eastAsia="Arial" w:hAnsi="Arial"/>
          <w:sz w:val="13"/>
          <w:szCs w:val="13"/>
          <w:color w:val="auto"/>
        </w:rPr>
        <w:t>—</w:t>
      </w:r>
      <w:r>
        <w:rPr>
          <w:rFonts w:ascii="Arial" w:cs="Arial" w:eastAsia="Arial" w:hAnsi="Arial"/>
          <w:sz w:val="14"/>
          <w:szCs w:val="14"/>
          <w:color w:val="auto"/>
        </w:rPr>
        <w:t>Certain non-employee directors may elect to defer the receipt of annual base fees and/or restricted stock awards, and in lieu, receive</w:t>
      </w:r>
      <w:r>
        <w:rPr>
          <w:rFonts w:ascii="Arial" w:cs="Arial" w:eastAsia="Arial" w:hAnsi="Arial"/>
          <w:sz w:val="14"/>
          <w:szCs w:val="14"/>
          <w:i w:val="1"/>
          <w:iCs w:val="1"/>
          <w:color w:val="auto"/>
        </w:rPr>
        <w:t xml:space="preserve"> </w:t>
      </w:r>
      <w:r>
        <w:rPr>
          <w:rFonts w:ascii="Arial" w:cs="Arial" w:eastAsia="Arial" w:hAnsi="Arial"/>
          <w:sz w:val="14"/>
          <w:szCs w:val="14"/>
          <w:color w:val="auto"/>
        </w:rPr>
        <w:t>awards of DSUs. DSUs awarded in lieu of annual base fees are fully vested on their grant date, while DSUs awarded in lieu of restricted stock awards vest one year from their grant date. DSUs are entitled to a dividend equivalent, in the form of additional DSUs based on dividends declared and paid on the Company's class A common stock, subject to the same restrictions and vesting conditions, where applicable. Upon separation of service from the Company, vested DSUs will be settled in shares of the Company’s class A common stock. Fair value of DSUs are determined based on the price of the Company's class A common stock on grant date and recognized immediately if fully vested upon grant, or on a straight-line basis over the vesting period as equity based compensation expense and equity.</w:t>
      </w:r>
    </w:p>
    <w:p>
      <w:pPr>
        <w:spacing w:after="0" w:line="61" w:lineRule="exact"/>
        <w:rPr>
          <w:sz w:val="20"/>
          <w:szCs w:val="20"/>
          <w:color w:val="auto"/>
        </w:rPr>
      </w:pPr>
    </w:p>
    <w:p>
      <w:pPr>
        <w:ind w:left="346"/>
        <w:spacing w:after="0"/>
        <w:rPr>
          <w:sz w:val="20"/>
          <w:szCs w:val="20"/>
          <w:color w:val="auto"/>
        </w:rPr>
      </w:pPr>
      <w:r>
        <w:rPr>
          <w:rFonts w:ascii="Arial" w:cs="Arial" w:eastAsia="Arial" w:hAnsi="Arial"/>
          <w:sz w:val="16"/>
          <w:szCs w:val="16"/>
          <w:color w:val="auto"/>
        </w:rPr>
        <w:t>Equity-based compensation expense, excluding amounts related to businesses presented as discontinued operations (Note 12), is as follows: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7"/>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7"/>
        </w:trPr>
        <w:tc>
          <w:tcPr>
            <w:tcW w:w="67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020" w:type="dxa"/>
            <w:vAlign w:val="bottom"/>
          </w:tcPr>
          <w:p>
            <w:pPr>
              <w:jc w:val="right"/>
              <w:ind w:right="498"/>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ind w:right="500"/>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598"/>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4"/>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Compensation expense (including $1,194, $568 and $345 related to dividend equivalent rights)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16,456</w:t>
            </w:r>
          </w:p>
        </w:tc>
      </w:tr>
    </w:tbl>
    <w:p>
      <w:pPr>
        <w:spacing w:after="0" w:line="186" w:lineRule="exact"/>
        <w:rPr>
          <w:sz w:val="20"/>
          <w:szCs w:val="20"/>
          <w:color w:val="auto"/>
        </w:rPr>
      </w:pPr>
    </w:p>
    <w:p>
      <w:pPr>
        <w:ind w:left="346"/>
        <w:spacing w:after="0"/>
        <w:rPr>
          <w:sz w:val="20"/>
          <w:szCs w:val="20"/>
          <w:color w:val="auto"/>
        </w:rPr>
      </w:pPr>
      <w:r>
        <w:rPr>
          <w:rFonts w:ascii="Arial" w:cs="Arial" w:eastAsia="Arial" w:hAnsi="Arial"/>
          <w:sz w:val="16"/>
          <w:szCs w:val="16"/>
          <w:color w:val="auto"/>
        </w:rPr>
        <w:t>Changes in the Company’s unvested equity awards are summarized below:</w:t>
      </w:r>
    </w:p>
    <w:p>
      <w:pPr>
        <w:spacing w:after="0" w:line="146"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tcPr>
          <w:p>
            <w:pPr>
              <w:jc w:val="center"/>
              <w:ind w:left="121"/>
              <w:spacing w:after="0"/>
              <w:rPr>
                <w:sz w:val="20"/>
                <w:szCs w:val="20"/>
                <w:color w:val="auto"/>
              </w:rPr>
            </w:pPr>
            <w:r>
              <w:rPr>
                <w:rFonts w:ascii="Arial" w:cs="Arial" w:eastAsia="Arial" w:hAnsi="Arial"/>
                <w:sz w:val="11"/>
                <w:szCs w:val="11"/>
                <w:b w:val="1"/>
                <w:bCs w:val="1"/>
                <w:color w:val="auto"/>
                <w:w w:val="97"/>
              </w:rPr>
              <w:t>Weighted Average</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1"/>
                <w:szCs w:val="11"/>
                <w:b w:val="1"/>
                <w:bCs w:val="1"/>
                <w:color w:val="auto"/>
                <w:w w:val="98"/>
              </w:rPr>
              <w:t>Grant Date Fair Value</w:t>
            </w: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Restricted Stock</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39"/>
              <w:spacing w:after="0" w:line="152" w:lineRule="exact"/>
              <w:rPr>
                <w:sz w:val="20"/>
                <w:szCs w:val="20"/>
                <w:color w:val="auto"/>
              </w:rPr>
            </w:pPr>
            <w:r>
              <w:rPr>
                <w:rFonts w:ascii="Arial" w:cs="Arial" w:eastAsia="Arial" w:hAnsi="Arial"/>
                <w:sz w:val="11"/>
                <w:szCs w:val="11"/>
                <w:b w:val="1"/>
                <w:bCs w:val="1"/>
                <w:color w:val="auto"/>
              </w:rPr>
              <w:t xml:space="preserve">LTIP Units </w:t>
            </w:r>
            <w:r>
              <w:rPr>
                <w:rFonts w:ascii="Arial" w:cs="Arial" w:eastAsia="Arial" w:hAnsi="Arial"/>
                <w:sz w:val="14"/>
                <w:szCs w:val="14"/>
                <w:b w:val="1"/>
                <w:bCs w:val="1"/>
                <w:color w:val="auto"/>
                <w:vertAlign w:val="superscript"/>
              </w:rPr>
              <w:t>(1)</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DSUs</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59"/>
              <w:spacing w:after="0" w:line="152" w:lineRule="exact"/>
              <w:rPr>
                <w:sz w:val="20"/>
                <w:szCs w:val="20"/>
                <w:color w:val="auto"/>
              </w:rPr>
            </w:pPr>
            <w:r>
              <w:rPr>
                <w:rFonts w:ascii="Arial" w:cs="Arial" w:eastAsia="Arial" w:hAnsi="Arial"/>
                <w:sz w:val="11"/>
                <w:szCs w:val="11"/>
                <w:b w:val="1"/>
                <w:bCs w:val="1"/>
                <w:color w:val="auto"/>
              </w:rPr>
              <w:t xml:space="preserve">RSUs </w:t>
            </w:r>
            <w:r>
              <w:rPr>
                <w:rFonts w:ascii="Arial" w:cs="Arial" w:eastAsia="Arial" w:hAnsi="Arial"/>
                <w:sz w:val="14"/>
                <w:szCs w:val="14"/>
                <w:b w:val="1"/>
                <w:bCs w:val="1"/>
                <w:color w:val="auto"/>
                <w:vertAlign w:val="superscript"/>
              </w:rPr>
              <w:t>(2)</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59"/>
              <w:spacing w:after="0" w:line="152" w:lineRule="exact"/>
              <w:rPr>
                <w:sz w:val="20"/>
                <w:szCs w:val="20"/>
                <w:color w:val="auto"/>
              </w:rPr>
            </w:pPr>
            <w:r>
              <w:rPr>
                <w:rFonts w:ascii="Arial" w:cs="Arial" w:eastAsia="Arial" w:hAnsi="Arial"/>
                <w:sz w:val="11"/>
                <w:szCs w:val="11"/>
                <w:b w:val="1"/>
                <w:bCs w:val="1"/>
                <w:color w:val="auto"/>
              </w:rPr>
              <w:t xml:space="preserve">PSUs </w:t>
            </w:r>
            <w:r>
              <w:rPr>
                <w:rFonts w:ascii="Arial" w:cs="Arial" w:eastAsia="Arial" w:hAnsi="Arial"/>
                <w:sz w:val="14"/>
                <w:szCs w:val="14"/>
                <w:b w:val="1"/>
                <w:bCs w:val="1"/>
                <w:color w:val="auto"/>
                <w:vertAlign w:val="superscript"/>
              </w:rPr>
              <w:t>(3)</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PSUs</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1"/>
                <w:szCs w:val="11"/>
                <w:b w:val="1"/>
                <w:bCs w:val="1"/>
                <w:color w:val="auto"/>
              </w:rPr>
              <w:t>All Other Awards</w:t>
            </w:r>
          </w:p>
        </w:tc>
        <w:tc>
          <w:tcPr>
            <w:tcW w:w="0" w:type="dxa"/>
            <w:vAlign w:val="bottom"/>
          </w:tcPr>
          <w:p>
            <w:pPr>
              <w:spacing w:after="0"/>
              <w:rPr>
                <w:sz w:val="1"/>
                <w:szCs w:val="1"/>
                <w:color w:val="auto"/>
              </w:rPr>
            </w:pPr>
          </w:p>
        </w:tc>
      </w:tr>
      <w:tr>
        <w:trPr>
          <w:trHeight w:val="113"/>
        </w:trPr>
        <w:tc>
          <w:tcPr>
            <w:tcW w:w="226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Unvested shares and units at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10,728,712</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11,845,018</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324,877</w:t>
            </w:r>
          </w:p>
        </w:tc>
        <w:tc>
          <w:tcPr>
            <w:tcW w:w="8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9,589,564</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9,935,891</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42,424,062</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2.78</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82"/>
              <w:spacing w:after="0"/>
              <w:rPr>
                <w:sz w:val="20"/>
                <w:szCs w:val="20"/>
                <w:color w:val="auto"/>
              </w:rPr>
            </w:pPr>
            <w:r>
              <w:rPr>
                <w:rFonts w:ascii="Arial" w:cs="Arial" w:eastAsia="Arial" w:hAnsi="Arial"/>
                <w:sz w:val="12"/>
                <w:szCs w:val="12"/>
                <w:color w:val="auto"/>
                <w:w w:val="8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December 31, 2020</w:t>
            </w: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60" w:type="dxa"/>
            <w:vAlign w:val="bottom"/>
          </w:tcPr>
          <w:p>
            <w:pPr>
              <w:ind w:left="140"/>
              <w:spacing w:after="0"/>
              <w:rPr>
                <w:sz w:val="20"/>
                <w:szCs w:val="20"/>
                <w:color w:val="auto"/>
              </w:rPr>
            </w:pPr>
            <w:r>
              <w:rPr>
                <w:rFonts w:ascii="Arial" w:cs="Arial" w:eastAsia="Arial" w:hAnsi="Arial"/>
                <w:sz w:val="12"/>
                <w:szCs w:val="12"/>
                <w:color w:val="auto"/>
              </w:rPr>
              <w:t>Granted</w:t>
            </w:r>
          </w:p>
        </w:tc>
        <w:tc>
          <w:tcPr>
            <w:tcW w:w="1040" w:type="dxa"/>
            <w:vAlign w:val="bottom"/>
          </w:tcPr>
          <w:p>
            <w:pPr>
              <w:jc w:val="right"/>
              <w:spacing w:after="0"/>
              <w:rPr>
                <w:sz w:val="20"/>
                <w:szCs w:val="20"/>
                <w:color w:val="auto"/>
              </w:rPr>
            </w:pPr>
            <w:r>
              <w:rPr>
                <w:rFonts w:ascii="Arial" w:cs="Arial" w:eastAsia="Arial" w:hAnsi="Arial"/>
                <w:sz w:val="12"/>
                <w:szCs w:val="12"/>
                <w:color w:val="auto"/>
              </w:rPr>
              <w:t>5,000,514</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152,395</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2,611,989</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7,764,898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8.18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6.79</w:t>
            </w:r>
          </w:p>
        </w:tc>
        <w:tc>
          <w:tcPr>
            <w:tcW w:w="0" w:type="dxa"/>
            <w:vAlign w:val="bottom"/>
          </w:tcPr>
          <w:p>
            <w:pPr>
              <w:spacing w:after="0"/>
              <w:rPr>
                <w:sz w:val="1"/>
                <w:szCs w:val="1"/>
                <w:color w:val="auto"/>
              </w:rPr>
            </w:pPr>
          </w:p>
        </w:tc>
      </w:tr>
      <w:tr>
        <w:trPr>
          <w:trHeight w:val="164"/>
        </w:trPr>
        <w:tc>
          <w:tcPr>
            <w:tcW w:w="2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(7,371,722)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(1,383,762)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(350,087)</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(1,175,333)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(10,280,904)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0" w:type="dxa"/>
            <w:vAlign w:val="bottom"/>
          </w:tcPr>
          <w:p>
            <w:pPr>
              <w:spacing w:after="0"/>
              <w:rPr>
                <w:sz w:val="1"/>
                <w:szCs w:val="1"/>
                <w:color w:val="auto"/>
              </w:rPr>
            </w:pPr>
          </w:p>
        </w:tc>
      </w:tr>
      <w:tr>
        <w:trPr>
          <w:trHeight w:val="164"/>
        </w:trPr>
        <w:tc>
          <w:tcPr>
            <w:tcW w:w="2260" w:type="dxa"/>
            <w:vAlign w:val="bottom"/>
          </w:tcPr>
          <w:p>
            <w:pPr>
              <w:ind w:left="140"/>
              <w:spacing w:after="0"/>
              <w:rPr>
                <w:sz w:val="20"/>
                <w:szCs w:val="20"/>
                <w:color w:val="auto"/>
              </w:rPr>
            </w:pPr>
            <w:r>
              <w:rPr>
                <w:rFonts w:ascii="Arial" w:cs="Arial" w:eastAsia="Arial" w:hAnsi="Arial"/>
                <w:sz w:val="12"/>
                <w:szCs w:val="12"/>
                <w:color w:val="auto"/>
              </w:rPr>
              <w:t>Forfeited</w:t>
            </w:r>
          </w:p>
        </w:tc>
        <w:tc>
          <w:tcPr>
            <w:tcW w:w="1040" w:type="dxa"/>
            <w:vAlign w:val="bottom"/>
          </w:tcPr>
          <w:p>
            <w:pPr>
              <w:jc w:val="right"/>
              <w:spacing w:after="0"/>
              <w:rPr>
                <w:sz w:val="20"/>
                <w:szCs w:val="20"/>
                <w:color w:val="auto"/>
              </w:rPr>
            </w:pPr>
            <w:r>
              <w:rPr>
                <w:rFonts w:ascii="Arial" w:cs="Arial" w:eastAsia="Arial" w:hAnsi="Arial"/>
                <w:sz w:val="12"/>
                <w:szCs w:val="12"/>
                <w:color w:val="auto"/>
              </w:rPr>
              <w:t>(167,241)</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(25,437)</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(885,151)</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(1,077,829)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4.92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13"/>
        </w:trPr>
        <w:tc>
          <w:tcPr>
            <w:tcW w:w="22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2"/>
                <w:szCs w:val="12"/>
                <w:color w:val="auto"/>
              </w:rPr>
              <w:t>Unvested shares and units at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8,190,263</w:t>
            </w: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10,461,256</w:t>
            </w: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101,748</w:t>
            </w:r>
          </w:p>
        </w:tc>
        <w:tc>
          <w:tcPr>
            <w:tcW w:w="8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9,589,564</w:t>
            </w: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10,487,396</w:t>
            </w: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38,830,227</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3.69</w:t>
            </w: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145"/>
        </w:trPr>
        <w:tc>
          <w:tcPr>
            <w:tcW w:w="2260" w:type="dxa"/>
            <w:vAlign w:val="bottom"/>
            <w:tcBorders>
              <w:bottom w:val="single" w:sz="8" w:color="CCEEFF"/>
            </w:tcBorders>
            <w:shd w:val="clear" w:color="auto" w:fill="CCEEFF"/>
          </w:tcPr>
          <w:p>
            <w:pPr>
              <w:ind w:left="80"/>
              <w:spacing w:after="0" w:line="125" w:lineRule="exact"/>
              <w:rPr>
                <w:sz w:val="20"/>
                <w:szCs w:val="20"/>
                <w:color w:val="auto"/>
              </w:rPr>
            </w:pPr>
            <w:r>
              <w:rPr>
                <w:rFonts w:ascii="Arial" w:cs="Arial" w:eastAsia="Arial" w:hAnsi="Arial"/>
                <w:sz w:val="12"/>
                <w:szCs w:val="12"/>
                <w:color w:val="auto"/>
              </w:rPr>
              <w:t>December 31, 2021</w:t>
            </w: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186" w:hanging="186"/>
        <w:spacing w:after="0"/>
        <w:tabs>
          <w:tab w:leader="none" w:pos="186" w:val="left"/>
        </w:tabs>
        <w:numPr>
          <w:ilvl w:val="0"/>
          <w:numId w:val="111"/>
        </w:numPr>
        <w:rPr>
          <w:rFonts w:ascii="Arial" w:cs="Arial" w:eastAsia="Arial" w:hAnsi="Arial"/>
          <w:sz w:val="16"/>
          <w:szCs w:val="16"/>
          <w:color w:val="auto"/>
          <w:vertAlign w:val="superscript"/>
        </w:rPr>
      </w:pPr>
      <w:r>
        <w:rPr>
          <w:rFonts w:ascii="Arial" w:cs="Arial" w:eastAsia="Arial" w:hAnsi="Arial"/>
          <w:sz w:val="12"/>
          <w:szCs w:val="12"/>
          <w:color w:val="auto"/>
        </w:rPr>
        <w:t>Represents the number of LTIP units granted subject to vesting upon achievement of market condition. LTIP units that do not meet the market condition within the measurement period will be forfeited.</w:t>
      </w:r>
    </w:p>
    <w:p>
      <w:pPr>
        <w:spacing w:after="0" w:line="38" w:lineRule="exact"/>
        <w:rPr>
          <w:rFonts w:ascii="Arial" w:cs="Arial" w:eastAsia="Arial" w:hAnsi="Arial"/>
          <w:sz w:val="16"/>
          <w:szCs w:val="16"/>
          <w:color w:val="auto"/>
          <w:vertAlign w:val="superscript"/>
        </w:rPr>
      </w:pPr>
    </w:p>
    <w:p>
      <w:pPr>
        <w:ind w:left="206" w:right="60" w:hanging="206"/>
        <w:spacing w:after="0" w:line="215" w:lineRule="auto"/>
        <w:tabs>
          <w:tab w:leader="none" w:pos="185" w:val="left"/>
        </w:tabs>
        <w:numPr>
          <w:ilvl w:val="0"/>
          <w:numId w:val="111"/>
        </w:numPr>
        <w:rPr>
          <w:rFonts w:ascii="Arial" w:cs="Arial" w:eastAsia="Arial" w:hAnsi="Arial"/>
          <w:sz w:val="16"/>
          <w:szCs w:val="16"/>
          <w:color w:val="auto"/>
          <w:vertAlign w:val="superscript"/>
        </w:rPr>
      </w:pPr>
      <w:r>
        <w:rPr>
          <w:rFonts w:ascii="Arial" w:cs="Arial" w:eastAsia="Arial" w:hAnsi="Arial"/>
          <w:sz w:val="12"/>
          <w:szCs w:val="12"/>
          <w:color w:val="auto"/>
        </w:rPr>
        <w:t>Represents the number of RSUs granted subject to vesting upon achievement of performance condition. RSUs that do not meet the performance condition at the end of the measurement period will be forfeited.</w:t>
      </w:r>
    </w:p>
    <w:p>
      <w:pPr>
        <w:spacing w:after="0" w:line="38" w:lineRule="exact"/>
        <w:rPr>
          <w:rFonts w:ascii="Arial" w:cs="Arial" w:eastAsia="Arial" w:hAnsi="Arial"/>
          <w:sz w:val="16"/>
          <w:szCs w:val="16"/>
          <w:color w:val="auto"/>
          <w:vertAlign w:val="superscript"/>
        </w:rPr>
      </w:pPr>
    </w:p>
    <w:p>
      <w:pPr>
        <w:ind w:left="206" w:right="100" w:hanging="206"/>
        <w:spacing w:after="0" w:line="215" w:lineRule="auto"/>
        <w:tabs>
          <w:tab w:leader="none" w:pos="185" w:val="left"/>
        </w:tabs>
        <w:numPr>
          <w:ilvl w:val="0"/>
          <w:numId w:val="111"/>
        </w:numPr>
        <w:rPr>
          <w:rFonts w:ascii="Arial" w:cs="Arial" w:eastAsia="Arial" w:hAnsi="Arial"/>
          <w:sz w:val="16"/>
          <w:szCs w:val="16"/>
          <w:color w:val="auto"/>
          <w:vertAlign w:val="superscript"/>
        </w:rPr>
      </w:pPr>
      <w:r>
        <w:rPr>
          <w:rFonts w:ascii="Arial" w:cs="Arial" w:eastAsia="Arial" w:hAnsi="Arial"/>
          <w:sz w:val="12"/>
          <w:szCs w:val="12"/>
          <w:color w:val="auto"/>
        </w:rPr>
        <w:t>Number of PSUs granted does not reflect potential increases or decreases that could result from the final outcome of the total shareholder return measured at the end of the performance period. PSUs for which the total shareholder return was not met at the end of the performance period are forfeited.</w:t>
      </w:r>
    </w:p>
    <w:p>
      <w:pPr>
        <w:spacing w:after="0" w:line="128" w:lineRule="exact"/>
        <w:rPr>
          <w:sz w:val="20"/>
          <w:szCs w:val="20"/>
          <w:color w:val="auto"/>
        </w:rPr>
      </w:pPr>
    </w:p>
    <w:p>
      <w:pPr>
        <w:ind w:left="6" w:right="120" w:firstLine="386"/>
        <w:spacing w:after="0" w:line="248" w:lineRule="auto"/>
        <w:rPr>
          <w:sz w:val="20"/>
          <w:szCs w:val="20"/>
          <w:color w:val="auto"/>
        </w:rPr>
      </w:pPr>
      <w:r>
        <w:rPr>
          <w:rFonts w:ascii="Arial" w:cs="Arial" w:eastAsia="Arial" w:hAnsi="Arial"/>
          <w:sz w:val="16"/>
          <w:szCs w:val="16"/>
          <w:color w:val="auto"/>
        </w:rPr>
        <w:t>Fair value of equity awards that vested, determined based upon their respective fair values at vesting date, was $68.3 million, $17.9 million and $14.7 million for the years ended December 31, 2021, 2020 and 2019, respectively.</w:t>
      </w:r>
    </w:p>
    <w:p>
      <w:pPr>
        <w:spacing w:after="0" w:line="88" w:lineRule="exact"/>
        <w:rPr>
          <w:sz w:val="20"/>
          <w:szCs w:val="20"/>
          <w:color w:val="auto"/>
        </w:rPr>
      </w:pPr>
    </w:p>
    <w:p>
      <w:pPr>
        <w:ind w:left="6" w:firstLine="386"/>
        <w:spacing w:after="0" w:line="248" w:lineRule="auto"/>
        <w:rPr>
          <w:sz w:val="20"/>
          <w:szCs w:val="20"/>
          <w:color w:val="auto"/>
        </w:rPr>
      </w:pPr>
      <w:r>
        <w:rPr>
          <w:rFonts w:ascii="Arial" w:cs="Arial" w:eastAsia="Arial" w:hAnsi="Arial"/>
          <w:sz w:val="16"/>
          <w:szCs w:val="16"/>
          <w:color w:val="auto"/>
        </w:rPr>
        <w:t>At December 31, 2021, aggregate unrecognized compensation cost for all unvested equity awards was $60.9 million, which is expected to be recognized over a weighted average period of 2.1 years.</w:t>
      </w:r>
    </w:p>
    <w:p>
      <w:pPr>
        <w:spacing w:after="0" w:line="116"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Awards Granted by Managed Companies</w:t>
      </w:r>
    </w:p>
    <w:p>
      <w:pPr>
        <w:spacing w:after="0" w:line="115" w:lineRule="exact"/>
        <w:rPr>
          <w:sz w:val="20"/>
          <w:szCs w:val="20"/>
          <w:color w:val="auto"/>
        </w:rPr>
      </w:pPr>
    </w:p>
    <w:p>
      <w:pPr>
        <w:ind w:left="6" w:right="180" w:firstLine="386"/>
        <w:spacing w:after="0" w:line="244" w:lineRule="auto"/>
        <w:rPr>
          <w:sz w:val="20"/>
          <w:szCs w:val="20"/>
          <w:color w:val="auto"/>
        </w:rPr>
      </w:pPr>
      <w:r>
        <w:rPr>
          <w:rFonts w:ascii="Arial" w:cs="Arial" w:eastAsia="Arial" w:hAnsi="Arial"/>
          <w:sz w:val="16"/>
          <w:szCs w:val="16"/>
          <w:color w:val="auto"/>
        </w:rPr>
        <w:t>Prior to the termination of the Company’s management agreements with BRSP on April 30, 2021 and with the Company's sponsored non-traded REIT, NorthStar Realty Europe ("NRE"), concurrent with the sale of NRE in September 2019, BRSP and NRE granted equity awards to the Company and certain of the Company's employees ("managed company awards") that typically vest over a three-year period, subject to service and/or market conditions. Generally, the Company granted the managed company awards that it received in its capacity as manager to its employees with substantially the same terms and service requirements. Such grants were made at the discretion of the Company, and the Company may consult with the board of directors or compensation committee of BRSP or NRE as to final allocation of awards to its employees.</w:t>
      </w:r>
    </w:p>
    <w:p>
      <w:pPr>
        <w:spacing w:after="0" w:line="94" w:lineRule="exact"/>
        <w:rPr>
          <w:sz w:val="20"/>
          <w:szCs w:val="20"/>
          <w:color w:val="auto"/>
        </w:rPr>
      </w:pPr>
    </w:p>
    <w:p>
      <w:pPr>
        <w:ind w:left="6" w:right="120" w:firstLine="386"/>
        <w:spacing w:after="0" w:line="246" w:lineRule="auto"/>
        <w:rPr>
          <w:sz w:val="20"/>
          <w:szCs w:val="20"/>
          <w:color w:val="auto"/>
        </w:rPr>
      </w:pPr>
      <w:r>
        <w:rPr>
          <w:rFonts w:ascii="Arial" w:cs="Arial" w:eastAsia="Arial" w:hAnsi="Arial"/>
          <w:sz w:val="16"/>
          <w:szCs w:val="16"/>
          <w:color w:val="auto"/>
        </w:rPr>
        <w:t>Managed company awards granted to the Company, pending grant by the Company to its employees, are recognized based upon their fair value at grant date as other assets and other liabilities on the consolidated balance sheet. The deferred revenue liability is amortized into other income as the awards vest to the Company.</w:t>
      </w:r>
    </w:p>
    <w:p>
      <w:pPr>
        <w:spacing w:after="0" w:line="89" w:lineRule="exact"/>
        <w:rPr>
          <w:sz w:val="20"/>
          <w:szCs w:val="20"/>
          <w:color w:val="auto"/>
        </w:rPr>
      </w:pPr>
    </w:p>
    <w:p>
      <w:pPr>
        <w:ind w:left="6" w:right="120" w:firstLine="386"/>
        <w:spacing w:after="0" w:line="246" w:lineRule="auto"/>
        <w:rPr>
          <w:sz w:val="20"/>
          <w:szCs w:val="20"/>
          <w:color w:val="auto"/>
        </w:rPr>
      </w:pPr>
      <w:r>
        <w:rPr>
          <w:rFonts w:ascii="Arial" w:cs="Arial" w:eastAsia="Arial" w:hAnsi="Arial"/>
          <w:sz w:val="16"/>
          <w:szCs w:val="16"/>
          <w:color w:val="auto"/>
        </w:rPr>
        <w:t>Managed company awards granted to employees, either directly or through the Company, are recorded as other asset and other liability, and amortized on a straight-line basis as equity-based compensation expense and as other income, respectively, as the awards vest to the employees. The other asset and other liability associated with managed</w:t>
      </w:r>
    </w:p>
    <w:p>
      <w:pPr>
        <w:spacing w:after="0" w:line="200" w:lineRule="exact"/>
        <w:rPr>
          <w:sz w:val="20"/>
          <w:szCs w:val="20"/>
          <w:color w:val="auto"/>
        </w:rPr>
      </w:pP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65" w:name="page166"/>
    <w:bookmarkEnd w:id="1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company awards granted to employees are subject to adjustment to fair value at each reporting period, with changes reflected in equity-based compensation and other income, respectively.</w:t>
      </w:r>
    </w:p>
    <w:p>
      <w:pPr>
        <w:spacing w:after="0" w:line="88" w:lineRule="exact"/>
        <w:rPr>
          <w:sz w:val="20"/>
          <w:szCs w:val="20"/>
          <w:color w:val="auto"/>
        </w:rPr>
      </w:pPr>
    </w:p>
    <w:p>
      <w:pPr>
        <w:ind w:right="40" w:firstLine="386"/>
        <w:spacing w:after="0" w:line="245" w:lineRule="auto"/>
        <w:rPr>
          <w:sz w:val="20"/>
          <w:szCs w:val="20"/>
          <w:color w:val="auto"/>
        </w:rPr>
      </w:pPr>
      <w:r>
        <w:rPr>
          <w:rFonts w:ascii="Arial" w:cs="Arial" w:eastAsia="Arial" w:hAnsi="Arial"/>
          <w:sz w:val="16"/>
          <w:szCs w:val="16"/>
          <w:color w:val="auto"/>
        </w:rPr>
        <w:t>The BRSP and NRE equity awards granted by the Company to its employees fully vested and accelerated upon termination of the respective management contracts in April 2021 and September 2019, respectively. Equity-based compensation expense related to managed company awards was $5.3 million, $2.1 million and $32.3 million for the years ended December 31, 2021, 2020 and 2019, respectively, with corresponding amounts recognized in other income, all of which are reflected in discontinued operations (Note 12).</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Transactions with Affiliates</w:t>
      </w:r>
    </w:p>
    <w:p>
      <w:pPr>
        <w:spacing w:after="0" w:line="115" w:lineRule="exact"/>
        <w:rPr>
          <w:sz w:val="20"/>
          <w:szCs w:val="20"/>
          <w:color w:val="auto"/>
        </w:rPr>
      </w:pPr>
    </w:p>
    <w:p>
      <w:pPr>
        <w:ind w:right="380" w:firstLine="386"/>
        <w:spacing w:after="0" w:line="246" w:lineRule="auto"/>
        <w:rPr>
          <w:sz w:val="20"/>
          <w:szCs w:val="20"/>
          <w:color w:val="auto"/>
        </w:rPr>
      </w:pPr>
      <w:r>
        <w:rPr>
          <w:rFonts w:ascii="Arial" w:cs="Arial" w:eastAsia="Arial" w:hAnsi="Arial"/>
          <w:sz w:val="16"/>
          <w:szCs w:val="16"/>
          <w:color w:val="auto"/>
        </w:rPr>
        <w:t>Affiliates include (i) private funds and other investment vehicles that the Company manages or sponsors, and in which the Company may have an equity interest or co-invests with; (ii) the Company's investments in unconsolidated ventures; and (iii) directors, senior executives and employees of the Company (collectively, "employees").</w:t>
      </w:r>
    </w:p>
    <w:p>
      <w:pPr>
        <w:spacing w:after="0" w:line="89" w:lineRule="exact"/>
        <w:rPr>
          <w:sz w:val="20"/>
          <w:szCs w:val="20"/>
          <w:color w:val="auto"/>
        </w:rPr>
      </w:pPr>
    </w:p>
    <w:p>
      <w:pPr>
        <w:jc w:val="both"/>
        <w:ind w:right="280" w:firstLine="351"/>
        <w:spacing w:after="0" w:line="248" w:lineRule="auto"/>
        <w:rPr>
          <w:sz w:val="20"/>
          <w:szCs w:val="20"/>
          <w:color w:val="auto"/>
        </w:rPr>
      </w:pPr>
      <w:r>
        <w:rPr>
          <w:rFonts w:ascii="Arial" w:cs="Arial" w:eastAsia="Arial" w:hAnsi="Arial"/>
          <w:sz w:val="16"/>
          <w:szCs w:val="16"/>
          <w:color w:val="auto"/>
        </w:rPr>
        <w:t>Amounts due from and due to affiliates consist of the following, excluding amounts related to discontinued operations that are presented as assets held for disposition (Note 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0"/>
                <w:szCs w:val="10"/>
                <w:color w:val="auto"/>
              </w:rPr>
            </w:pPr>
          </w:p>
        </w:tc>
        <w:tc>
          <w:tcPr>
            <w:tcW w:w="1380" w:type="dxa"/>
            <w:vAlign w:val="bottom"/>
          </w:tcPr>
          <w:p>
            <w:pPr>
              <w:jc w:val="right"/>
              <w:ind w:right="232"/>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2"/>
        </w:trPr>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Due from Affiliates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5"/>
        </w:trPr>
        <w:tc>
          <w:tcPr>
            <w:tcW w:w="8000" w:type="dxa"/>
            <w:vAlign w:val="bottom"/>
            <w:gridSpan w:val="2"/>
          </w:tcPr>
          <w:p>
            <w:pPr>
              <w:ind w:left="80"/>
              <w:spacing w:after="0"/>
              <w:rPr>
                <w:sz w:val="20"/>
                <w:szCs w:val="20"/>
                <w:color w:val="auto"/>
              </w:rPr>
            </w:pPr>
            <w:r>
              <w:rPr>
                <w:rFonts w:ascii="Arial" w:cs="Arial" w:eastAsia="Arial" w:hAnsi="Arial"/>
                <w:sz w:val="14"/>
                <w:szCs w:val="14"/>
                <w:color w:val="auto"/>
              </w:rPr>
              <w:t>Investment vehicles, portfolio companies and unconsolidated ventures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Fee income</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41,859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17,141</w:t>
            </w:r>
          </w:p>
        </w:tc>
      </w:tr>
      <w:tr>
        <w:trPr>
          <w:trHeight w:val="185"/>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Cost reimbursements and recoverable expenses</w:t>
            </w:r>
          </w:p>
        </w:tc>
        <w:tc>
          <w:tcPr>
            <w:tcW w:w="2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7,317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5,545</w:t>
            </w:r>
          </w:p>
        </w:tc>
      </w:tr>
      <w:tr>
        <w:trPr>
          <w:trHeight w:val="187"/>
        </w:trPr>
        <w:tc>
          <w:tcPr>
            <w:tcW w:w="8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Employees and other affiliates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541</w:t>
            </w:r>
          </w:p>
        </w:tc>
      </w:tr>
      <w:tr>
        <w:trPr>
          <w:trHeight w:val="179"/>
        </w:trPr>
        <w:tc>
          <w:tcPr>
            <w:tcW w:w="7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49,230</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23,227</w:t>
            </w: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3"/>
        </w:trPr>
        <w:tc>
          <w:tcPr>
            <w:tcW w:w="80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 xml:space="preserve">Due to Affiliates </w:t>
            </w:r>
            <w:r>
              <w:rPr>
                <w:rFonts w:ascii="Arial" w:cs="Arial" w:eastAsia="Arial" w:hAnsi="Arial"/>
                <w:sz w:val="14"/>
                <w:szCs w:val="14"/>
                <w:color w:val="auto"/>
              </w:rPr>
              <w:t>(Note 7)</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85"/>
        </w:trPr>
        <w:tc>
          <w:tcPr>
            <w:tcW w:w="8000" w:type="dxa"/>
            <w:vAlign w:val="bottom"/>
            <w:gridSpan w:val="2"/>
          </w:tcPr>
          <w:p>
            <w:pPr>
              <w:ind w:left="80"/>
              <w:spacing w:after="0"/>
              <w:rPr>
                <w:sz w:val="20"/>
                <w:szCs w:val="20"/>
                <w:color w:val="auto"/>
              </w:rPr>
            </w:pPr>
            <w:r>
              <w:rPr>
                <w:rFonts w:ascii="Arial" w:cs="Arial" w:eastAsia="Arial" w:hAnsi="Arial"/>
                <w:sz w:val="14"/>
                <w:szCs w:val="14"/>
                <w:color w:val="auto"/>
              </w:rPr>
              <w:t>Employees and other affiliates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601</w:t>
            </w:r>
          </w:p>
        </w:tc>
      </w:tr>
      <w:tr>
        <w:trPr>
          <w:trHeight w:val="20"/>
        </w:trPr>
        <w:tc>
          <w:tcPr>
            <w:tcW w:w="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Significant transactions with affiliates include the following:</w:t>
      </w:r>
    </w:p>
    <w:p>
      <w:pPr>
        <w:spacing w:after="0" w:line="8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6"/>
          <w:szCs w:val="16"/>
          <w:i w:val="1"/>
          <w:iCs w:val="1"/>
          <w:color w:val="auto"/>
        </w:rPr>
        <w:t>Fee Income</w:t>
      </w:r>
      <w:r>
        <w:rPr>
          <w:rFonts w:ascii="Arial" w:cs="Arial" w:eastAsia="Arial" w:hAnsi="Arial"/>
          <w:sz w:val="16"/>
          <w:szCs w:val="16"/>
          <w:color w:val="auto"/>
        </w:rPr>
        <w:t>—Fee income earned from investment vehicles that the Company manages and/or sponsors, and may have an equity interest or co-investment,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are presented in Note 16, except for amounts included within discontinued operations (Note 12) and assets held for disposition (Note 11).</w:t>
      </w:r>
    </w:p>
    <w:p>
      <w:pPr>
        <w:spacing w:after="0" w:line="5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6"/>
          <w:szCs w:val="16"/>
          <w:i w:val="1"/>
          <w:iCs w:val="1"/>
          <w:color w:val="auto"/>
        </w:rPr>
        <w:t>Cost Reimbursements—</w:t>
      </w:r>
      <w:r>
        <w:rPr>
          <w:rFonts w:ascii="Arial" w:cs="Arial" w:eastAsia="Arial" w:hAnsi="Arial"/>
          <w:sz w:val="16"/>
          <w:szCs w:val="16"/>
          <w:color w:val="auto"/>
        </w:rPr>
        <w:t>The Company receives reimbursements related largely to costs incurred in performing investment due diligence for funds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vehicles managed by the Company.</w:t>
      </w:r>
    </w:p>
    <w:p>
      <w:pPr>
        <w:spacing w:after="0" w:line="73" w:lineRule="exact"/>
        <w:rPr>
          <w:sz w:val="20"/>
          <w:szCs w:val="20"/>
          <w:color w:val="auto"/>
        </w:rPr>
      </w:pPr>
    </w:p>
    <w:p>
      <w:pPr>
        <w:ind w:right="100" w:firstLine="421"/>
        <w:spacing w:after="0" w:line="248" w:lineRule="auto"/>
        <w:rPr>
          <w:sz w:val="20"/>
          <w:szCs w:val="20"/>
          <w:color w:val="auto"/>
        </w:rPr>
      </w:pPr>
      <w:r>
        <w:rPr>
          <w:rFonts w:ascii="Arial" w:cs="Arial" w:eastAsia="Arial" w:hAnsi="Arial"/>
          <w:sz w:val="16"/>
          <w:szCs w:val="16"/>
          <w:color w:val="auto"/>
        </w:rPr>
        <w:t>Such cost reimbursements, included in other income, totaled $10.2 million, $8.8 million and $13.2 million for the years ended December 31, 2021, 2020 and 2019, respectively.</w:t>
      </w:r>
    </w:p>
    <w:p>
      <w:pPr>
        <w:spacing w:after="0" w:line="88" w:lineRule="exact"/>
        <w:rPr>
          <w:sz w:val="20"/>
          <w:szCs w:val="20"/>
          <w:color w:val="auto"/>
        </w:rPr>
      </w:pPr>
    </w:p>
    <w:p>
      <w:pPr>
        <w:jc w:val="both"/>
        <w:ind w:right="280" w:firstLine="421"/>
        <w:spacing w:after="0" w:line="246" w:lineRule="auto"/>
        <w:rPr>
          <w:sz w:val="20"/>
          <w:szCs w:val="20"/>
          <w:color w:val="auto"/>
        </w:rPr>
      </w:pPr>
      <w:r>
        <w:rPr>
          <w:rFonts w:ascii="Arial" w:cs="Arial" w:eastAsia="Arial" w:hAnsi="Arial"/>
          <w:sz w:val="16"/>
          <w:szCs w:val="16"/>
          <w:color w:val="auto"/>
        </w:rPr>
        <w:t>Separately, reimbursements of direct and indirect operating costs for managing the operations of NorthStar Healthcare, BRSP prior to April 30, 2021 and NRE prior to September 2019 are reflected in other income within discontinued operations (Note 12) and related receivables are reflected as amounts due from affiliates within assets held for disposition (Note 11).</w:t>
      </w:r>
    </w:p>
    <w:p>
      <w:pPr>
        <w:spacing w:after="0" w:line="73" w:lineRule="exact"/>
        <w:rPr>
          <w:sz w:val="20"/>
          <w:szCs w:val="20"/>
          <w:color w:val="auto"/>
        </w:rPr>
      </w:pPr>
    </w:p>
    <w:p>
      <w:pPr>
        <w:ind w:right="680" w:firstLine="351"/>
        <w:spacing w:after="0" w:line="268" w:lineRule="auto"/>
        <w:rPr>
          <w:sz w:val="20"/>
          <w:szCs w:val="20"/>
          <w:color w:val="auto"/>
        </w:rPr>
      </w:pPr>
      <w:r>
        <w:rPr>
          <w:rFonts w:ascii="Arial" w:cs="Arial" w:eastAsia="Arial" w:hAnsi="Arial"/>
          <w:sz w:val="16"/>
          <w:szCs w:val="16"/>
          <w:i w:val="1"/>
          <w:iCs w:val="1"/>
          <w:color w:val="auto"/>
        </w:rPr>
        <w:t>Recoverable Expenses—</w:t>
      </w:r>
      <w:r>
        <w:rPr>
          <w:rFonts w:ascii="Arial" w:cs="Arial" w:eastAsia="Arial" w:hAnsi="Arial"/>
          <w:sz w:val="16"/>
          <w:szCs w:val="16"/>
          <w:color w:val="auto"/>
        </w:rPr>
        <w:t>The Company pays organization and offering costs associated with the formation and capital raising of investment vehicles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by the Company, for which the Company recovers from these investment vehicles up to specified thresholds, as applicable.</w:t>
      </w:r>
    </w:p>
    <w:p>
      <w:pPr>
        <w:spacing w:after="0" w:line="57" w:lineRule="exact"/>
        <w:rPr>
          <w:sz w:val="20"/>
          <w:szCs w:val="20"/>
          <w:color w:val="auto"/>
        </w:rPr>
      </w:pPr>
    </w:p>
    <w:p>
      <w:pPr>
        <w:ind w:firstLine="351"/>
        <w:spacing w:after="0" w:line="252" w:lineRule="auto"/>
        <w:rPr>
          <w:sz w:val="20"/>
          <w:szCs w:val="20"/>
          <w:color w:val="auto"/>
        </w:rPr>
      </w:pPr>
      <w:r>
        <w:rPr>
          <w:rFonts w:ascii="Arial" w:cs="Arial" w:eastAsia="Arial" w:hAnsi="Arial"/>
          <w:sz w:val="16"/>
          <w:szCs w:val="16"/>
          <w:i w:val="1"/>
          <w:iCs w:val="1"/>
          <w:color w:val="auto"/>
        </w:rPr>
        <w:t>NorthStar Healthcare Credit Facility—</w:t>
      </w:r>
      <w:r>
        <w:rPr>
          <w:rFonts w:ascii="Arial" w:cs="Arial" w:eastAsia="Arial" w:hAnsi="Arial"/>
          <w:sz w:val="16"/>
          <w:szCs w:val="16"/>
          <w:color w:val="auto"/>
        </w:rPr>
        <w:t>The Company provided NorthStar Healthcare with an unsecured revolving credit facility at market terms with a maximum</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$35.0 million, maturing June 2023, with a six-month extension option. Advances under the credit facility accrue interest at LIBOR plus 3.5%, with no commitment fee for the unused portion. The credit facility was fully drawn in April 2020, reflected within amounts due from affiliates included in assets held for disposition at December 31, 2020 (Note 11), and was fully repaid in July 2021.</w:t>
      </w:r>
    </w:p>
    <w:p>
      <w:pPr>
        <w:spacing w:after="0" w:line="69" w:lineRule="exact"/>
        <w:rPr>
          <w:sz w:val="20"/>
          <w:szCs w:val="20"/>
          <w:color w:val="auto"/>
        </w:rPr>
      </w:pPr>
    </w:p>
    <w:p>
      <w:pPr>
        <w:ind w:right="80" w:firstLine="351"/>
        <w:spacing w:after="0" w:line="249" w:lineRule="auto"/>
        <w:rPr>
          <w:sz w:val="20"/>
          <w:szCs w:val="20"/>
          <w:color w:val="auto"/>
        </w:rPr>
      </w:pPr>
      <w:r>
        <w:rPr>
          <w:rFonts w:ascii="Arial" w:cs="Arial" w:eastAsia="Arial" w:hAnsi="Arial"/>
          <w:sz w:val="16"/>
          <w:szCs w:val="16"/>
          <w:i w:val="1"/>
          <w:iCs w:val="1"/>
          <w:color w:val="auto"/>
        </w:rPr>
        <w:t>Digital Real Estate Acquisitions—</w:t>
      </w:r>
      <w:r>
        <w:rPr>
          <w:rFonts w:ascii="Arial" w:cs="Arial" w:eastAsia="Arial" w:hAnsi="Arial"/>
          <w:sz w:val="16"/>
          <w:szCs w:val="16"/>
          <w:color w:val="auto"/>
        </w:rPr>
        <w:t>In connection with acquisition of Vantage SDC in July 2020 (Note 3), the Company entered into a series of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Marc Ganzi and Ben Jenkins and their respective affiliates, pursuant to which Messrs. Ganzi and Jenkins invested $8.7 million and $2.1 million, respectively, in Vantage SDC alongside the Company and the co-investors on the same economic terms. Such amounts invested represented 40% of carried interest payments received by each of Messrs. Ganzi and Jenkins in connection with the Vantage SDC acquisition as a result of their respective personal investments in Vantage made prior to the Company’s acquisition of DBH. Payments to be made by the Company and its co-investors to the previous owners of Vantage SDC for future build-out of expansion capacity within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6" w:name="page167"/>
    <w:bookmarkEnd w:id="1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portfolio, including lease-up of the expanded capacity and existing inventory, will trigger additional carried interest payments to Messrs. Ganzi and Jenkins.</w:t>
      </w:r>
    </w:p>
    <w:p>
      <w:pPr>
        <w:spacing w:after="0" w:line="97" w:lineRule="exact"/>
        <w:rPr>
          <w:sz w:val="20"/>
          <w:szCs w:val="20"/>
          <w:color w:val="auto"/>
        </w:rPr>
      </w:pPr>
    </w:p>
    <w:p>
      <w:pPr>
        <w:ind w:firstLine="351"/>
        <w:spacing w:after="0" w:line="244" w:lineRule="auto"/>
        <w:rPr>
          <w:sz w:val="20"/>
          <w:szCs w:val="20"/>
          <w:color w:val="auto"/>
        </w:rPr>
      </w:pPr>
      <w:r>
        <w:rPr>
          <w:rFonts w:ascii="Arial" w:cs="Arial" w:eastAsia="Arial" w:hAnsi="Arial"/>
          <w:sz w:val="16"/>
          <w:szCs w:val="16"/>
          <w:color w:val="auto"/>
        </w:rPr>
        <w:t>In connection with the acquisition of third party interests in DataBank in December 2019 (Note 3), Messrs. Ganzi and Jenkins entered into voting agreements with the Company, which provided the Company with majority voting power over DataBank's board of directors. Additionally, in exchange for incentive units owned by Messrs. Ganzi and Jenkins allocable to the DataBank stake acquired by the Company, the Company issued OP Units with a value of $3 million, which are subject to a multi-year lockup. The value represents consideration paid to Messrs. Ganzi and Jenkins by the Company for such incentive units in connection with its investment in DataBank, which was in addition to the cash consideration paid to third parties by the Company for its acquired interests in DataBank. The net effect is that the Company will not be subject to future carried interest payments to Messrs. Ganzi and Jenkins with respect to the interests in DataBank acquired by the Company in December 2019.</w:t>
      </w:r>
    </w:p>
    <w:p>
      <w:pPr>
        <w:spacing w:after="0" w:line="94" w:lineRule="exact"/>
        <w:rPr>
          <w:sz w:val="20"/>
          <w:szCs w:val="20"/>
          <w:color w:val="auto"/>
        </w:rPr>
      </w:pPr>
    </w:p>
    <w:p>
      <w:pPr>
        <w:ind w:right="40" w:firstLine="351"/>
        <w:spacing w:after="0" w:line="236" w:lineRule="auto"/>
        <w:rPr>
          <w:sz w:val="20"/>
          <w:szCs w:val="20"/>
          <w:color w:val="auto"/>
        </w:rPr>
      </w:pPr>
      <w:r>
        <w:rPr>
          <w:rFonts w:ascii="Arial" w:cs="Arial" w:eastAsia="Arial" w:hAnsi="Arial"/>
          <w:sz w:val="16"/>
          <w:szCs w:val="16"/>
          <w:color w:val="auto"/>
        </w:rPr>
        <w:t>Separately, DataBank acquired all of zColo's colocation business in December 2020 and February 2021 from Zayo, which is a portfolio company of DBP I and other co-invest vehicles sponsored and managed by the Company.</w:t>
      </w:r>
    </w:p>
    <w:p>
      <w:pPr>
        <w:spacing w:after="0" w:line="83" w:lineRule="exact"/>
        <w:rPr>
          <w:sz w:val="20"/>
          <w:szCs w:val="20"/>
          <w:color w:val="auto"/>
        </w:rPr>
      </w:pPr>
    </w:p>
    <w:p>
      <w:pPr>
        <w:ind w:right="140" w:firstLine="351"/>
        <w:spacing w:after="0" w:line="233" w:lineRule="auto"/>
        <w:rPr>
          <w:sz w:val="20"/>
          <w:szCs w:val="20"/>
          <w:color w:val="auto"/>
        </w:rPr>
      </w:pPr>
      <w:r>
        <w:rPr>
          <w:rFonts w:ascii="Arial" w:cs="Arial" w:eastAsia="Arial" w:hAnsi="Arial"/>
          <w:sz w:val="16"/>
          <w:szCs w:val="16"/>
          <w:color w:val="auto"/>
        </w:rPr>
        <w:t>In the aforementioned transactions, t</w:t>
      </w:r>
      <w:r>
        <w:rPr>
          <w:rFonts w:ascii="Arial" w:cs="Arial" w:eastAsia="Arial" w:hAnsi="Arial"/>
          <w:sz w:val="16"/>
          <w:szCs w:val="16"/>
          <w:color w:val="010202"/>
        </w:rPr>
        <w:t>he Company took a series of steps to mitigate conflicts</w:t>
      </w:r>
      <w:r>
        <w:rPr>
          <w:rFonts w:ascii="Arial" w:cs="Arial" w:eastAsia="Arial" w:hAnsi="Arial"/>
          <w:sz w:val="16"/>
          <w:szCs w:val="16"/>
          <w:color w:val="auto"/>
        </w:rPr>
        <w:t xml:space="preserve"> in the transactions, including receiving fairness opinions on the purchase price from a nationally recognized third party valuation firm. Additionally, the transactions, specifically the related party aspects of the transactions, were subject to the approval of either the Company's board of directors or the audit committee of the board of directors.</w:t>
      </w:r>
    </w:p>
    <w:p>
      <w:pPr>
        <w:spacing w:after="0" w:line="68"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i w:val="1"/>
          <w:iCs w:val="1"/>
          <w:color w:val="auto"/>
        </w:rPr>
        <w:t>Carried Interest Allocation from Sponsored Investment Vehicles</w:t>
      </w:r>
      <w:r>
        <w:rPr>
          <w:rFonts w:ascii="Arial" w:cs="Arial" w:eastAsia="Arial" w:hAnsi="Arial"/>
          <w:sz w:val="16"/>
          <w:szCs w:val="16"/>
          <w:color w:val="auto"/>
        </w:rPr>
        <w:t>—With respect to investment vehicles sponsored by the Company for which Messrs. Ganzi</w:t>
      </w:r>
      <w:r>
        <w:rPr>
          <w:rFonts w:ascii="Arial" w:cs="Arial" w:eastAsia="Arial" w:hAnsi="Arial"/>
          <w:sz w:val="16"/>
          <w:szCs w:val="16"/>
          <w:i w:val="1"/>
          <w:iCs w:val="1"/>
          <w:color w:val="auto"/>
        </w:rPr>
        <w:t xml:space="preserve"> </w:t>
      </w:r>
      <w:r>
        <w:rPr>
          <w:rFonts w:ascii="Arial" w:cs="Arial" w:eastAsia="Arial" w:hAnsi="Arial"/>
          <w:sz w:val="16"/>
          <w:szCs w:val="16"/>
          <w:color w:val="auto"/>
        </w:rPr>
        <w:t>and Jenkins are invested in their capacity as former owners of DBH, and not in their capacity as employees of the Company, any carried interest allocation attributed to such investments by Messrs. Ganzi and Jenkins as general partner do not represent compensatory arrangements to the Company. Such carried interest allocation to Messrs. Ganzi and Jenkins that are unrealized or realized but unpaid are included in noncontrolling interests on the balance sheet of $20.8 million at December 31, 2021 and $3.2 million at December 31, 2020. Carried interest allocated during the period are recorded as net income attributable to noncontrolling interests in the income statement totaling $17.6 million and $3.2 million for the years ended December 31, 2021 and 2020, respectively. There was no carried interest that accrued on Company-sponsored digital investment vehicles in 2019.</w:t>
      </w:r>
    </w:p>
    <w:p>
      <w:pPr>
        <w:spacing w:after="0" w:line="72" w:lineRule="exact"/>
        <w:rPr>
          <w:sz w:val="20"/>
          <w:szCs w:val="20"/>
          <w:color w:val="auto"/>
        </w:rPr>
      </w:pPr>
    </w:p>
    <w:p>
      <w:pPr>
        <w:ind w:firstLine="351"/>
        <w:spacing w:after="0" w:line="249" w:lineRule="auto"/>
        <w:rPr>
          <w:sz w:val="20"/>
          <w:szCs w:val="20"/>
          <w:color w:val="auto"/>
        </w:rPr>
      </w:pPr>
      <w:r>
        <w:rPr>
          <w:rFonts w:ascii="Arial" w:cs="Arial" w:eastAsia="Arial" w:hAnsi="Arial"/>
          <w:sz w:val="16"/>
          <w:szCs w:val="16"/>
          <w:i w:val="1"/>
          <w:iCs w:val="1"/>
          <w:color w:val="auto"/>
        </w:rPr>
        <w:t>Investment in Managed Investment Vehicles</w:t>
      </w:r>
      <w:r>
        <w:rPr>
          <w:rFonts w:ascii="Arial" w:cs="Arial" w:eastAsia="Arial" w:hAnsi="Arial"/>
          <w:sz w:val="16"/>
          <w:szCs w:val="16"/>
          <w:color w:val="auto"/>
        </w:rPr>
        <w:t>—Subject to the Company's related party policies and procedures, senior management, investment professionals</w:t>
      </w:r>
      <w:r>
        <w:rPr>
          <w:rFonts w:ascii="Arial" w:cs="Arial" w:eastAsia="Arial" w:hAnsi="Arial"/>
          <w:sz w:val="16"/>
          <w:szCs w:val="16"/>
          <w:i w:val="1"/>
          <w:iCs w:val="1"/>
          <w:color w:val="auto"/>
        </w:rPr>
        <w:t xml:space="preserve"> </w:t>
      </w:r>
      <w:r>
        <w:rPr>
          <w:rFonts w:ascii="Arial" w:cs="Arial" w:eastAsia="Arial" w:hAnsi="Arial"/>
          <w:sz w:val="16"/>
          <w:szCs w:val="16"/>
          <w:color w:val="auto"/>
        </w:rPr>
        <w:t>and certain other employees may invest on a discretionary basis in investment vehicles sponsored by the Company, either directly in the vehicle or indirectly through the general partner entity. These investments are generally not subject to management fees, but otherwise bear their proportionate share of other operating expenses of the investment vehicles. At December 31, 2021 and 2020, such investments in consolidated investment vehicles and general partner entities totaled $19.5 million and $10.2 million, respectively, reflected in redeemable noncontrolling interests and noncontrolling interests on the balance sheet. Their share of net income was $2.1 million, $0.8 million and $2.5 million for the years ended December 31, 2021, 2020 and 2019, respectively.</w:t>
      </w:r>
    </w:p>
    <w:p>
      <w:pPr>
        <w:spacing w:after="0" w:line="71" w:lineRule="exact"/>
        <w:rPr>
          <w:sz w:val="20"/>
          <w:szCs w:val="20"/>
          <w:color w:val="auto"/>
        </w:rPr>
      </w:pPr>
    </w:p>
    <w:p>
      <w:pPr>
        <w:ind w:firstLine="351"/>
        <w:spacing w:after="0" w:line="247" w:lineRule="auto"/>
        <w:rPr>
          <w:sz w:val="20"/>
          <w:szCs w:val="20"/>
          <w:color w:val="auto"/>
        </w:rPr>
      </w:pPr>
      <w:r>
        <w:rPr>
          <w:rFonts w:ascii="Arial" w:cs="Arial" w:eastAsia="Arial" w:hAnsi="Arial"/>
          <w:sz w:val="16"/>
          <w:szCs w:val="16"/>
          <w:i w:val="1"/>
          <w:iCs w:val="1"/>
          <w:color w:val="auto"/>
        </w:rPr>
        <w:t>Aircraft—</w:t>
      </w:r>
      <w:r>
        <w:rPr>
          <w:rFonts w:ascii="Arial" w:cs="Arial" w:eastAsia="Arial" w:hAnsi="Arial"/>
          <w:sz w:val="16"/>
          <w:szCs w:val="16"/>
          <w:color w:val="auto"/>
        </w:rPr>
        <w:t>Pursuant to Mr. Ganzi’s employment agreement, as amended, the Company has agreed to reimburse Mr. Ganzi for certain variable operational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travel on a chartered or private jet (including any aircraft that Mr. Ganzi may partially or fully own), provided that the Company will not reimburse the allocable share (based on the number of passengers) of variable operational costs for any passenger on such flight who is not traveling on Company business. Additionally, the Company has also agreed to reimburse Mr. Ganzi for certain defined fixed costs of any aircraft owned by Mr. Ganzi. The fixed cost reimbursements will be made based on an allocable portion of an aircraft’s annual budgeted fixed cash operating costs, based on the number of hours the aircraft will be used for business purposes. At least once a year, the Company will reconcile the budgeted fixed operating costs with the actual fixed operating costs of the aircraft, and the Company or Mr. Ganzi, as applicable, will make a payment for any difference. The Company reimbursed Mr. Ganzi $3.0 million, $1.8 million and $0.3 million for the years ended December 31, 2021, 2020 and 2019, respectively.</w:t>
      </w:r>
    </w:p>
    <w:p>
      <w:pPr>
        <w:spacing w:after="0" w:line="92" w:lineRule="exact"/>
        <w:rPr>
          <w:sz w:val="20"/>
          <w:szCs w:val="20"/>
          <w:color w:val="auto"/>
        </w:rPr>
      </w:pPr>
    </w:p>
    <w:p>
      <w:pPr>
        <w:ind w:right="20" w:firstLine="351"/>
        <w:spacing w:after="0" w:line="231" w:lineRule="auto"/>
        <w:rPr>
          <w:sz w:val="20"/>
          <w:szCs w:val="20"/>
          <w:color w:val="auto"/>
        </w:rPr>
      </w:pPr>
      <w:r>
        <w:rPr>
          <w:rFonts w:ascii="Arial" w:cs="Arial" w:eastAsia="Arial" w:hAnsi="Arial"/>
          <w:sz w:val="16"/>
          <w:szCs w:val="16"/>
          <w:color w:val="auto"/>
        </w:rPr>
        <w:t>Separately, prior to the sale of the Company's aircraft in January 2021, Thomas J. Barrack, Jr., the Company's former Executive Chairman, was provided use of the Company’s aircraft for personal travel. Pursuant to an agreement with a subsidiary of the Company, Mr. Barrack paid the Company for personal usage based upon the incremental cost to the Company, including direct and indirect variable costs, but in no case more than the maximum reimbursement permitted by the Federal Aviation Regulations under the agreement. Mr. Barrack reimbursed the Company $0.7 million and $1.4 million for the years ended December 31, 2020 and 2019, respectively.</w:t>
      </w:r>
    </w:p>
    <w:p>
      <w:pPr>
        <w:spacing w:after="0" w:line="57" w:lineRule="exact"/>
        <w:rPr>
          <w:sz w:val="20"/>
          <w:szCs w:val="20"/>
          <w:color w:val="auto"/>
        </w:rPr>
      </w:pPr>
    </w:p>
    <w:p>
      <w:pPr>
        <w:ind w:right="40" w:firstLine="351"/>
        <w:spacing w:after="0" w:line="275" w:lineRule="auto"/>
        <w:rPr>
          <w:sz w:val="20"/>
          <w:szCs w:val="20"/>
          <w:color w:val="auto"/>
        </w:rPr>
      </w:pPr>
      <w:r>
        <w:rPr>
          <w:rFonts w:ascii="Arial" w:cs="Arial" w:eastAsia="Arial" w:hAnsi="Arial"/>
          <w:sz w:val="14"/>
          <w:szCs w:val="14"/>
          <w:i w:val="1"/>
          <w:iCs w:val="1"/>
          <w:color w:val="auto"/>
        </w:rPr>
        <w:t>Investment Venture—</w:t>
      </w:r>
      <w:r>
        <w:rPr>
          <w:rFonts w:ascii="Arial" w:cs="Arial" w:eastAsia="Arial" w:hAnsi="Arial"/>
          <w:sz w:val="14"/>
          <w:szCs w:val="14"/>
          <w:color w:val="auto"/>
        </w:rPr>
        <w:t>Pursuant to an investment agreement entered into between a subsidiary of the Company and Mr. Barrack effective April 1, 2021,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invested $26.0 million in Mr. Barrack's newly formed investment entity (the “Venture”), which entitles the Company to a portion of carried interest payable to Mr. Barrack from the Venture. Following subsequent events which significantly reduced the likelihood that fundraising by the Venture will sufficiently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7" w:name="page168"/>
    <w:bookmarkEnd w:id="1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support its value, the Company determined that its investment would likely not be recoverable and wrote off its investment as of June 30, 2021.</w:t>
      </w:r>
    </w:p>
    <w:p>
      <w:pPr>
        <w:spacing w:after="0" w:line="57" w:lineRule="exact"/>
        <w:rPr>
          <w:sz w:val="20"/>
          <w:szCs w:val="20"/>
          <w:color w:val="auto"/>
        </w:rPr>
      </w:pPr>
    </w:p>
    <w:p>
      <w:pPr>
        <w:ind w:right="320" w:firstLine="351"/>
        <w:spacing w:after="0" w:line="220" w:lineRule="auto"/>
        <w:rPr>
          <w:sz w:val="20"/>
          <w:szCs w:val="20"/>
          <w:color w:val="auto"/>
        </w:rPr>
      </w:pPr>
      <w:r>
        <w:rPr>
          <w:rFonts w:ascii="Arial" w:cs="Arial" w:eastAsia="Arial" w:hAnsi="Arial"/>
          <w:sz w:val="16"/>
          <w:szCs w:val="16"/>
          <w:i w:val="1"/>
          <w:iCs w:val="1"/>
          <w:color w:val="auto"/>
        </w:rPr>
        <w:t>Advancement of Expenses—</w:t>
      </w:r>
      <w:r>
        <w:rPr>
          <w:rFonts w:ascii="Arial" w:cs="Arial" w:eastAsia="Arial" w:hAnsi="Arial"/>
          <w:sz w:val="16"/>
          <w:szCs w:val="16"/>
          <w:color w:val="auto"/>
        </w:rPr>
        <w:t>Effective April 1, 2021, Mr. Barrack stepped down as Executive Chairman of the Company and in July 2021, resigned as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the Company's Board of Directors. In October 2021, the Company entered into an Agreement Regarding Advancement of Certain Expenses ("Advancement Agreement") with Mr. Barrack, which is generally consistent with the Company’s obligations and Mr. Barrack’s rights regarding advancement of expenses under the terms of a January 2017 Indemnification Agreement between the Company and Mr. Barrack, and under the Company’s Bylaws. The Advancement Agreement (a) memorializes the parties’ disagreement as to the Company’s obligations and Mr. Barrack’s rights under the earlier Indemnification Agreement and the Bylaws, and (b) obligates Mr. Barrack to reimburse the Company for such advanced expenses under certain circumstances. Through December 31, 2021, the Company has expensed $5.6 million of such advances pursuant to the Advancement Agreement.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Income Taxes</w:t>
      </w:r>
    </w:p>
    <w:p>
      <w:pPr>
        <w:spacing w:after="0" w:line="115" w:lineRule="exact"/>
        <w:rPr>
          <w:sz w:val="20"/>
          <w:szCs w:val="20"/>
          <w:color w:val="auto"/>
        </w:rPr>
      </w:pPr>
    </w:p>
    <w:p>
      <w:pPr>
        <w:ind w:right="80" w:firstLine="386"/>
        <w:spacing w:after="0" w:line="248" w:lineRule="auto"/>
        <w:rPr>
          <w:sz w:val="20"/>
          <w:szCs w:val="20"/>
          <w:color w:val="auto"/>
        </w:rPr>
      </w:pPr>
      <w:r>
        <w:rPr>
          <w:rFonts w:ascii="Arial" w:cs="Arial" w:eastAsia="Arial" w:hAnsi="Arial"/>
          <w:sz w:val="16"/>
          <w:szCs w:val="16"/>
          <w:color w:val="auto"/>
        </w:rPr>
        <w:t>The Company is subject to income tax laws of the various jurisdictions in which it operates, including U.S. federal, state and local and to a lesser extent, non-U.S. jurisdictions, primarily in Europe. The Company's current primary source of income subject to tax is its investment management business.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 Benefit (Expense)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current and deferred tax benefit (expense), excluding amounts related to discontinued operations (Note 12),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7"/>
        </w:trPr>
        <w:tc>
          <w:tcPr>
            <w:tcW w:w="63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0"/>
                <w:szCs w:val="10"/>
                <w:color w:val="auto"/>
              </w:rPr>
            </w:pPr>
          </w:p>
        </w:tc>
        <w:tc>
          <w:tcPr>
            <w:tcW w:w="1200" w:type="dxa"/>
            <w:vAlign w:val="bottom"/>
          </w:tcPr>
          <w:p>
            <w:pPr>
              <w:jc w:val="right"/>
              <w:ind w:right="591"/>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right"/>
              <w:ind w:right="593"/>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591"/>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2"/>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Federal</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(3,019)</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(1,860)</w:t>
            </w: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State and local</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185"/>
        </w:trPr>
        <w:tc>
          <w:tcPr>
            <w:tcW w:w="6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1"/>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tax benefit (expense)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w:t>
            </w:r>
          </w:p>
        </w:tc>
      </w:tr>
      <w:tr>
        <w:trPr>
          <w:trHeight w:val="166"/>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Deferred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8"/>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41,603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w:t>
            </w:r>
          </w:p>
        </w:tc>
      </w:tr>
      <w:tr>
        <w:trPr>
          <w:trHeight w:val="185"/>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State and local</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8,910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2,168</w:t>
            </w:r>
          </w:p>
        </w:tc>
      </w:tr>
      <w:tr>
        <w:trPr>
          <w:trHeight w:val="189"/>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deferred tax benefit</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97,550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50,513</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13,216</w:t>
            </w:r>
          </w:p>
        </w:tc>
      </w:tr>
      <w:tr>
        <w:trPr>
          <w:trHeight w:val="204"/>
        </w:trPr>
        <w:tc>
          <w:tcPr>
            <w:tcW w:w="6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Income tax benefit on continuing operations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47,063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10,615</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no income tax benefits recognized for uncertain tax positions.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8" w:name="page169"/>
    <w:bookmarkEnd w:id="168"/>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Deferred Income Tax Asset and Liability</w:t>
      </w:r>
    </w:p>
    <w:p>
      <w:pPr>
        <w:spacing w:after="0" w:line="11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Deferred tax asset and deferred tax liability are presented within other assets, and accrued and other liabilities, respectively.</w:t>
      </w:r>
    </w:p>
    <w:p>
      <w:pPr>
        <w:spacing w:after="0" w:line="97" w:lineRule="exact"/>
        <w:rPr>
          <w:sz w:val="20"/>
          <w:szCs w:val="20"/>
          <w:color w:val="auto"/>
        </w:rPr>
      </w:pPr>
    </w:p>
    <w:p>
      <w:pPr>
        <w:ind w:left="6" w:right="20" w:firstLine="351"/>
        <w:spacing w:after="0" w:line="248" w:lineRule="auto"/>
        <w:rPr>
          <w:sz w:val="20"/>
          <w:szCs w:val="20"/>
          <w:color w:val="auto"/>
        </w:rPr>
      </w:pPr>
      <w:r>
        <w:rPr>
          <w:rFonts w:ascii="Arial" w:cs="Arial" w:eastAsia="Arial" w:hAnsi="Arial"/>
          <w:sz w:val="16"/>
          <w:szCs w:val="16"/>
          <w:color w:val="auto"/>
        </w:rPr>
        <w:t>The components of deferred tax asset and deferred tax liability arising from temporary differences are as follows, excluding amounts in connection with assets held for disposition.</w:t>
      </w:r>
    </w:p>
    <w:p>
      <w:pPr>
        <w:spacing w:after="0" w:line="55"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776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20" w:type="dxa"/>
            <w:vAlign w:val="bottom"/>
          </w:tcPr>
          <w:p>
            <w:pPr>
              <w:spacing w:after="0"/>
              <w:rPr>
                <w:sz w:val="10"/>
                <w:szCs w:val="10"/>
                <w:color w:val="auto"/>
              </w:rPr>
            </w:pP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 2021</w:t>
            </w:r>
          </w:p>
        </w:tc>
        <w:tc>
          <w:tcPr>
            <w:tcW w:w="220" w:type="dxa"/>
            <w:vAlign w:val="bottom"/>
          </w:tcPr>
          <w:p>
            <w:pPr>
              <w:spacing w:after="0"/>
              <w:rPr>
                <w:sz w:val="10"/>
                <w:szCs w:val="10"/>
                <w:color w:val="auto"/>
              </w:rPr>
            </w:pPr>
          </w:p>
        </w:tc>
        <w:tc>
          <w:tcPr>
            <w:tcW w:w="1460" w:type="dxa"/>
            <w:vAlign w:val="bottom"/>
          </w:tcPr>
          <w:p>
            <w:pPr>
              <w:jc w:val="right"/>
              <w:ind w:right="271"/>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2"/>
        </w:trPr>
        <w:tc>
          <w:tcPr>
            <w:tcW w:w="7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Deferred tax asset</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7"/>
        </w:trPr>
        <w:tc>
          <w:tcPr>
            <w:tcW w:w="7760" w:type="dxa"/>
            <w:vAlign w:val="bottom"/>
            <w:gridSpan w:val="2"/>
          </w:tcPr>
          <w:p>
            <w:pPr>
              <w:ind w:left="120"/>
              <w:spacing w:after="0" w:line="187" w:lineRule="exact"/>
              <w:rPr>
                <w:sz w:val="20"/>
                <w:szCs w:val="20"/>
                <w:color w:val="auto"/>
              </w:rPr>
            </w:pPr>
            <w:r>
              <w:rPr>
                <w:rFonts w:ascii="Arial" w:cs="Arial" w:eastAsia="Arial" w:hAnsi="Arial"/>
                <w:sz w:val="14"/>
                <w:szCs w:val="14"/>
                <w:color w:val="auto"/>
              </w:rPr>
              <w:t xml:space="preserve">Net operating and capital loss carry forwards </w:t>
            </w:r>
            <w:r>
              <w:rPr>
                <w:rFonts w:ascii="Arial" w:cs="Arial" w:eastAsia="Arial" w:hAnsi="Arial"/>
                <w:sz w:val="18"/>
                <w:szCs w:val="18"/>
                <w:color w:val="auto"/>
                <w:vertAlign w:val="superscript"/>
              </w:rPr>
              <w:t>(1)</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21,552</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36,325</w:t>
            </w:r>
          </w:p>
        </w:tc>
      </w:tr>
      <w:tr>
        <w:trPr>
          <w:trHeight w:val="187"/>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Equity-based compensation</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11,486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12,909</w:t>
            </w:r>
          </w:p>
        </w:tc>
      </w:tr>
      <w:tr>
        <w:trPr>
          <w:trHeight w:val="185"/>
        </w:trPr>
        <w:tc>
          <w:tcPr>
            <w:tcW w:w="7760" w:type="dxa"/>
            <w:vAlign w:val="bottom"/>
            <w:gridSpan w:val="2"/>
          </w:tcPr>
          <w:p>
            <w:pPr>
              <w:ind w:left="120"/>
              <w:spacing w:after="0"/>
              <w:rPr>
                <w:sz w:val="20"/>
                <w:szCs w:val="20"/>
                <w:color w:val="auto"/>
              </w:rPr>
            </w:pPr>
            <w:r>
              <w:rPr>
                <w:rFonts w:ascii="Arial" w:cs="Arial" w:eastAsia="Arial" w:hAnsi="Arial"/>
                <w:sz w:val="14"/>
                <w:szCs w:val="14"/>
                <w:color w:val="auto"/>
              </w:rPr>
              <w:t>Real estate, leases and related intangible liabilities</w:t>
            </w:r>
          </w:p>
        </w:tc>
        <w:tc>
          <w:tcPr>
            <w:tcW w:w="220" w:type="dxa"/>
            <w:vAlign w:val="bottom"/>
          </w:tcPr>
          <w:p>
            <w:pPr>
              <w:spacing w:after="0"/>
              <w:rPr>
                <w:sz w:val="16"/>
                <w:szCs w:val="16"/>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14,853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Deferred income</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r>
      <w:tr>
        <w:trPr>
          <w:trHeight w:val="185"/>
        </w:trPr>
        <w:tc>
          <w:tcPr>
            <w:tcW w:w="7760" w:type="dxa"/>
            <w:vAlign w:val="bottom"/>
            <w:gridSpan w:val="2"/>
          </w:tcPr>
          <w:p>
            <w:pPr>
              <w:ind w:left="120"/>
              <w:spacing w:after="0"/>
              <w:rPr>
                <w:sz w:val="20"/>
                <w:szCs w:val="20"/>
                <w:color w:val="auto"/>
              </w:rPr>
            </w:pPr>
            <w:r>
              <w:rPr>
                <w:rFonts w:ascii="Arial" w:cs="Arial" w:eastAsia="Arial" w:hAnsi="Arial"/>
                <w:sz w:val="14"/>
                <w:szCs w:val="14"/>
                <w:color w:val="auto"/>
              </w:rPr>
              <w:t>Deferred interest expense</w:t>
            </w:r>
          </w:p>
        </w:tc>
        <w:tc>
          <w:tcPr>
            <w:tcW w:w="220" w:type="dxa"/>
            <w:vAlign w:val="bottom"/>
          </w:tcPr>
          <w:p>
            <w:pPr>
              <w:spacing w:after="0"/>
              <w:rPr>
                <w:sz w:val="16"/>
                <w:szCs w:val="16"/>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1,799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11,503</w:t>
            </w:r>
          </w:p>
        </w:tc>
      </w:tr>
      <w:tr>
        <w:trPr>
          <w:trHeight w:val="18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Lease liability—corporate offices</w:t>
            </w: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19,295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25,069</w:t>
            </w:r>
          </w:p>
        </w:tc>
      </w:tr>
      <w:tr>
        <w:trPr>
          <w:trHeight w:val="176"/>
        </w:trPr>
        <w:tc>
          <w:tcPr>
            <w:tcW w:w="7760" w:type="dxa"/>
            <w:vAlign w:val="bottom"/>
            <w:gridSpan w:val="2"/>
          </w:tcPr>
          <w:p>
            <w:pPr>
              <w:ind w:left="280"/>
              <w:spacing w:after="0"/>
              <w:rPr>
                <w:sz w:val="20"/>
                <w:szCs w:val="20"/>
                <w:color w:val="auto"/>
              </w:rPr>
            </w:pPr>
            <w:r>
              <w:rPr>
                <w:rFonts w:ascii="Arial" w:cs="Arial" w:eastAsia="Arial" w:hAnsi="Arial"/>
                <w:sz w:val="14"/>
                <w:szCs w:val="14"/>
                <w:color w:val="auto"/>
              </w:rPr>
              <w:t>Gross deferred tax asset</w:t>
            </w:r>
          </w:p>
        </w:tc>
        <w:tc>
          <w:tcPr>
            <w:tcW w:w="22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69,520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86,927</w:t>
            </w:r>
          </w:p>
        </w:tc>
      </w:tr>
      <w:tr>
        <w:trPr>
          <w:trHeight w:val="189"/>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Valuation allowance</w:t>
            </w: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(12,766)</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w:t>
            </w:r>
          </w:p>
        </w:tc>
      </w:tr>
      <w:tr>
        <w:trPr>
          <w:trHeight w:val="176"/>
        </w:trPr>
        <w:tc>
          <w:tcPr>
            <w:tcW w:w="77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Deferred tax asset, net of valuation allowance</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56,754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85,075</w:t>
            </w:r>
          </w:p>
        </w:tc>
      </w:tr>
      <w:tr>
        <w:trPr>
          <w:trHeight w:val="169"/>
        </w:trPr>
        <w:tc>
          <w:tcPr>
            <w:tcW w:w="7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Deferred tax liability</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5"/>
        </w:trPr>
        <w:tc>
          <w:tcPr>
            <w:tcW w:w="7760" w:type="dxa"/>
            <w:vAlign w:val="bottom"/>
            <w:gridSpan w:val="2"/>
          </w:tcPr>
          <w:p>
            <w:pPr>
              <w:ind w:left="120"/>
              <w:spacing w:after="0"/>
              <w:rPr>
                <w:sz w:val="20"/>
                <w:szCs w:val="20"/>
                <w:color w:val="auto"/>
              </w:rPr>
            </w:pPr>
            <w:r>
              <w:rPr>
                <w:rFonts w:ascii="Arial" w:cs="Arial" w:eastAsia="Arial" w:hAnsi="Arial"/>
                <w:sz w:val="14"/>
                <w:szCs w:val="14"/>
                <w:color w:val="auto"/>
              </w:rPr>
              <w:t>Real estate, leases and related intangible assets</w:t>
            </w:r>
          </w:p>
        </w:tc>
        <w:tc>
          <w:tcPr>
            <w:tcW w:w="2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105,997</w:t>
            </w:r>
          </w:p>
        </w:tc>
      </w:tr>
      <w:tr>
        <w:trPr>
          <w:trHeight w:val="18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 in partnerships</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22,399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r>
      <w:tr>
        <w:trPr>
          <w:trHeight w:val="185"/>
        </w:trPr>
        <w:tc>
          <w:tcPr>
            <w:tcW w:w="7760" w:type="dxa"/>
            <w:vAlign w:val="bottom"/>
            <w:gridSpan w:val="2"/>
          </w:tcPr>
          <w:p>
            <w:pPr>
              <w:ind w:left="120"/>
              <w:spacing w:after="0"/>
              <w:rPr>
                <w:sz w:val="20"/>
                <w:szCs w:val="20"/>
                <w:color w:val="auto"/>
              </w:rPr>
            </w:pPr>
            <w:r>
              <w:rPr>
                <w:rFonts w:ascii="Arial" w:cs="Arial" w:eastAsia="Arial" w:hAnsi="Arial"/>
                <w:sz w:val="14"/>
                <w:szCs w:val="14"/>
                <w:color w:val="auto"/>
              </w:rPr>
              <w:t>Other intangible assets</w:t>
            </w:r>
          </w:p>
        </w:tc>
        <w:tc>
          <w:tcPr>
            <w:tcW w:w="220" w:type="dxa"/>
            <w:vAlign w:val="bottom"/>
          </w:tcPr>
          <w:p>
            <w:pPr>
              <w:spacing w:after="0"/>
              <w:rPr>
                <w:sz w:val="16"/>
                <w:szCs w:val="16"/>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5,528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17,727</w:t>
            </w:r>
          </w:p>
        </w:tc>
      </w:tr>
      <w:tr>
        <w:trPr>
          <w:trHeight w:val="18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ROU lease asset—corporate offices</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14,274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26,344</w:t>
            </w:r>
          </w:p>
        </w:tc>
      </w:tr>
      <w:tr>
        <w:trPr>
          <w:trHeight w:val="185"/>
        </w:trPr>
        <w:tc>
          <w:tcPr>
            <w:tcW w:w="7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7,857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81"/>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Gross deferred tax liability</w:t>
            </w:r>
          </w:p>
        </w:tc>
        <w:tc>
          <w:tcPr>
            <w:tcW w:w="2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50,058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150,619</w:t>
            </w:r>
          </w:p>
        </w:tc>
      </w:tr>
      <w:tr>
        <w:trPr>
          <w:trHeight w:val="176"/>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Net deferred tax liability</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6,696</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(65,544)</w:t>
            </w:r>
          </w:p>
        </w:tc>
      </w:tr>
      <w:tr>
        <w:trPr>
          <w:trHeight w:val="20"/>
        </w:trPr>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200" w:hanging="206"/>
        <w:spacing w:after="0" w:line="215" w:lineRule="auto"/>
        <w:tabs>
          <w:tab w:leader="none" w:pos="261" w:val="left"/>
        </w:tabs>
        <w:numPr>
          <w:ilvl w:val="0"/>
          <w:numId w:val="112"/>
        </w:numPr>
        <w:rPr>
          <w:rFonts w:ascii="Arial" w:cs="Arial" w:eastAsia="Arial" w:hAnsi="Arial"/>
          <w:sz w:val="16"/>
          <w:szCs w:val="16"/>
          <w:color w:val="auto"/>
          <w:vertAlign w:val="superscript"/>
        </w:rPr>
      </w:pPr>
      <w:r>
        <w:rPr>
          <w:rFonts w:ascii="Arial" w:cs="Arial" w:eastAsia="Arial" w:hAnsi="Arial"/>
          <w:sz w:val="12"/>
          <w:szCs w:val="12"/>
          <w:color w:val="auto"/>
        </w:rPr>
        <w:t>At December 31, 2021 and 2020, deferred tax asset was recognized on NOL of $89.8 million and $153.0 million, respectively, prior to establishment of valuation allowance. NOL attributable to U.S. federal and state generally begin to expire in 2031, except for NOL attributable to U.S federal losses incurred after December 31, 2017 which can generally be carried forward indefinitely.</w:t>
      </w:r>
    </w:p>
    <w:p>
      <w:pPr>
        <w:spacing w:after="0" w:line="128" w:lineRule="exact"/>
        <w:rPr>
          <w:sz w:val="20"/>
          <w:szCs w:val="20"/>
          <w:color w:val="auto"/>
        </w:rPr>
      </w:pPr>
    </w:p>
    <w:p>
      <w:pPr>
        <w:ind w:left="6" w:firstLine="351"/>
        <w:spacing w:after="0" w:line="245" w:lineRule="auto"/>
        <w:rPr>
          <w:sz w:val="20"/>
          <w:szCs w:val="20"/>
          <w:color w:val="auto"/>
        </w:rPr>
      </w:pPr>
      <w:r>
        <w:rPr>
          <w:rFonts w:ascii="Arial" w:cs="Arial" w:eastAsia="Arial" w:hAnsi="Arial"/>
          <w:sz w:val="16"/>
          <w:szCs w:val="16"/>
          <w:color w:val="auto"/>
        </w:rPr>
        <w:t>In the second quarter of 2021, the Company's DataBank subsidiary completed a restructuring of its operations to qualify as a REIT and anticipates electing REIT status for U.S. federal income tax purposes for the 2021 taxable year. As a REIT, DataBank would generally not be subject to U.S. federal income taxes on its taxable income to the extent that it annually distributes such taxable income to its stockholders and maintains certain asset and income requirements. However, DataBank would continue to be subject to U.S. federal income taxes on income earned by any of its taxable subsidiaries. DataBank recorded a net deferred tax benefit of $66.8 million in the second quarter of 2021, reflecting principally the write-off of its deferred tax liabilities.</w:t>
      </w:r>
    </w:p>
    <w:p>
      <w:pPr>
        <w:spacing w:after="0" w:line="62" w:lineRule="exact"/>
        <w:rPr>
          <w:sz w:val="20"/>
          <w:szCs w:val="20"/>
          <w:color w:val="auto"/>
        </w:rPr>
      </w:pPr>
    </w:p>
    <w:p>
      <w:pPr>
        <w:ind w:left="6" w:right="320" w:firstLine="351"/>
        <w:spacing w:after="0" w:line="239" w:lineRule="auto"/>
        <w:rPr>
          <w:sz w:val="20"/>
          <w:szCs w:val="20"/>
          <w:color w:val="auto"/>
        </w:rPr>
      </w:pPr>
      <w:r>
        <w:rPr>
          <w:rFonts w:ascii="Arial" w:cs="Arial" w:eastAsia="Arial" w:hAnsi="Arial"/>
          <w:sz w:val="16"/>
          <w:szCs w:val="16"/>
          <w:i w:val="1"/>
          <w:iCs w:val="1"/>
          <w:color w:val="auto"/>
        </w:rPr>
        <w:t>Foreign Subsidiary Earnings</w:t>
      </w:r>
      <w:r>
        <w:rPr>
          <w:rFonts w:ascii="Arial" w:cs="Arial" w:eastAsia="Arial" w:hAnsi="Arial"/>
          <w:sz w:val="16"/>
          <w:szCs w:val="16"/>
          <w:color w:val="auto"/>
        </w:rPr>
        <w:t>—The Company has evaluated all unremitted earnings of its foreign subsidiaries, which may be repatriated at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and has not recorded any deferred tax liability as no taxes are expected to be due if and when these amounts are repatriated.</w:t>
      </w:r>
    </w:p>
    <w:p>
      <w:pPr>
        <w:spacing w:after="0" w:line="55" w:lineRule="exact"/>
        <w:rPr>
          <w:sz w:val="20"/>
          <w:szCs w:val="20"/>
          <w:color w:val="auto"/>
        </w:rPr>
      </w:pPr>
    </w:p>
    <w:p>
      <w:pPr>
        <w:ind w:left="6" w:right="620" w:firstLine="351"/>
        <w:spacing w:after="0" w:line="239" w:lineRule="auto"/>
        <w:rPr>
          <w:sz w:val="20"/>
          <w:szCs w:val="20"/>
          <w:color w:val="auto"/>
        </w:rPr>
      </w:pPr>
      <w:r>
        <w:rPr>
          <w:rFonts w:ascii="Arial" w:cs="Arial" w:eastAsia="Arial" w:hAnsi="Arial"/>
          <w:sz w:val="16"/>
          <w:szCs w:val="16"/>
          <w:i w:val="1"/>
          <w:iCs w:val="1"/>
          <w:color w:val="auto"/>
        </w:rPr>
        <w:t>Valuation Allowance</w:t>
      </w:r>
      <w:r>
        <w:rPr>
          <w:rFonts w:ascii="Arial" w:cs="Arial" w:eastAsia="Arial" w:hAnsi="Arial"/>
          <w:sz w:val="16"/>
          <w:szCs w:val="16"/>
          <w:color w:val="auto"/>
        </w:rPr>
        <w:t>—Valuation allowance of $12.8 million at December 31, 2021 and $1.9 million at December 31, 2020 were established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fiscal years, driven by uncertainties in future realization of tax benefit on NOL, primarily in the digital operating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sectPr>
      </w:pPr>
    </w:p>
    <w:bookmarkStart w:id="169" w:name="page170"/>
    <w:bookmarkEnd w:id="1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Effective Income Tax</w:t>
      </w:r>
    </w:p>
    <w:p>
      <w:pPr>
        <w:spacing w:after="0" w:line="115" w:lineRule="exact"/>
        <w:rPr>
          <w:sz w:val="20"/>
          <w:szCs w:val="20"/>
          <w:color w:val="auto"/>
        </w:rPr>
      </w:pPr>
    </w:p>
    <w:p>
      <w:pPr>
        <w:ind w:right="220" w:firstLine="351"/>
        <w:spacing w:after="0" w:line="246" w:lineRule="auto"/>
        <w:rPr>
          <w:sz w:val="20"/>
          <w:szCs w:val="20"/>
          <w:color w:val="auto"/>
        </w:rPr>
      </w:pPr>
      <w:r>
        <w:rPr>
          <w:rFonts w:ascii="Arial" w:cs="Arial" w:eastAsia="Arial" w:hAnsi="Arial"/>
          <w:sz w:val="16"/>
          <w:szCs w:val="16"/>
          <w:color w:val="auto"/>
        </w:rPr>
        <w:t>The Company's income tax benefit attributable to continuing operations varied from the amount computed by applying the statutory income tax rate to loss from continuing operations before income taxes. A reconciliation of the statutory U.S. income tax to the Company's effective income tax attributable to continuing operations is presented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17"/>
        </w:trPr>
        <w:tc>
          <w:tcPr>
            <w:tcW w:w="6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(Amounts in thousands)</w:t>
            </w:r>
          </w:p>
        </w:tc>
        <w:tc>
          <w:tcPr>
            <w:tcW w:w="340" w:type="dxa"/>
            <w:vAlign w:val="bottom"/>
          </w:tcPr>
          <w:p>
            <w:pPr>
              <w:spacing w:after="0"/>
              <w:rPr>
                <w:sz w:val="10"/>
                <w:szCs w:val="10"/>
                <w:color w:val="auto"/>
              </w:rPr>
            </w:pPr>
          </w:p>
        </w:tc>
        <w:tc>
          <w:tcPr>
            <w:tcW w:w="1100" w:type="dxa"/>
            <w:vAlign w:val="bottom"/>
          </w:tcPr>
          <w:p>
            <w:pPr>
              <w:jc w:val="right"/>
              <w:ind w:right="531"/>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551"/>
              <w:spacing w:after="0" w:line="117"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531"/>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12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4"/>
        </w:trPr>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continuing operations before income taxes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(560,103)</w:t>
            </w:r>
          </w:p>
        </w:tc>
      </w:tr>
      <w:tr>
        <w:trPr>
          <w:trHeight w:val="185"/>
        </w:trPr>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(Income) loss from continuing operations before income taxes attributable to pass-through subsidiaries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198,180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386,352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513,903</w:t>
            </w:r>
          </w:p>
        </w:tc>
      </w:tr>
      <w:tr>
        <w:trPr>
          <w:trHeight w:val="179"/>
        </w:trPr>
        <w:tc>
          <w:tcPr>
            <w:tcW w:w="6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from continuing operations before income taxes attributable to taxable subsidiaries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(251,799)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(46,200)</w:t>
            </w:r>
          </w:p>
        </w:tc>
      </w:tr>
      <w:tr>
        <w:trPr>
          <w:trHeight w:val="179"/>
        </w:trPr>
        <w:tc>
          <w:tcPr>
            <w:tcW w:w="6720" w:type="dxa"/>
            <w:vAlign w:val="bottom"/>
            <w:gridSpan w:val="2"/>
          </w:tcPr>
          <w:p>
            <w:pPr>
              <w:spacing w:after="0"/>
              <w:rPr>
                <w:sz w:val="20"/>
                <w:szCs w:val="20"/>
                <w:color w:val="auto"/>
              </w:rPr>
            </w:pPr>
            <w:r>
              <w:rPr>
                <w:rFonts w:ascii="Arial" w:cs="Arial" w:eastAsia="Arial" w:hAnsi="Arial"/>
                <w:sz w:val="14"/>
                <w:szCs w:val="14"/>
                <w:color w:val="auto"/>
              </w:rPr>
              <w:t>Federal tax benefit at statutory tax rate (at 21%)</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52,878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9,702</w:t>
            </w:r>
          </w:p>
        </w:tc>
      </w:tr>
      <w:tr>
        <w:trPr>
          <w:trHeight w:val="189"/>
        </w:trPr>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State and local income taxes, net of federal income tax benefit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3,008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185"/>
        </w:trPr>
        <w:tc>
          <w:tcPr>
            <w:tcW w:w="6720" w:type="dxa"/>
            <w:vAlign w:val="bottom"/>
            <w:gridSpan w:val="2"/>
          </w:tcPr>
          <w:p>
            <w:pPr>
              <w:spacing w:after="0"/>
              <w:rPr>
                <w:sz w:val="20"/>
                <w:szCs w:val="20"/>
                <w:color w:val="auto"/>
              </w:rPr>
            </w:pPr>
            <w:r>
              <w:rPr>
                <w:rFonts w:ascii="Arial" w:cs="Arial" w:eastAsia="Arial" w:hAnsi="Arial"/>
                <w:sz w:val="14"/>
                <w:szCs w:val="14"/>
                <w:color w:val="auto"/>
              </w:rPr>
              <w:t>Foreign income tax differential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6720" w:type="dxa"/>
            <w:vAlign w:val="bottom"/>
            <w:gridSpan w:val="2"/>
          </w:tcPr>
          <w:p>
            <w:pPr>
              <w:spacing w:after="0"/>
              <w:rPr>
                <w:sz w:val="20"/>
                <w:szCs w:val="20"/>
                <w:color w:val="auto"/>
              </w:rPr>
            </w:pPr>
            <w:r>
              <w:rPr>
                <w:rFonts w:ascii="Arial" w:cs="Arial" w:eastAsia="Arial" w:hAnsi="Arial"/>
                <w:sz w:val="14"/>
                <w:szCs w:val="14"/>
                <w:color w:val="auto"/>
              </w:rPr>
              <w:t>Not subject to tax under REIT election by DataBank</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79,547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Valuation allowance,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r>
      <w:tr>
        <w:trPr>
          <w:trHeight w:val="206"/>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Income tax benefit on continuing operations</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47,063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10,615</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Tax Examinations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no longer subject to new income tax examinations by tax authorities for years prior to 2018.</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Segment Reporting</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conducts its business through two reportable segments as follows:</w:t>
      </w:r>
    </w:p>
    <w:p>
      <w:pPr>
        <w:spacing w:after="0" w:line="69" w:lineRule="exact"/>
        <w:rPr>
          <w:sz w:val="20"/>
          <w:szCs w:val="20"/>
          <w:color w:val="auto"/>
        </w:rPr>
      </w:pPr>
    </w:p>
    <w:p>
      <w:pPr>
        <w:ind w:left="480" w:right="60" w:hanging="136"/>
        <w:spacing w:after="0" w:line="220" w:lineRule="auto"/>
        <w:tabs>
          <w:tab w:leader="none" w:pos="476"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Digital Investment Management ("Digital IM")—</w:t>
      </w:r>
      <w:r>
        <w:rPr>
          <w:rFonts w:ascii="Arial" w:cs="Arial" w:eastAsia="Arial" w:hAnsi="Arial"/>
          <w:sz w:val="16"/>
          <w:szCs w:val="16"/>
          <w:color w:val="auto"/>
        </w:rPr>
        <w:t>This business represents a leading global digital infrastructure investment platform, managing capital on</w:t>
      </w:r>
      <w:r>
        <w:rPr>
          <w:rFonts w:ascii="Arial" w:cs="Arial" w:eastAsia="Arial" w:hAnsi="Arial"/>
          <w:sz w:val="16"/>
          <w:szCs w:val="16"/>
          <w:i w:val="1"/>
          <w:iCs w:val="1"/>
          <w:color w:val="auto"/>
        </w:rPr>
        <w:t xml:space="preserve"> </w:t>
      </w:r>
      <w:r>
        <w:rPr>
          <w:rFonts w:ascii="Arial" w:cs="Arial" w:eastAsia="Arial" w:hAnsi="Arial"/>
          <w:sz w:val="16"/>
          <w:szCs w:val="16"/>
          <w:color w:val="auto"/>
        </w:rPr>
        <w:t>behalf of a diverse base of global investors. The Company's flagship opportunistic strategy is conducted through its Digital Bridge Partners platform ("DBP," formerly Digital Colony Partners or DCP) and separately capitalized vehicles, while other strategies, including digital credit, ventures and public equities, are conducted through other investment vehicles. The Company earns management fees, generally based on the amount of assets or capital managed in investment vehicles, and has the potential to earn incentive fees and carried interest based upon the performance of such investment vehicles, subject to achievement of minimum return hurdles. Earnings from our Digital IM segment are generally attributed 31.5% to Wafra, a significant investor in our Digital IM business effective July 2020.</w:t>
      </w:r>
    </w:p>
    <w:p>
      <w:pPr>
        <w:spacing w:after="0" w:line="70" w:lineRule="exact"/>
        <w:rPr>
          <w:rFonts w:ascii="Arial" w:cs="Arial" w:eastAsia="Arial" w:hAnsi="Arial"/>
          <w:sz w:val="16"/>
          <w:szCs w:val="16"/>
          <w:color w:val="auto"/>
        </w:rPr>
      </w:pPr>
    </w:p>
    <w:p>
      <w:pPr>
        <w:ind w:left="480" w:right="20" w:hanging="136"/>
        <w:spacing w:after="0" w:line="250" w:lineRule="auto"/>
        <w:tabs>
          <w:tab w:leader="none" w:pos="476"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Digital Operating—</w:t>
      </w:r>
      <w:r>
        <w:rPr>
          <w:rFonts w:ascii="Arial" w:cs="Arial" w:eastAsia="Arial" w:hAnsi="Arial"/>
          <w:sz w:val="16"/>
          <w:szCs w:val="16"/>
          <w:color w:val="auto"/>
        </w:rPr>
        <w:t>This business is composed of balance sheet equity interests in digital infrastructure and real estate operating companies,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earn rental income from providing use of digital asset space and/or capacity through leases, services and other agreements. The Company currently owns interests in two companies: DataBank, including zColo, an edge colocation data center business (20% DBRG ownership during 2021); and Vantage SDC, a stabilized hyperscale data center business (13% DBRG ownership). Both DataBank and Vantage are also portfolio companies managed under Digital IM for the equity interests owned by third party capital.</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remaining investment activities and corporate level activities are presented as Corporate and Other.</w:t>
      </w:r>
    </w:p>
    <w:p>
      <w:pPr>
        <w:spacing w:after="0" w:line="50" w:lineRule="exact"/>
        <w:rPr>
          <w:sz w:val="20"/>
          <w:szCs w:val="20"/>
          <w:color w:val="auto"/>
        </w:rPr>
      </w:pPr>
    </w:p>
    <w:p>
      <w:pPr>
        <w:ind w:left="560" w:hanging="145"/>
        <w:spacing w:after="0" w:line="244" w:lineRule="auto"/>
        <w:tabs>
          <w:tab w:leader="none" w:pos="55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Other investment activities are composed of the Company's equity interests in: (i) digital investment vehicles, the largest of which is in the DBP flagship funds, and seed investments in various strategies such as digital liquid and digital credit; and (ii) remaining non-digital investments, primarily in BRSP. Outside of its general partner interests, the Company's other equity interests in its sponsored and/or managed digital investment vehicles are considered to be incidental to its digital investment management business. The primary economics to the Company are represented by fee income and carried interest as general partner and/or manager, rather than economics from its equity interest in the investment vehicles as a limited partner or equivalent. With respect to seed investments, these are not intended to be a long-term deployment of capital by the Company and are expected to be warehoused temporarily on the Company's balance sheet until sufficient third party capital has been raised. At this time, the remaining non-digital investments are not substantially available for immediate sale and are expected to be monetized over an extended period beyond the near term. These other investment activities generate largely equity method earnings or losses and to a lesser extent, revenues in the form of interest income or dividend income from warehoused investments and consolidated investment vehicles. Effective the third quarter of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0" w:name="page171"/>
    <w:bookmarkEnd w:id="1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140"/>
        <w:spacing w:after="0" w:line="248" w:lineRule="auto"/>
        <w:rPr>
          <w:sz w:val="20"/>
          <w:szCs w:val="20"/>
          <w:color w:val="auto"/>
        </w:rPr>
      </w:pPr>
      <w:r>
        <w:rPr>
          <w:rFonts w:ascii="Arial" w:cs="Arial" w:eastAsia="Arial" w:hAnsi="Arial"/>
          <w:sz w:val="16"/>
          <w:szCs w:val="16"/>
          <w:color w:val="auto"/>
        </w:rPr>
        <w:t>these activities are no longer presented separately as the Digital Other and Other segments, which is consistent with and reflects management's focus on its core digital operations and overall simplification of the Company's business.</w:t>
      </w:r>
    </w:p>
    <w:p>
      <w:pPr>
        <w:spacing w:after="0" w:line="41" w:lineRule="exact"/>
        <w:rPr>
          <w:sz w:val="20"/>
          <w:szCs w:val="20"/>
          <w:color w:val="auto"/>
        </w:rPr>
      </w:pPr>
    </w:p>
    <w:p>
      <w:pPr>
        <w:ind w:left="560" w:right="40" w:hanging="145"/>
        <w:spacing w:after="0" w:line="244" w:lineRule="auto"/>
        <w:tabs>
          <w:tab w:leader="none" w:pos="556" w:val="left"/>
        </w:tabs>
        <w:numPr>
          <w:ilvl w:val="0"/>
          <w:numId w:val="115"/>
        </w:numPr>
        <w:rPr>
          <w:rFonts w:ascii="Arial" w:cs="Arial" w:eastAsia="Arial" w:hAnsi="Arial"/>
          <w:sz w:val="16"/>
          <w:szCs w:val="16"/>
          <w:b w:val="1"/>
          <w:bCs w:val="1"/>
          <w:i w:val="1"/>
          <w:iCs w:val="1"/>
          <w:color w:val="auto"/>
        </w:rPr>
      </w:pPr>
      <w:r>
        <w:rPr>
          <w:rFonts w:ascii="Arial" w:cs="Arial" w:eastAsia="Arial" w:hAnsi="Arial"/>
          <w:sz w:val="16"/>
          <w:szCs w:val="16"/>
          <w:color w:val="auto"/>
        </w:rPr>
        <w:t>Corporate activities include corporate level cash and corresponding interest income, corporate level financing and related interest expense, corporate level transaction costs, costs in connection with unconsummated investments, income and expense related to cost reimbursement arrangements with affiliates, fixed assets for administrative use, compensation expense not directly attributable to reportable segments, corporate level administrative and overhead costs, and adjustments to eliminate intercompany fees. Costs which are directly attributable, or otherwise can be subjected to a reasonable and systematic allocation, have been allocated to each of the reportable segments. Elimination adjustment pertains to fee income earned by the Digital IM segment from third party capital in investment vehicles managed by the Company and consolidated within the Digital Operating segment and in Corporate and Other. Such adjustments amounted to $6.6 million in 2021, $1.5 million in 2020 and were immaterial in 2019. Effective the second quarter of 2021, segment results are presented before elimination of intercompany fees. Fee income in Digital IM and fee expense in Digital Operating and in Corporate and Other were previously eliminated within the respective segments.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changes in segment presentation are reflected for all prior periods presented.</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Segment Results of Operations</w:t>
      </w:r>
    </w:p>
    <w:p>
      <w:pPr>
        <w:spacing w:after="0" w:line="115" w:lineRule="exact"/>
        <w:rPr>
          <w:sz w:val="20"/>
          <w:szCs w:val="20"/>
          <w:color w:val="auto"/>
        </w:rPr>
      </w:pPr>
    </w:p>
    <w:p>
      <w:pPr>
        <w:ind w:right="120" w:firstLine="351"/>
        <w:spacing w:after="0" w:line="248" w:lineRule="auto"/>
        <w:rPr>
          <w:sz w:val="20"/>
          <w:szCs w:val="20"/>
          <w:color w:val="auto"/>
        </w:rPr>
      </w:pPr>
      <w:r>
        <w:rPr>
          <w:rFonts w:ascii="Arial" w:cs="Arial" w:eastAsia="Arial" w:hAnsi="Arial"/>
          <w:sz w:val="16"/>
          <w:szCs w:val="16"/>
          <w:color w:val="auto"/>
        </w:rPr>
        <w:t>The following table summarizes results of operations of the Company's reportable segments, including selected income and expense items, reconciled to the consolidated statement of operations.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0"/>
                <w:szCs w:val="1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Digital Investment</w:t>
            </w:r>
          </w:p>
        </w:tc>
        <w:tc>
          <w:tcPr>
            <w:tcW w:w="180" w:type="dxa"/>
            <w:vAlign w:val="bottom"/>
          </w:tcPr>
          <w:p>
            <w:pPr>
              <w:spacing w:after="0"/>
              <w:rPr>
                <w:sz w:val="10"/>
                <w:szCs w:val="10"/>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Digital Operating</w:t>
            </w:r>
          </w:p>
        </w:tc>
        <w:tc>
          <w:tcPr>
            <w:tcW w:w="12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Corporate and Other</w:t>
            </w:r>
          </w:p>
        </w:tc>
        <w:tc>
          <w:tcPr>
            <w:tcW w:w="320" w:type="dxa"/>
            <w:vAlign w:val="bottom"/>
          </w:tcPr>
          <w:p>
            <w:pPr>
              <w:spacing w:after="0"/>
              <w:rPr>
                <w:sz w:val="10"/>
                <w:szCs w:val="10"/>
                <w:color w:val="auto"/>
              </w:rPr>
            </w:pPr>
          </w:p>
        </w:tc>
        <w:tc>
          <w:tcPr>
            <w:tcW w:w="1040" w:type="dxa"/>
            <w:vAlign w:val="bottom"/>
            <w:vMerge w:val="restart"/>
          </w:tcPr>
          <w:p>
            <w:pPr>
              <w:jc w:val="right"/>
              <w:ind w:right="49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5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Management</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620" w:type="dxa"/>
            <w:vAlign w:val="bottom"/>
            <w:tcBorders>
              <w:bottom w:val="single" w:sz="8" w:color="auto"/>
            </w:tcBorders>
          </w:tcPr>
          <w:p>
            <w:pPr>
              <w:spacing w:after="0" w:line="105" w:lineRule="exact"/>
              <w:rPr>
                <w:sz w:val="20"/>
                <w:szCs w:val="20"/>
                <w:color w:val="auto"/>
              </w:rPr>
            </w:pPr>
            <w:r>
              <w:rPr>
                <w:rFonts w:ascii="Arial" w:cs="Arial" w:eastAsia="Arial" w:hAnsi="Arial"/>
                <w:sz w:val="11"/>
                <w:szCs w:val="11"/>
                <w:b w:val="1"/>
                <w:bCs w:val="1"/>
                <w:color w:val="auto"/>
                <w:w w:val="98"/>
              </w:rPr>
              <w:t>Year Ended December 31, 2021</w:t>
            </w:r>
          </w:p>
        </w:tc>
        <w:tc>
          <w:tcPr>
            <w:tcW w:w="39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191,682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763,199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965,799</w:t>
            </w: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Property operating expense</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316,178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316,178</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186,949</w:t>
            </w: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26,736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495,342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17,617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539,695</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method earnings, including carried interest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226,477</w:t>
            </w: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Income tax benefit (expense)</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79,075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31,285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100,538</w:t>
            </w:r>
          </w:p>
        </w:tc>
        <w:tc>
          <w:tcPr>
            <w:tcW w:w="0" w:type="dxa"/>
            <w:vAlign w:val="bottom"/>
          </w:tcPr>
          <w:p>
            <w:pPr>
              <w:spacing w:after="0"/>
              <w:rPr>
                <w:sz w:val="1"/>
                <w:szCs w:val="1"/>
                <w:color w:val="auto"/>
              </w:rPr>
            </w:pPr>
          </w:p>
        </w:tc>
      </w:tr>
      <w:tr>
        <w:trPr>
          <w:trHeight w:val="96"/>
        </w:trPr>
        <w:tc>
          <w:tcPr>
            <w:tcW w:w="1620" w:type="dxa"/>
            <w:vAlign w:val="bottom"/>
            <w:shd w:val="clear" w:color="auto" w:fill="CCEEFF"/>
          </w:tcPr>
          <w:p>
            <w:pPr>
              <w:spacing w:after="0"/>
              <w:rPr>
                <w:sz w:val="8"/>
                <w:szCs w:val="8"/>
                <w:color w:val="auto"/>
              </w:rPr>
            </w:pPr>
          </w:p>
        </w:tc>
        <w:tc>
          <w:tcPr>
            <w:tcW w:w="39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90,915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(230,841)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(76,897)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(216,823)</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 from continuing operations attributable to DigitalBridge Group, Inc.</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(72,639)</w:t>
            </w:r>
          </w:p>
        </w:tc>
        <w:tc>
          <w:tcPr>
            <w:tcW w:w="0" w:type="dxa"/>
            <w:vAlign w:val="bottom"/>
          </w:tcPr>
          <w:p>
            <w:pPr>
              <w:spacing w:after="0"/>
              <w:rPr>
                <w:sz w:val="1"/>
                <w:szCs w:val="1"/>
                <w:color w:val="auto"/>
              </w:rPr>
            </w:pPr>
          </w:p>
        </w:tc>
      </w:tr>
      <w:tr>
        <w:trPr>
          <w:trHeight w:val="185"/>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 from discontinued operations attributable to DigitalBridge Group, Inc.</w:t>
            </w: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(237,458)</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 attributable to DigitalBridge Group, Inc.</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(310,097)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auto"/>
            </w:tcBorders>
            <w:shd w:val="clear" w:color="auto" w:fill="CCEEFF"/>
          </w:tcPr>
          <w:p>
            <w:pPr>
              <w:spacing w:after="0" w:line="117" w:lineRule="exact"/>
              <w:rPr>
                <w:sz w:val="20"/>
                <w:szCs w:val="20"/>
                <w:color w:val="auto"/>
              </w:rPr>
            </w:pPr>
            <w:r>
              <w:rPr>
                <w:rFonts w:ascii="Arial" w:cs="Arial" w:eastAsia="Arial" w:hAnsi="Arial"/>
                <w:sz w:val="11"/>
                <w:szCs w:val="11"/>
                <w:b w:val="1"/>
                <w:bCs w:val="1"/>
                <w:color w:val="auto"/>
                <w:w w:val="98"/>
              </w:rPr>
              <w:t>Year Ended December 31, 2020</w:t>
            </w:r>
          </w:p>
        </w:tc>
        <w:tc>
          <w:tcPr>
            <w:tcW w:w="39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85,782</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313,283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17,365</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416,430</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operating expense</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119,834</w:t>
            </w: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77,976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120,829</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241,020</w:t>
            </w: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Impairment loss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21,247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25,079</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method earnings (losses), including carried interest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(260,579)</w:t>
            </w: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Income tax benefit (expense)</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25,662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47,063</w:t>
            </w:r>
          </w:p>
        </w:tc>
        <w:tc>
          <w:tcPr>
            <w:tcW w:w="0" w:type="dxa"/>
            <w:vAlign w:val="bottom"/>
          </w:tcPr>
          <w:p>
            <w:pPr>
              <w:spacing w:after="0"/>
              <w:rPr>
                <w:sz w:val="1"/>
                <w:szCs w:val="1"/>
                <w:color w:val="auto"/>
              </w:rPr>
            </w:pPr>
          </w:p>
        </w:tc>
      </w:tr>
      <w:tr>
        <w:trPr>
          <w:trHeight w:val="96"/>
        </w:trPr>
        <w:tc>
          <w:tcPr>
            <w:tcW w:w="1620" w:type="dxa"/>
            <w:vAlign w:val="bottom"/>
            <w:shd w:val="clear" w:color="auto" w:fill="CCEEFF"/>
          </w:tcPr>
          <w:p>
            <w:pPr>
              <w:spacing w:after="0"/>
              <w:rPr>
                <w:sz w:val="8"/>
                <w:szCs w:val="8"/>
                <w:color w:val="auto"/>
              </w:rPr>
            </w:pPr>
          </w:p>
        </w:tc>
        <w:tc>
          <w:tcPr>
            <w:tcW w:w="39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580" w:type="dxa"/>
            <w:vAlign w:val="bottom"/>
            <w:gridSpan w:val="2"/>
          </w:tcPr>
          <w:p>
            <w:pPr>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(132,063)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(470,180)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(591,088)</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 from continuing operations attributable to DigitalBridge Group, Inc.</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(435,748)</w:t>
            </w:r>
          </w:p>
        </w:tc>
        <w:tc>
          <w:tcPr>
            <w:tcW w:w="0" w:type="dxa"/>
            <w:vAlign w:val="bottom"/>
          </w:tcPr>
          <w:p>
            <w:pPr>
              <w:spacing w:after="0"/>
              <w:rPr>
                <w:sz w:val="1"/>
                <w:szCs w:val="1"/>
                <w:color w:val="auto"/>
              </w:rPr>
            </w:pPr>
          </w:p>
        </w:tc>
      </w:tr>
      <w:tr>
        <w:trPr>
          <w:trHeight w:val="185"/>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 from discontinued operations attributable to DigitalBridge Group, Inc.</w:t>
            </w: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(2,240,011)</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 attributable to DigitalBridge Group, Inc.</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(2,675,759)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1" w:name="page172"/>
    <w:bookmarkEnd w:id="171"/>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5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0"/>
                <w:szCs w:val="10"/>
                <w:color w:val="auto"/>
              </w:rPr>
            </w:pPr>
          </w:p>
        </w:tc>
        <w:tc>
          <w:tcPr>
            <w:tcW w:w="1240" w:type="dxa"/>
            <w:vAlign w:val="bottom"/>
          </w:tcPr>
          <w:p>
            <w:pPr>
              <w:jc w:val="right"/>
              <w:ind w:right="173"/>
              <w:spacing w:after="0"/>
              <w:rPr>
                <w:sz w:val="20"/>
                <w:szCs w:val="20"/>
                <w:color w:val="auto"/>
              </w:rPr>
            </w:pPr>
            <w:r>
              <w:rPr>
                <w:rFonts w:ascii="Arial" w:cs="Arial" w:eastAsia="Arial" w:hAnsi="Arial"/>
                <w:sz w:val="11"/>
                <w:szCs w:val="11"/>
                <w:b w:val="1"/>
                <w:bCs w:val="1"/>
                <w:color w:val="auto"/>
              </w:rPr>
              <w:t>Digital Investment</w:t>
            </w:r>
          </w:p>
        </w:tc>
        <w:tc>
          <w:tcPr>
            <w:tcW w:w="220" w:type="dxa"/>
            <w:vAlign w:val="bottom"/>
          </w:tcPr>
          <w:p>
            <w:pPr>
              <w:spacing w:after="0"/>
              <w:rPr>
                <w:sz w:val="10"/>
                <w:szCs w:val="10"/>
                <w:color w:val="auto"/>
              </w:rPr>
            </w:pPr>
          </w:p>
        </w:tc>
        <w:tc>
          <w:tcPr>
            <w:tcW w:w="1220" w:type="dxa"/>
            <w:vAlign w:val="bottom"/>
            <w:vMerge w:val="restart"/>
          </w:tcPr>
          <w:p>
            <w:pPr>
              <w:jc w:val="right"/>
              <w:ind w:right="211"/>
              <w:spacing w:after="0"/>
              <w:rPr>
                <w:sz w:val="20"/>
                <w:szCs w:val="20"/>
                <w:color w:val="auto"/>
              </w:rPr>
            </w:pPr>
            <w:r>
              <w:rPr>
                <w:rFonts w:ascii="Arial" w:cs="Arial" w:eastAsia="Arial" w:hAnsi="Arial"/>
                <w:sz w:val="11"/>
                <w:szCs w:val="11"/>
                <w:b w:val="1"/>
                <w:bCs w:val="1"/>
                <w:color w:val="auto"/>
              </w:rPr>
              <w:t>Digital Operating</w:t>
            </w:r>
          </w:p>
        </w:tc>
        <w:tc>
          <w:tcPr>
            <w:tcW w:w="160" w:type="dxa"/>
            <w:vAlign w:val="bottom"/>
          </w:tcPr>
          <w:p>
            <w:pPr>
              <w:spacing w:after="0"/>
              <w:rPr>
                <w:sz w:val="10"/>
                <w:szCs w:val="10"/>
                <w:color w:val="auto"/>
              </w:rPr>
            </w:pPr>
          </w:p>
        </w:tc>
        <w:tc>
          <w:tcPr>
            <w:tcW w:w="1340" w:type="dxa"/>
            <w:vAlign w:val="bottom"/>
            <w:vMerge w:val="restart"/>
          </w:tcPr>
          <w:p>
            <w:pPr>
              <w:jc w:val="right"/>
              <w:ind w:right="171"/>
              <w:spacing w:after="0"/>
              <w:rPr>
                <w:sz w:val="20"/>
                <w:szCs w:val="20"/>
                <w:color w:val="auto"/>
              </w:rPr>
            </w:pPr>
            <w:r>
              <w:rPr>
                <w:rFonts w:ascii="Arial" w:cs="Arial" w:eastAsia="Arial" w:hAnsi="Arial"/>
                <w:sz w:val="11"/>
                <w:szCs w:val="11"/>
                <w:b w:val="1"/>
                <w:bCs w:val="1"/>
                <w:color w:val="auto"/>
              </w:rPr>
              <w:t>Corporate and Other</w:t>
            </w:r>
          </w:p>
        </w:tc>
        <w:tc>
          <w:tcPr>
            <w:tcW w:w="320" w:type="dxa"/>
            <w:vAlign w:val="bottom"/>
          </w:tcPr>
          <w:p>
            <w:pPr>
              <w:spacing w:after="0"/>
              <w:rPr>
                <w:sz w:val="10"/>
                <w:szCs w:val="10"/>
                <w:color w:val="auto"/>
              </w:rPr>
            </w:pPr>
          </w:p>
        </w:tc>
        <w:tc>
          <w:tcPr>
            <w:tcW w:w="1040" w:type="dxa"/>
            <w:vAlign w:val="bottom"/>
            <w:vMerge w:val="restart"/>
          </w:tcPr>
          <w:p>
            <w:pPr>
              <w:jc w:val="right"/>
              <w:ind w:right="49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5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313"/>
              <w:spacing w:after="0"/>
              <w:rPr>
                <w:sz w:val="20"/>
                <w:szCs w:val="20"/>
                <w:color w:val="auto"/>
              </w:rPr>
            </w:pPr>
            <w:r>
              <w:rPr>
                <w:rFonts w:ascii="Arial" w:cs="Arial" w:eastAsia="Arial" w:hAnsi="Arial"/>
                <w:sz w:val="11"/>
                <w:szCs w:val="11"/>
                <w:b w:val="1"/>
                <w:bCs w:val="1"/>
                <w:color w:val="auto"/>
              </w:rPr>
              <w:t>Management</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w w:val="98"/>
              </w:rPr>
              <w:t>Year Ended December 31, 2019</w:t>
            </w:r>
          </w:p>
        </w:tc>
        <w:tc>
          <w:tcPr>
            <w:tcW w:w="38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2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34,368</w:t>
            </w:r>
          </w:p>
        </w:tc>
        <w:tc>
          <w:tcPr>
            <w:tcW w:w="2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6,039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20,626</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61,033</w:t>
            </w:r>
          </w:p>
        </w:tc>
        <w:tc>
          <w:tcPr>
            <w:tcW w:w="0" w:type="dxa"/>
            <w:vAlign w:val="bottom"/>
          </w:tcPr>
          <w:p>
            <w:pPr>
              <w:spacing w:after="0"/>
              <w:rPr>
                <w:sz w:val="1"/>
                <w:szCs w:val="1"/>
                <w:color w:val="auto"/>
              </w:rPr>
            </w:pPr>
          </w:p>
        </w:tc>
      </w:tr>
      <w:tr>
        <w:trPr>
          <w:trHeight w:val="189"/>
        </w:trPr>
        <w:tc>
          <w:tcPr>
            <w:tcW w:w="5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operating expense</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2,197</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185"/>
        </w:trPr>
        <w:tc>
          <w:tcPr>
            <w:tcW w:w="54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3,230</w:t>
            </w:r>
          </w:p>
        </w:tc>
        <w:tc>
          <w:tcPr>
            <w:tcW w:w="22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1,272</w:t>
            </w:r>
          </w:p>
        </w:tc>
        <w:tc>
          <w:tcPr>
            <w:tcW w:w="160" w:type="dxa"/>
            <w:vAlign w:val="bottom"/>
          </w:tcPr>
          <w:p>
            <w:pPr>
              <w:spacing w:after="0"/>
              <w:rPr>
                <w:sz w:val="16"/>
                <w:szCs w:val="16"/>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36,689</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41,191</w:t>
            </w:r>
          </w:p>
        </w:tc>
        <w:tc>
          <w:tcPr>
            <w:tcW w:w="0" w:type="dxa"/>
            <w:vAlign w:val="bottom"/>
          </w:tcPr>
          <w:p>
            <w:pPr>
              <w:spacing w:after="0"/>
              <w:rPr>
                <w:sz w:val="1"/>
                <w:szCs w:val="1"/>
                <w:color w:val="auto"/>
              </w:rPr>
            </w:pPr>
          </w:p>
        </w:tc>
      </w:tr>
      <w:tr>
        <w:trPr>
          <w:trHeight w:val="189"/>
        </w:trPr>
        <w:tc>
          <w:tcPr>
            <w:tcW w:w="5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10,406</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1,803</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6,042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18,251</w:t>
            </w:r>
          </w:p>
        </w:tc>
        <w:tc>
          <w:tcPr>
            <w:tcW w:w="0" w:type="dxa"/>
            <w:vAlign w:val="bottom"/>
          </w:tcPr>
          <w:p>
            <w:pPr>
              <w:spacing w:after="0"/>
              <w:rPr>
                <w:sz w:val="1"/>
                <w:szCs w:val="1"/>
                <w:color w:val="auto"/>
              </w:rPr>
            </w:pPr>
          </w:p>
        </w:tc>
      </w:tr>
      <w:tr>
        <w:trPr>
          <w:trHeight w:val="185"/>
        </w:trPr>
        <w:tc>
          <w:tcPr>
            <w:tcW w:w="5420" w:type="dxa"/>
            <w:vAlign w:val="bottom"/>
            <w:gridSpan w:val="2"/>
          </w:tcPr>
          <w:p>
            <w:pPr>
              <w:spacing w:after="0"/>
              <w:rPr>
                <w:sz w:val="20"/>
                <w:szCs w:val="20"/>
                <w:color w:val="auto"/>
              </w:rPr>
            </w:pPr>
            <w:r>
              <w:rPr>
                <w:rFonts w:ascii="Arial" w:cs="Arial" w:eastAsia="Arial" w:hAnsi="Arial"/>
                <w:sz w:val="14"/>
                <w:szCs w:val="14"/>
                <w:color w:val="auto"/>
              </w:rPr>
              <w:t>Impairment loss</w:t>
            </w:r>
          </w:p>
        </w:tc>
        <w:tc>
          <w:tcPr>
            <w:tcW w:w="30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649</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89"/>
        </w:trPr>
        <w:tc>
          <w:tcPr>
            <w:tcW w:w="5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method earnings (losses), including carried interest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7,112</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(224,265)</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(217,153)</w:t>
            </w:r>
          </w:p>
        </w:tc>
        <w:tc>
          <w:tcPr>
            <w:tcW w:w="0" w:type="dxa"/>
            <w:vAlign w:val="bottom"/>
          </w:tcPr>
          <w:p>
            <w:pPr>
              <w:spacing w:after="0"/>
              <w:rPr>
                <w:sz w:val="1"/>
                <w:szCs w:val="1"/>
                <w:color w:val="auto"/>
              </w:rPr>
            </w:pPr>
          </w:p>
        </w:tc>
      </w:tr>
      <w:tr>
        <w:trPr>
          <w:trHeight w:val="185"/>
        </w:trPr>
        <w:tc>
          <w:tcPr>
            <w:tcW w:w="5420" w:type="dxa"/>
            <w:vAlign w:val="bottom"/>
            <w:gridSpan w:val="2"/>
          </w:tcPr>
          <w:p>
            <w:pPr>
              <w:spacing w:after="0"/>
              <w:rPr>
                <w:sz w:val="20"/>
                <w:szCs w:val="20"/>
                <w:color w:val="auto"/>
              </w:rPr>
            </w:pPr>
            <w:r>
              <w:rPr>
                <w:rFonts w:ascii="Arial" w:cs="Arial" w:eastAsia="Arial" w:hAnsi="Arial"/>
                <w:sz w:val="14"/>
                <w:szCs w:val="14"/>
                <w:color w:val="auto"/>
              </w:rPr>
              <w:t>Income tax benefit (expense)</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(15,094)</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6"/>
                <w:szCs w:val="16"/>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25,719</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96"/>
        </w:trPr>
        <w:tc>
          <w:tcPr>
            <w:tcW w:w="1620" w:type="dxa"/>
            <w:vAlign w:val="bottom"/>
            <w:shd w:val="clear" w:color="auto" w:fill="CCEEFF"/>
          </w:tcPr>
          <w:p>
            <w:pPr>
              <w:spacing w:after="0"/>
              <w:rPr>
                <w:sz w:val="8"/>
                <w:szCs w:val="8"/>
                <w:color w:val="auto"/>
              </w:rPr>
            </w:pPr>
          </w:p>
        </w:tc>
        <w:tc>
          <w:tcPr>
            <w:tcW w:w="3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420" w:type="dxa"/>
            <w:vAlign w:val="bottom"/>
            <w:gridSpan w:val="2"/>
          </w:tcPr>
          <w:p>
            <w:pPr>
              <w:spacing w:after="0"/>
              <w:rPr>
                <w:sz w:val="20"/>
                <w:szCs w:val="20"/>
                <w:color w:val="auto"/>
              </w:rPr>
            </w:pPr>
            <w:r>
              <w:rPr>
                <w:rFonts w:ascii="Arial" w:cs="Arial" w:eastAsia="Arial" w:hAnsi="Arial"/>
                <w:sz w:val="14"/>
                <w:szCs w:val="14"/>
                <w:color w:val="auto"/>
              </w:rPr>
              <w:t>Income (loss) from continuing operations</w:t>
            </w:r>
          </w:p>
        </w:tc>
        <w:tc>
          <w:tcPr>
            <w:tcW w:w="30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48,942</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(691)</w:t>
            </w:r>
          </w:p>
        </w:tc>
        <w:tc>
          <w:tcPr>
            <w:tcW w:w="160" w:type="dxa"/>
            <w:vAlign w:val="bottom"/>
          </w:tcPr>
          <w:p>
            <w:pPr>
              <w:spacing w:after="0"/>
              <w:rPr>
                <w:sz w:val="16"/>
                <w:szCs w:val="16"/>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(597,739)</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(549,488)</w:t>
            </w:r>
          </w:p>
        </w:tc>
        <w:tc>
          <w:tcPr>
            <w:tcW w:w="0" w:type="dxa"/>
            <w:vAlign w:val="bottom"/>
          </w:tcPr>
          <w:p>
            <w:pPr>
              <w:spacing w:after="0"/>
              <w:rPr>
                <w:sz w:val="1"/>
                <w:szCs w:val="1"/>
                <w:color w:val="auto"/>
              </w:rPr>
            </w:pPr>
          </w:p>
        </w:tc>
      </w:tr>
      <w:tr>
        <w:trPr>
          <w:trHeight w:val="189"/>
        </w:trPr>
        <w:tc>
          <w:tcPr>
            <w:tcW w:w="5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 from continuing operations attributable to DigitalBridge Group, Inc.</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44,808</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(552,827)</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(508,143)</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 from discontinued operations attributable to DigitalBridge Group, Inc.</w:t>
            </w:r>
          </w:p>
        </w:tc>
        <w:tc>
          <w:tcPr>
            <w:tcW w:w="3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(540,664)</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 attributable to DigitalBridge Group, Inc.</w:t>
            </w: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(1,048,807)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Total assets and equity method investments of reportable segments are summarized as follows: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1"/>
                <w:szCs w:val="11"/>
                <w:b w:val="1"/>
                <w:bCs w:val="1"/>
                <w:color w:val="auto"/>
              </w:rPr>
              <w:t>December 31, 2021</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1"/>
                <w:szCs w:val="11"/>
                <w:b w:val="1"/>
                <w:bCs w:val="1"/>
                <w:color w:val="auto"/>
              </w:rPr>
              <w:t>December 31, 2020</w:t>
            </w:r>
          </w:p>
        </w:tc>
        <w:tc>
          <w:tcPr>
            <w:tcW w:w="920" w:type="dxa"/>
            <w:vAlign w:val="bottom"/>
            <w:tcBorders>
              <w:bottom w:val="single" w:sz="8" w:color="auto"/>
            </w:tcBorders>
          </w:tcPr>
          <w:p>
            <w:pPr>
              <w:spacing w:after="0"/>
              <w:rPr>
                <w:sz w:val="12"/>
                <w:szCs w:val="12"/>
                <w:color w:val="auto"/>
              </w:rPr>
            </w:pPr>
          </w:p>
        </w:tc>
      </w:tr>
      <w:tr>
        <w:trPr>
          <w:trHeight w:val="117"/>
        </w:trPr>
        <w:tc>
          <w:tcPr>
            <w:tcW w:w="4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380" w:type="dxa"/>
            <w:vAlign w:val="bottom"/>
            <w:gridSpan w:val="2"/>
          </w:tcPr>
          <w:p>
            <w:pPr>
              <w:ind w:left="180"/>
              <w:spacing w:after="0" w:line="117" w:lineRule="exact"/>
              <w:rPr>
                <w:sz w:val="20"/>
                <w:szCs w:val="20"/>
                <w:color w:val="auto"/>
              </w:rPr>
            </w:pPr>
            <w:r>
              <w:rPr>
                <w:rFonts w:ascii="Arial" w:cs="Arial" w:eastAsia="Arial" w:hAnsi="Arial"/>
                <w:sz w:val="11"/>
                <w:szCs w:val="11"/>
                <w:b w:val="1"/>
                <w:bCs w:val="1"/>
                <w:color w:val="auto"/>
              </w:rPr>
              <w:t>Total Assets</w:t>
            </w:r>
          </w:p>
        </w:tc>
        <w:tc>
          <w:tcPr>
            <w:tcW w:w="1560" w:type="dxa"/>
            <w:vAlign w:val="bottom"/>
            <w:gridSpan w:val="2"/>
          </w:tcPr>
          <w:p>
            <w:pPr>
              <w:jc w:val="right"/>
              <w:ind w:right="10"/>
              <w:spacing w:after="0" w:line="117" w:lineRule="exact"/>
              <w:rPr>
                <w:sz w:val="20"/>
                <w:szCs w:val="20"/>
                <w:color w:val="auto"/>
              </w:rPr>
            </w:pPr>
            <w:r>
              <w:rPr>
                <w:rFonts w:ascii="Arial" w:cs="Arial" w:eastAsia="Arial" w:hAnsi="Arial"/>
                <w:sz w:val="11"/>
                <w:szCs w:val="11"/>
                <w:b w:val="1"/>
                <w:bCs w:val="1"/>
                <w:color w:val="auto"/>
              </w:rPr>
              <w:t>Equity Method Investments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ind w:left="200"/>
              <w:spacing w:after="0" w:line="117" w:lineRule="exact"/>
              <w:rPr>
                <w:sz w:val="20"/>
                <w:szCs w:val="20"/>
                <w:color w:val="auto"/>
              </w:rPr>
            </w:pPr>
            <w:r>
              <w:rPr>
                <w:rFonts w:ascii="Arial" w:cs="Arial" w:eastAsia="Arial" w:hAnsi="Arial"/>
                <w:sz w:val="11"/>
                <w:szCs w:val="11"/>
                <w:b w:val="1"/>
                <w:bCs w:val="1"/>
                <w:color w:val="auto"/>
              </w:rPr>
              <w:t>Total Assets</w:t>
            </w:r>
          </w:p>
        </w:tc>
        <w:tc>
          <w:tcPr>
            <w:tcW w:w="1580" w:type="dxa"/>
            <w:vAlign w:val="bottom"/>
            <w:gridSpan w:val="2"/>
          </w:tcPr>
          <w:p>
            <w:pPr>
              <w:jc w:val="right"/>
              <w:ind w:right="10"/>
              <w:spacing w:after="0" w:line="117" w:lineRule="exact"/>
              <w:rPr>
                <w:sz w:val="20"/>
                <w:szCs w:val="20"/>
                <w:color w:val="auto"/>
              </w:rPr>
            </w:pPr>
            <w:r>
              <w:rPr>
                <w:rFonts w:ascii="Arial" w:cs="Arial" w:eastAsia="Arial" w:hAnsi="Arial"/>
                <w:sz w:val="11"/>
                <w:szCs w:val="11"/>
                <w:b w:val="1"/>
                <w:bCs w:val="1"/>
                <w:color w:val="auto"/>
              </w:rPr>
              <w:t>Equity Method Investments</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Digital Investment Management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655,152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5"/>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490,632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5"/>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19,167</w:t>
            </w:r>
          </w:p>
        </w:tc>
      </w:tr>
      <w:tr>
        <w:trPr>
          <w:trHeight w:val="185"/>
        </w:trPr>
        <w:tc>
          <w:tcPr>
            <w:tcW w:w="4720" w:type="dxa"/>
            <w:vAlign w:val="bottom"/>
            <w:gridSpan w:val="2"/>
          </w:tcPr>
          <w:p>
            <w:pPr>
              <w:spacing w:after="0"/>
              <w:rPr>
                <w:sz w:val="20"/>
                <w:szCs w:val="20"/>
                <w:color w:val="auto"/>
              </w:rPr>
            </w:pPr>
            <w:r>
              <w:rPr>
                <w:rFonts w:ascii="Arial" w:cs="Arial" w:eastAsia="Arial" w:hAnsi="Arial"/>
                <w:sz w:val="14"/>
                <w:szCs w:val="14"/>
                <w:color w:val="auto"/>
              </w:rPr>
              <w:t>Digital Operating</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7,608,451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6,926,634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2,257,598</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533,069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1,545,975</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555,344</w:t>
            </w:r>
          </w:p>
        </w:tc>
      </w:tr>
      <w:tr>
        <w:trPr>
          <w:trHeight w:val="179"/>
        </w:trPr>
        <w:tc>
          <w:tcPr>
            <w:tcW w:w="7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10,521,201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673,096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8,963,241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574,511</w:t>
            </w:r>
          </w:p>
        </w:tc>
      </w:tr>
      <w:tr>
        <w:trPr>
          <w:trHeight w:val="187"/>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Assets held for disposition related to discontinued operations</w:t>
            </w: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3,676,615</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182,552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11,237,319</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879,729</w:t>
            </w:r>
          </w:p>
        </w:tc>
      </w:tr>
      <w:tr>
        <w:trPr>
          <w:trHeight w:val="179"/>
        </w:trPr>
        <w:tc>
          <w:tcPr>
            <w:tcW w:w="7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14,197,816</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855,648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20,200,560</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1,454,240</w:t>
            </w:r>
          </w:p>
        </w:tc>
      </w:tr>
      <w:tr>
        <w:trPr>
          <w:trHeight w:val="20"/>
        </w:trPr>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06"/>
        <w:spacing w:after="0"/>
        <w:rPr>
          <w:sz w:val="20"/>
          <w:szCs w:val="20"/>
          <w:color w:val="auto"/>
        </w:rPr>
      </w:pPr>
      <w:r>
        <w:rPr>
          <w:rFonts w:ascii="Arial" w:cs="Arial" w:eastAsia="Arial" w:hAnsi="Arial"/>
          <w:sz w:val="16"/>
          <w:szCs w:val="16"/>
          <w:i w:val="1"/>
          <w:iCs w:val="1"/>
          <w:color w:val="auto"/>
        </w:rPr>
        <w:t>Geography</w:t>
      </w:r>
    </w:p>
    <w:p>
      <w:pPr>
        <w:spacing w:after="0" w:line="113" w:lineRule="exact"/>
        <w:rPr>
          <w:sz w:val="20"/>
          <w:szCs w:val="20"/>
          <w:color w:val="auto"/>
        </w:rPr>
      </w:pPr>
    </w:p>
    <w:p>
      <w:pPr>
        <w:ind w:left="6" w:right="380" w:firstLine="351"/>
        <w:spacing w:after="0" w:line="246" w:lineRule="auto"/>
        <w:rPr>
          <w:sz w:val="20"/>
          <w:szCs w:val="20"/>
          <w:color w:val="auto"/>
        </w:rPr>
      </w:pPr>
      <w:r>
        <w:rPr>
          <w:rFonts w:ascii="Arial" w:cs="Arial" w:eastAsia="Arial" w:hAnsi="Arial"/>
          <w:sz w:val="16"/>
          <w:szCs w:val="16"/>
          <w:color w:val="auto"/>
        </w:rPr>
        <w:t>Geographic information about the Company's total income from continuing operations and long-lived assets excluding assets held for disposition are as follows. Geography is generally presented as the location in which the income producing assets reside or the location in which income generating services are performed.</w:t>
      </w:r>
    </w:p>
    <w:p>
      <w:pPr>
        <w:spacing w:after="0" w:line="14"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ind w:left="400"/>
              <w:spacing w:after="0"/>
              <w:rPr>
                <w:sz w:val="20"/>
                <w:szCs w:val="20"/>
                <w:color w:val="auto"/>
              </w:rPr>
            </w:pPr>
            <w:r>
              <w:rPr>
                <w:rFonts w:ascii="Arial" w:cs="Arial" w:eastAsia="Arial" w:hAnsi="Arial"/>
                <w:sz w:val="11"/>
                <w:szCs w:val="11"/>
                <w:b w:val="1"/>
                <w:bCs w:val="1"/>
                <w:color w:val="auto"/>
              </w:rPr>
              <w:t>Year Ended December 31,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17"/>
        </w:trPr>
        <w:tc>
          <w:tcPr>
            <w:tcW w:w="5540" w:type="dxa"/>
            <w:vAlign w:val="bottom"/>
            <w:gridSpan w:val="4"/>
          </w:tcPr>
          <w:p>
            <w:pPr>
              <w:ind w:left="360"/>
              <w:spacing w:after="0" w:line="117" w:lineRule="exact"/>
              <w:rPr>
                <w:sz w:val="20"/>
                <w:szCs w:val="20"/>
                <w:color w:val="auto"/>
              </w:rPr>
            </w:pPr>
            <w:r>
              <w:rPr>
                <w:rFonts w:ascii="Arial" w:cs="Arial" w:eastAsia="Arial" w:hAnsi="Arial"/>
                <w:sz w:val="11"/>
                <w:szCs w:val="11"/>
                <w:b w:val="1"/>
                <w:bCs w:val="1"/>
                <w:color w:val="auto"/>
              </w:rPr>
              <w:t>(In thousands)</w:t>
            </w:r>
          </w:p>
        </w:tc>
        <w:tc>
          <w:tcPr>
            <w:tcW w:w="720" w:type="dxa"/>
            <w:vAlign w:val="bottom"/>
          </w:tcPr>
          <w:p>
            <w:pPr>
              <w:spacing w:after="0"/>
              <w:rPr>
                <w:sz w:val="10"/>
                <w:szCs w:val="10"/>
                <w:color w:val="auto"/>
              </w:rPr>
            </w:pPr>
          </w:p>
        </w:tc>
        <w:tc>
          <w:tcPr>
            <w:tcW w:w="1140" w:type="dxa"/>
            <w:vAlign w:val="bottom"/>
          </w:tcPr>
          <w:p>
            <w:pPr>
              <w:jc w:val="right"/>
              <w:ind w:right="553"/>
              <w:spacing w:after="0" w:line="11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jc w:val="right"/>
              <w:ind w:right="555"/>
              <w:spacing w:after="0" w:line="117"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right"/>
              <w:ind w:right="535"/>
              <w:spacing w:after="0" w:line="117" w:lineRule="exact"/>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0"/>
                <w:szCs w:val="10"/>
                <w:color w:val="auto"/>
              </w:rPr>
            </w:pPr>
          </w:p>
        </w:tc>
      </w:tr>
      <w:tr>
        <w:trPr>
          <w:trHeight w:val="20"/>
        </w:trPr>
        <w:tc>
          <w:tcPr>
            <w:tcW w:w="3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2"/>
        </w:trPr>
        <w:tc>
          <w:tcPr>
            <w:tcW w:w="5540" w:type="dxa"/>
            <w:vAlign w:val="bottom"/>
            <w:gridSpan w:val="4"/>
            <w:shd w:val="clear" w:color="auto" w:fill="CCEEFF"/>
          </w:tcPr>
          <w:p>
            <w:pPr>
              <w:ind w:left="360"/>
              <w:spacing w:after="0"/>
              <w:rPr>
                <w:sz w:val="20"/>
                <w:szCs w:val="20"/>
                <w:color w:val="auto"/>
              </w:rPr>
            </w:pPr>
            <w:r>
              <w:rPr>
                <w:rFonts w:ascii="Arial" w:cs="Arial" w:eastAsia="Arial" w:hAnsi="Arial"/>
                <w:sz w:val="14"/>
                <w:szCs w:val="14"/>
                <w:b w:val="1"/>
                <w:bCs w:val="1"/>
                <w:color w:val="auto"/>
              </w:rPr>
              <w:t>Total income by geography:</w:t>
            </w:r>
          </w:p>
        </w:tc>
        <w:tc>
          <w:tcPr>
            <w:tcW w:w="7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5"/>
        </w:trPr>
        <w:tc>
          <w:tcPr>
            <w:tcW w:w="360" w:type="dxa"/>
            <w:vAlign w:val="bottom"/>
          </w:tcPr>
          <w:p>
            <w:pPr>
              <w:spacing w:after="0"/>
              <w:rPr>
                <w:sz w:val="16"/>
                <w:szCs w:val="16"/>
                <w:color w:val="auto"/>
              </w:rPr>
            </w:pPr>
          </w:p>
        </w:tc>
        <w:tc>
          <w:tcPr>
            <w:tcW w:w="5180" w:type="dxa"/>
            <w:vAlign w:val="bottom"/>
            <w:gridSpan w:val="3"/>
          </w:tcPr>
          <w:p>
            <w:pPr>
              <w:ind w:left="80"/>
              <w:spacing w:after="0"/>
              <w:rPr>
                <w:sz w:val="20"/>
                <w:szCs w:val="20"/>
                <w:color w:val="auto"/>
              </w:rPr>
            </w:pPr>
            <w:r>
              <w:rPr>
                <w:rFonts w:ascii="Arial" w:cs="Arial" w:eastAsia="Arial" w:hAnsi="Arial"/>
                <w:sz w:val="14"/>
                <w:szCs w:val="14"/>
                <w:color w:val="auto"/>
              </w:rPr>
              <w:t>United States</w:t>
            </w:r>
          </w:p>
        </w:tc>
        <w:tc>
          <w:tcPr>
            <w:tcW w:w="7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1,112,265</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382,920</w:t>
            </w:r>
          </w:p>
        </w:tc>
        <w:tc>
          <w:tcPr>
            <w:tcW w:w="100" w:type="dxa"/>
            <w:vAlign w:val="bottom"/>
          </w:tcPr>
          <w:p>
            <w:pPr>
              <w:spacing w:after="0"/>
              <w:rPr>
                <w:sz w:val="16"/>
                <w:szCs w:val="16"/>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41,723</w:t>
            </w:r>
          </w:p>
        </w:tc>
        <w:tc>
          <w:tcPr>
            <w:tcW w:w="20" w:type="dxa"/>
            <w:vAlign w:val="bottom"/>
          </w:tcPr>
          <w:p>
            <w:pPr>
              <w:spacing w:after="0"/>
              <w:rPr>
                <w:sz w:val="16"/>
                <w:szCs w:val="16"/>
                <w:color w:val="auto"/>
              </w:rPr>
            </w:pPr>
          </w:p>
        </w:tc>
      </w:tr>
      <w:tr>
        <w:trPr>
          <w:trHeight w:val="189"/>
        </w:trPr>
        <w:tc>
          <w:tcPr>
            <w:tcW w:w="360" w:type="dxa"/>
            <w:vAlign w:val="bottom"/>
            <w:shd w:val="clear" w:color="auto" w:fill="CCEEFF"/>
          </w:tcPr>
          <w:p>
            <w:pPr>
              <w:spacing w:after="0"/>
              <w:rPr>
                <w:sz w:val="16"/>
                <w:szCs w:val="16"/>
                <w:color w:val="auto"/>
              </w:rPr>
            </w:pPr>
          </w:p>
        </w:tc>
        <w:tc>
          <w:tcPr>
            <w:tcW w:w="51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Europe</w:t>
            </w:r>
          </w:p>
        </w:tc>
        <w:tc>
          <w:tcPr>
            <w:tcW w:w="7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5"/>
        </w:trPr>
        <w:tc>
          <w:tcPr>
            <w:tcW w:w="360" w:type="dxa"/>
            <w:vAlign w:val="bottom"/>
            <w:tcBorders>
              <w:bottom w:val="single" w:sz="8" w:color="CCEEFF"/>
            </w:tcBorders>
          </w:tcPr>
          <w:p>
            <w:pPr>
              <w:spacing w:after="0"/>
              <w:rPr>
                <w:sz w:val="16"/>
                <w:szCs w:val="16"/>
                <w:color w:val="auto"/>
              </w:rPr>
            </w:pPr>
          </w:p>
        </w:tc>
        <w:tc>
          <w:tcPr>
            <w:tcW w:w="518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6"/>
        </w:trPr>
        <w:tc>
          <w:tcPr>
            <w:tcW w:w="36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CCEEFF"/>
            </w:tcBorders>
            <w:gridSpan w:val="3"/>
            <w:shd w:val="clear" w:color="auto" w:fill="CCEEFF"/>
          </w:tcPr>
          <w:p>
            <w:pPr>
              <w:ind w:left="220"/>
              <w:spacing w:after="0" w:line="18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vertAlign w:val="superscript"/>
              </w:rPr>
              <w:t>(1)</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1,182,091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401,488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41,723</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5540" w:type="dxa"/>
            <w:vAlign w:val="bottom"/>
            <w:gridSpan w:val="4"/>
          </w:tcPr>
          <w:p>
            <w:pPr>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40" w:type="dxa"/>
            <w:vAlign w:val="bottom"/>
            <w:gridSpan w:val="2"/>
          </w:tcPr>
          <w:p>
            <w:pPr>
              <w:ind w:left="300"/>
              <w:spacing w:after="0"/>
              <w:rPr>
                <w:sz w:val="20"/>
                <w:szCs w:val="20"/>
                <w:color w:val="auto"/>
              </w:rPr>
            </w:pPr>
            <w:r>
              <w:rPr>
                <w:rFonts w:ascii="Arial" w:cs="Arial" w:eastAsia="Arial" w:hAnsi="Arial"/>
                <w:sz w:val="11"/>
                <w:szCs w:val="11"/>
                <w:b w:val="1"/>
                <w:bCs w:val="1"/>
                <w:color w:val="auto"/>
              </w:rPr>
              <w:t>December 31, 2021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6130" cy="1187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118745"/>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185"/>
        </w:trPr>
        <w:tc>
          <w:tcPr>
            <w:tcW w:w="8000" w:type="dxa"/>
            <w:vAlign w:val="bottom"/>
          </w:tcPr>
          <w:p>
            <w:pPr>
              <w:spacing w:after="0"/>
              <w:rPr>
                <w:sz w:val="20"/>
                <w:szCs w:val="20"/>
                <w:color w:val="auto"/>
              </w:rPr>
            </w:pPr>
            <w:r>
              <w:rPr>
                <w:rFonts w:ascii="Arial" w:cs="Arial" w:eastAsia="Arial" w:hAnsi="Arial"/>
                <w:sz w:val="14"/>
                <w:szCs w:val="14"/>
                <w:b w:val="1"/>
                <w:bCs w:val="1"/>
                <w:color w:val="auto"/>
              </w:rPr>
              <w:t>Long-lived assets by geography:</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5"/>
        </w:trPr>
        <w:tc>
          <w:tcPr>
            <w:tcW w:w="80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5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4,986,538</w:t>
            </w:r>
          </w:p>
        </w:tc>
        <w:tc>
          <w:tcPr>
            <w:tcW w:w="80" w:type="dxa"/>
            <w:vAlign w:val="bottom"/>
          </w:tcPr>
          <w:p>
            <w:pPr>
              <w:spacing w:after="0"/>
              <w:rPr>
                <w:sz w:val="15"/>
                <w:szCs w:val="15"/>
                <w:color w:val="auto"/>
              </w:rPr>
            </w:pPr>
          </w:p>
        </w:tc>
        <w:tc>
          <w:tcPr>
            <w:tcW w:w="5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5,480,889</w:t>
            </w:r>
          </w:p>
        </w:tc>
      </w:tr>
      <w:tr>
        <w:trPr>
          <w:trHeight w:val="189"/>
        </w:trPr>
        <w:tc>
          <w:tcPr>
            <w:tcW w:w="8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Europe</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915,728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75,503</w:t>
            </w:r>
          </w:p>
        </w:tc>
      </w:tr>
      <w:tr>
        <w:trPr>
          <w:trHeight w:val="185"/>
        </w:trPr>
        <w:tc>
          <w:tcPr>
            <w:tcW w:w="80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633,618</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624,680</w:t>
            </w:r>
          </w:p>
        </w:tc>
      </w:tr>
      <w:tr>
        <w:trPr>
          <w:trHeight w:val="206"/>
        </w:trPr>
        <w:tc>
          <w:tcPr>
            <w:tcW w:w="800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vertAlign w:val="superscript"/>
              </w:rPr>
              <w:t>(2)</w:t>
            </w:r>
          </w:p>
        </w:tc>
        <w:tc>
          <w:tcPr>
            <w:tcW w:w="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6,535,884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6,181,072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64" w:lineRule="exact"/>
        <w:rPr>
          <w:sz w:val="20"/>
          <w:szCs w:val="20"/>
          <w:color w:val="auto"/>
        </w:rPr>
      </w:pPr>
    </w:p>
    <w:p>
      <w:pPr>
        <w:ind w:left="206" w:right="160" w:hanging="206"/>
        <w:spacing w:after="0" w:line="209" w:lineRule="auto"/>
        <w:tabs>
          <w:tab w:leader="none" w:pos="263" w:val="left"/>
        </w:tabs>
        <w:numPr>
          <w:ilvl w:val="0"/>
          <w:numId w:val="116"/>
        </w:numPr>
        <w:rPr>
          <w:rFonts w:ascii="Arial" w:cs="Arial" w:eastAsia="Arial" w:hAnsi="Arial"/>
          <w:sz w:val="18"/>
          <w:szCs w:val="18"/>
          <w:color w:val="auto"/>
          <w:vertAlign w:val="superscript"/>
        </w:rPr>
      </w:pPr>
      <w:r>
        <w:rPr>
          <w:rFonts w:ascii="Arial" w:cs="Arial" w:eastAsia="Arial" w:hAnsi="Arial"/>
          <w:sz w:val="12"/>
          <w:szCs w:val="12"/>
          <w:color w:val="auto"/>
        </w:rPr>
        <w:t>Total income includes the Company's share of earnings (loss) from its equity method investments (but excludes the Company's impairment of its equity method investments of $254.5 million in 2020 and $211.1 million in 2019, with no impairment recorded in 2021); and excludes cost reimbursement income from affiliates (Note 18) and income from discontinued operations (Note 12).</w:t>
      </w:r>
    </w:p>
    <w:p>
      <w:pPr>
        <w:spacing w:after="0" w:line="50" w:lineRule="exact"/>
        <w:rPr>
          <w:rFonts w:ascii="Arial" w:cs="Arial" w:eastAsia="Arial" w:hAnsi="Arial"/>
          <w:sz w:val="18"/>
          <w:szCs w:val="18"/>
          <w:color w:val="auto"/>
          <w:vertAlign w:val="superscript"/>
        </w:rPr>
      </w:pPr>
    </w:p>
    <w:p>
      <w:pPr>
        <w:ind w:left="206" w:right="180" w:hanging="206"/>
        <w:spacing w:after="0" w:line="209" w:lineRule="auto"/>
        <w:tabs>
          <w:tab w:leader="none" w:pos="263" w:val="left"/>
        </w:tabs>
        <w:numPr>
          <w:ilvl w:val="0"/>
          <w:numId w:val="116"/>
        </w:numPr>
        <w:rPr>
          <w:rFonts w:ascii="Arial" w:cs="Arial" w:eastAsia="Arial" w:hAnsi="Arial"/>
          <w:sz w:val="18"/>
          <w:szCs w:val="18"/>
          <w:color w:val="auto"/>
          <w:vertAlign w:val="superscript"/>
        </w:rPr>
      </w:pPr>
      <w:r>
        <w:rPr>
          <w:rFonts w:ascii="Arial" w:cs="Arial" w:eastAsia="Arial" w:hAnsi="Arial"/>
          <w:sz w:val="12"/>
          <w:szCs w:val="12"/>
          <w:color w:val="auto"/>
        </w:rPr>
        <w:t>Long-lived assets comprise real estate held for investment, lease related intangible assets, operating lease right-of-use assets and fixed assets, and exclude financial instruments, non-lease related intangible assets and assets held for disposition.</w:t>
      </w: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72" w:name="page173"/>
    <w:bookmarkEnd w:id="172"/>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21. Commitments and Contingencies</w:t>
      </w:r>
    </w:p>
    <w:p>
      <w:pPr>
        <w:spacing w:after="0" w:line="143"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Leases</w:t>
      </w:r>
    </w:p>
    <w:p>
      <w:pPr>
        <w:spacing w:after="0" w:line="115" w:lineRule="exact"/>
        <w:rPr>
          <w:sz w:val="20"/>
          <w:szCs w:val="20"/>
          <w:color w:val="auto"/>
        </w:rPr>
      </w:pPr>
    </w:p>
    <w:p>
      <w:pPr>
        <w:ind w:left="6" w:right="100" w:firstLine="351"/>
        <w:spacing w:after="0" w:line="246" w:lineRule="auto"/>
        <w:rPr>
          <w:sz w:val="20"/>
          <w:szCs w:val="20"/>
          <w:color w:val="auto"/>
        </w:rPr>
      </w:pPr>
      <w:r>
        <w:rPr>
          <w:rFonts w:ascii="Arial" w:cs="Arial" w:eastAsia="Arial" w:hAnsi="Arial"/>
          <w:sz w:val="16"/>
          <w:szCs w:val="16"/>
          <w:color w:val="auto"/>
        </w:rPr>
        <w:t>As lessee, the Company's leasing arrangements are composed of (i) leases on investment properties, consisting primarily of finance and operating leases on powered shell spaces for data centers, an air rights operating lease, lease on data center equipment, and operating ground leases; and (ii) operating leases for corporate offices.</w:t>
      </w:r>
    </w:p>
    <w:p>
      <w:pPr>
        <w:spacing w:after="0" w:line="89" w:lineRule="exact"/>
        <w:rPr>
          <w:sz w:val="20"/>
          <w:szCs w:val="20"/>
          <w:color w:val="auto"/>
        </w:rPr>
      </w:pPr>
    </w:p>
    <w:p>
      <w:pPr>
        <w:ind w:left="6" w:right="120" w:firstLine="351"/>
        <w:spacing w:after="0" w:line="246" w:lineRule="auto"/>
        <w:rPr>
          <w:sz w:val="20"/>
          <w:szCs w:val="20"/>
          <w:color w:val="auto"/>
        </w:rPr>
      </w:pPr>
      <w:r>
        <w:rPr>
          <w:rFonts w:ascii="Arial" w:cs="Arial" w:eastAsia="Arial" w:hAnsi="Arial"/>
          <w:sz w:val="16"/>
          <w:szCs w:val="16"/>
          <w:color w:val="auto"/>
        </w:rPr>
        <w:t>The weighted average remaining lease term based upon outstanding lease liability balances at December 31, 2021, excluding leases on investment properties held for disposition, was 11.4 years for finance leases on investment properties, 10.1 years for operating leases on investment properties and 5.7 years for operating leases on corporate offices.</w:t>
      </w:r>
    </w:p>
    <w:p>
      <w:pPr>
        <w:spacing w:after="0" w:line="393" w:lineRule="exact"/>
        <w:rPr>
          <w:sz w:val="20"/>
          <w:szCs w:val="20"/>
          <w:color w:val="auto"/>
        </w:rPr>
      </w:pPr>
    </w:p>
    <w:p>
      <w:pPr>
        <w:ind w:left="6" w:right="100" w:firstLine="351"/>
        <w:spacing w:after="0" w:line="248" w:lineRule="auto"/>
        <w:rPr>
          <w:sz w:val="20"/>
          <w:szCs w:val="20"/>
          <w:color w:val="auto"/>
        </w:rPr>
      </w:pPr>
      <w:r>
        <w:rPr>
          <w:rFonts w:ascii="Arial" w:cs="Arial" w:eastAsia="Arial" w:hAnsi="Arial"/>
          <w:sz w:val="16"/>
          <w:szCs w:val="16"/>
          <w:color w:val="auto"/>
        </w:rPr>
        <w:t>The following table summarizes total lease cost for operating leases and finance leases, excluding leases on investment properties classified as discontinued operations. In 2019, there were no finance leases and operating lease cost on investment properties in the digital segment was immaterial.</w:t>
      </w:r>
    </w:p>
    <w:p>
      <w:pPr>
        <w:spacing w:after="0" w:line="106"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Year Ended December 31,</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3"/>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2020</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2019</w:t>
            </w:r>
          </w:p>
        </w:tc>
      </w:tr>
      <w:tr>
        <w:trPr>
          <w:trHeight w:val="117"/>
        </w:trPr>
        <w:tc>
          <w:tcPr>
            <w:tcW w:w="46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134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Investment Properties</w:t>
            </w:r>
          </w:p>
        </w:tc>
        <w:tc>
          <w:tcPr>
            <w:tcW w:w="120" w:type="dxa"/>
            <w:vAlign w:val="bottom"/>
          </w:tcPr>
          <w:p>
            <w:pPr>
              <w:spacing w:after="0"/>
              <w:rPr>
                <w:sz w:val="10"/>
                <w:szCs w:val="10"/>
                <w:color w:val="auto"/>
              </w:rPr>
            </w:pPr>
          </w:p>
        </w:tc>
        <w:tc>
          <w:tcPr>
            <w:tcW w:w="1120" w:type="dxa"/>
            <w:vAlign w:val="bottom"/>
          </w:tcPr>
          <w:p>
            <w:pPr>
              <w:jc w:val="right"/>
              <w:ind w:right="92"/>
              <w:spacing w:after="0" w:line="117" w:lineRule="exact"/>
              <w:rPr>
                <w:sz w:val="20"/>
                <w:szCs w:val="20"/>
                <w:color w:val="auto"/>
              </w:rPr>
            </w:pPr>
            <w:r>
              <w:rPr>
                <w:rFonts w:ascii="Arial" w:cs="Arial" w:eastAsia="Arial" w:hAnsi="Arial"/>
                <w:sz w:val="11"/>
                <w:szCs w:val="11"/>
                <w:b w:val="1"/>
                <w:bCs w:val="1"/>
                <w:color w:val="auto"/>
              </w:rPr>
              <w:t>Corporate Offices</w:t>
            </w:r>
          </w:p>
        </w:tc>
        <w:tc>
          <w:tcPr>
            <w:tcW w:w="100" w:type="dxa"/>
            <w:vAlign w:val="bottom"/>
          </w:tcPr>
          <w:p>
            <w:pPr>
              <w:spacing w:after="0"/>
              <w:rPr>
                <w:sz w:val="10"/>
                <w:szCs w:val="10"/>
                <w:color w:val="auto"/>
              </w:rPr>
            </w:pPr>
          </w:p>
        </w:tc>
        <w:tc>
          <w:tcPr>
            <w:tcW w:w="1340" w:type="dxa"/>
            <w:vAlign w:val="bottom"/>
            <w:gridSpan w:val="3"/>
          </w:tcPr>
          <w:p>
            <w:pPr>
              <w:jc w:val="center"/>
              <w:ind w:right="80"/>
              <w:spacing w:after="0" w:line="117" w:lineRule="exact"/>
              <w:rPr>
                <w:sz w:val="20"/>
                <w:szCs w:val="20"/>
                <w:color w:val="auto"/>
              </w:rPr>
            </w:pPr>
            <w:r>
              <w:rPr>
                <w:rFonts w:ascii="Arial" w:cs="Arial" w:eastAsia="Arial" w:hAnsi="Arial"/>
                <w:sz w:val="11"/>
                <w:szCs w:val="11"/>
                <w:b w:val="1"/>
                <w:bCs w:val="1"/>
                <w:color w:val="auto"/>
                <w:w w:val="98"/>
              </w:rPr>
              <w:t>Investment Properties</w:t>
            </w:r>
          </w:p>
        </w:tc>
        <w:tc>
          <w:tcPr>
            <w:tcW w:w="140" w:type="dxa"/>
            <w:vAlign w:val="bottom"/>
          </w:tcPr>
          <w:p>
            <w:pPr>
              <w:spacing w:after="0"/>
              <w:rPr>
                <w:sz w:val="10"/>
                <w:szCs w:val="10"/>
                <w:color w:val="auto"/>
              </w:rPr>
            </w:pPr>
          </w:p>
        </w:tc>
        <w:tc>
          <w:tcPr>
            <w:tcW w:w="11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Corporate Offices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94"/>
              <w:spacing w:after="0" w:line="117" w:lineRule="exact"/>
              <w:rPr>
                <w:sz w:val="20"/>
                <w:szCs w:val="20"/>
                <w:color w:val="auto"/>
              </w:rPr>
            </w:pPr>
            <w:r>
              <w:rPr>
                <w:rFonts w:ascii="Arial" w:cs="Arial" w:eastAsia="Arial" w:hAnsi="Arial"/>
                <w:sz w:val="11"/>
                <w:szCs w:val="11"/>
                <w:b w:val="1"/>
                <w:bCs w:val="1"/>
                <w:color w:val="auto"/>
              </w:rPr>
              <w:t>Corporate Offices</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2"/>
        </w:trPr>
        <w:tc>
          <w:tcPr>
            <w:tcW w:w="4600" w:type="dxa"/>
            <w:vAlign w:val="bottom"/>
            <w:gridSpan w:val="2"/>
            <w:shd w:val="clear" w:color="auto" w:fill="CCEEFF"/>
          </w:tcPr>
          <w:p>
            <w:pPr>
              <w:spacing w:after="0" w:line="163" w:lineRule="exact"/>
              <w:rPr>
                <w:sz w:val="20"/>
                <w:szCs w:val="20"/>
                <w:color w:val="auto"/>
              </w:rPr>
            </w:pPr>
            <w:r>
              <w:rPr>
                <w:rFonts w:ascii="Arial" w:cs="Arial" w:eastAsia="Arial" w:hAnsi="Arial"/>
                <w:sz w:val="14"/>
                <w:szCs w:val="14"/>
                <w:color w:val="auto"/>
              </w:rPr>
              <w:t xml:space="preserve">Operating leases: </w:t>
            </w:r>
            <w:r>
              <w:rPr>
                <w:rFonts w:ascii="Arial" w:cs="Arial" w:eastAsia="Arial" w:hAnsi="Arial"/>
                <w:sz w:val="18"/>
                <w:szCs w:val="18"/>
                <w:color w:val="auto"/>
                <w:vertAlign w:val="superscript"/>
              </w:rPr>
              <w:t>(1)</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5"/>
        </w:trPr>
        <w:tc>
          <w:tcPr>
            <w:tcW w:w="4600" w:type="dxa"/>
            <w:vAlign w:val="bottom"/>
            <w:gridSpan w:val="2"/>
          </w:tcPr>
          <w:p>
            <w:pPr>
              <w:ind w:left="120"/>
              <w:spacing w:after="0"/>
              <w:rPr>
                <w:sz w:val="20"/>
                <w:szCs w:val="20"/>
                <w:color w:val="auto"/>
              </w:rPr>
            </w:pPr>
            <w:r>
              <w:rPr>
                <w:rFonts w:ascii="Arial" w:cs="Arial" w:eastAsia="Arial" w:hAnsi="Arial"/>
                <w:sz w:val="14"/>
                <w:szCs w:val="14"/>
                <w:color w:val="auto"/>
              </w:rPr>
              <w:t>Fixed lease expense</w:t>
            </w:r>
          </w:p>
        </w:tc>
        <w:tc>
          <w:tcPr>
            <w:tcW w:w="42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63,356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7,010</w:t>
            </w:r>
          </w:p>
        </w:tc>
        <w:tc>
          <w:tcPr>
            <w:tcW w:w="520" w:type="dxa"/>
            <w:vAlign w:val="bottom"/>
            <w:gridSpan w:val="2"/>
          </w:tcPr>
          <w:p>
            <w:pPr>
              <w:jc w:val="right"/>
              <w:ind w:right="265"/>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18,456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9,005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7,948</w:t>
            </w:r>
          </w:p>
        </w:tc>
      </w:tr>
      <w:tr>
        <w:trPr>
          <w:trHeight w:val="187"/>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lease expense</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r>
      <w:tr>
        <w:trPr>
          <w:trHeight w:val="181"/>
        </w:trPr>
        <w:tc>
          <w:tcPr>
            <w:tcW w:w="4600" w:type="dxa"/>
            <w:vAlign w:val="bottom"/>
            <w:gridSpan w:val="2"/>
          </w:tcPr>
          <w:p>
            <w:pPr>
              <w:ind w:left="280"/>
              <w:spacing w:after="0"/>
              <w:rPr>
                <w:sz w:val="20"/>
                <w:szCs w:val="20"/>
                <w:color w:val="auto"/>
              </w:rPr>
            </w:pPr>
            <w:r>
              <w:rPr>
                <w:rFonts w:ascii="Arial" w:cs="Arial" w:eastAsia="Arial" w:hAnsi="Arial"/>
                <w:sz w:val="14"/>
                <w:szCs w:val="14"/>
                <w:color w:val="auto"/>
              </w:rPr>
              <w:t>Total operating lease cost</w:t>
            </w:r>
          </w:p>
        </w:tc>
        <w:tc>
          <w:tcPr>
            <w:tcW w:w="42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78,253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8,839</w:t>
            </w:r>
          </w:p>
        </w:tc>
        <w:tc>
          <w:tcPr>
            <w:tcW w:w="520" w:type="dxa"/>
            <w:vAlign w:val="bottom"/>
            <w:gridSpan w:val="2"/>
          </w:tcPr>
          <w:p>
            <w:pPr>
              <w:jc w:val="right"/>
              <w:ind w:right="265"/>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24,068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10,991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9,262</w:t>
            </w: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5"/>
        </w:trPr>
        <w:tc>
          <w:tcPr>
            <w:tcW w:w="4600" w:type="dxa"/>
            <w:vAlign w:val="bottom"/>
            <w:gridSpan w:val="2"/>
          </w:tcPr>
          <w:p>
            <w:pPr>
              <w:spacing w:after="0"/>
              <w:rPr>
                <w:sz w:val="20"/>
                <w:szCs w:val="20"/>
                <w:color w:val="auto"/>
              </w:rPr>
            </w:pPr>
            <w:r>
              <w:rPr>
                <w:rFonts w:ascii="Arial" w:cs="Arial" w:eastAsia="Arial" w:hAnsi="Arial"/>
                <w:sz w:val="14"/>
                <w:szCs w:val="14"/>
                <w:color w:val="auto"/>
              </w:rPr>
              <w:t>Finance leases:</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4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42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5"/>
        </w:trPr>
        <w:tc>
          <w:tcPr>
            <w:tcW w:w="4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Amortization of ROU lease asset</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r>
      <w:tr>
        <w:trPr>
          <w:trHeight w:val="201"/>
        </w:trPr>
        <w:tc>
          <w:tcPr>
            <w:tcW w:w="4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finance lease cost</w:t>
            </w:r>
          </w:p>
        </w:tc>
        <w:tc>
          <w:tcPr>
            <w:tcW w:w="42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266" w:hanging="266"/>
        <w:spacing w:after="0"/>
        <w:tabs>
          <w:tab w:leader="none" w:pos="266" w:val="left"/>
        </w:tabs>
        <w:numPr>
          <w:ilvl w:val="0"/>
          <w:numId w:val="117"/>
        </w:numPr>
        <w:rPr>
          <w:rFonts w:ascii="Arial" w:cs="Arial" w:eastAsia="Arial" w:hAnsi="Arial"/>
          <w:sz w:val="16"/>
          <w:szCs w:val="16"/>
          <w:color w:val="auto"/>
          <w:vertAlign w:val="superscript"/>
        </w:rPr>
      </w:pPr>
      <w:r>
        <w:rPr>
          <w:rFonts w:ascii="Arial" w:cs="Arial" w:eastAsia="Arial" w:hAnsi="Arial"/>
          <w:sz w:val="12"/>
          <w:szCs w:val="12"/>
          <w:color w:val="auto"/>
        </w:rPr>
        <w:t>Total lease cost for operating leases is included in property operating expense for investment properties and administrative expense for corporate offices.</w:t>
      </w:r>
    </w:p>
    <w:p>
      <w:pPr>
        <w:spacing w:after="0" w:line="111" w:lineRule="exact"/>
        <w:rPr>
          <w:sz w:val="20"/>
          <w:szCs w:val="20"/>
          <w:color w:val="auto"/>
        </w:rPr>
      </w:pPr>
    </w:p>
    <w:p>
      <w:pPr>
        <w:ind w:left="346"/>
        <w:spacing w:after="0"/>
        <w:rPr>
          <w:sz w:val="20"/>
          <w:szCs w:val="20"/>
          <w:color w:val="auto"/>
        </w:rPr>
      </w:pPr>
      <w:r>
        <w:rPr>
          <w:rFonts w:ascii="Arial" w:cs="Arial" w:eastAsia="Arial" w:hAnsi="Arial"/>
          <w:sz w:val="16"/>
          <w:szCs w:val="16"/>
          <w:i w:val="1"/>
          <w:iCs w:val="1"/>
          <w:color w:val="auto"/>
        </w:rPr>
        <w:t>Lease Commitments</w:t>
      </w:r>
    </w:p>
    <w:p>
      <w:pPr>
        <w:spacing w:after="0" w:line="101" w:lineRule="exact"/>
        <w:rPr>
          <w:sz w:val="20"/>
          <w:szCs w:val="20"/>
          <w:color w:val="auto"/>
        </w:rPr>
      </w:pPr>
    </w:p>
    <w:p>
      <w:pPr>
        <w:ind w:left="6" w:right="20" w:firstLine="351"/>
        <w:spacing w:after="0" w:line="221" w:lineRule="auto"/>
        <w:rPr>
          <w:sz w:val="20"/>
          <w:szCs w:val="20"/>
          <w:color w:val="auto"/>
        </w:rPr>
      </w:pPr>
      <w:r>
        <w:rPr>
          <w:rFonts w:ascii="Arial" w:cs="Arial" w:eastAsia="Arial" w:hAnsi="Arial"/>
          <w:sz w:val="16"/>
          <w:szCs w:val="16"/>
          <w:color w:val="auto"/>
        </w:rPr>
        <w:t>Finance and operating lease liabilities take into consideration renewal or termination options when such options are deemed reasonably certain to be exercised by the Company and exclude variable lease payments which are expensed as incurred. The Company makes variable lease payments for: (i) leases with rental payments that are adjusted periodically for inflation, and/or (ii) nonlease services, such as common area maintenance and operating expenses, primarily for power, in data center leases.</w:t>
      </w:r>
    </w:p>
    <w:p>
      <w:pPr>
        <w:spacing w:after="0" w:line="71" w:lineRule="exact"/>
        <w:rPr>
          <w:sz w:val="20"/>
          <w:szCs w:val="20"/>
          <w:color w:val="auto"/>
        </w:rPr>
      </w:pPr>
    </w:p>
    <w:p>
      <w:pPr>
        <w:ind w:left="6" w:right="320" w:firstLine="351"/>
        <w:spacing w:after="0" w:line="223" w:lineRule="auto"/>
        <w:rPr>
          <w:sz w:val="20"/>
          <w:szCs w:val="20"/>
          <w:color w:val="auto"/>
        </w:rPr>
      </w:pPr>
      <w:r>
        <w:rPr>
          <w:rFonts w:ascii="Arial" w:cs="Arial" w:eastAsia="Arial" w:hAnsi="Arial"/>
          <w:sz w:val="16"/>
          <w:szCs w:val="16"/>
          <w:color w:val="auto"/>
        </w:rPr>
        <w:t>The table below presents the Company's future lease commitments at December 31, 2021, determined using weighted average discount rates of 6.2% for finance leases on investment properties, 6.5% for operating leases on investment properties, excluding properties held for disposition, and 4.6% for operating leases on corporate offices:</w:t>
      </w:r>
    </w:p>
    <w:p>
      <w:pPr>
        <w:spacing w:after="0" w:line="121"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6160" w:type="dxa"/>
            <w:vAlign w:val="bottom"/>
            <w:gridSpan w:val="3"/>
          </w:tcPr>
          <w:p>
            <w:pPr>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1580" w:type="dxa"/>
            <w:vAlign w:val="bottom"/>
            <w:gridSpan w:val="2"/>
          </w:tcPr>
          <w:p>
            <w:pPr>
              <w:ind w:left="260"/>
              <w:spacing w:after="0"/>
              <w:rPr>
                <w:sz w:val="20"/>
                <w:szCs w:val="20"/>
                <w:color w:val="auto"/>
              </w:rPr>
            </w:pPr>
            <w:r>
              <w:rPr>
                <w:rFonts w:ascii="Arial" w:cs="Arial" w:eastAsia="Arial" w:hAnsi="Arial"/>
                <w:sz w:val="11"/>
                <w:szCs w:val="11"/>
                <w:b w:val="1"/>
                <w:bCs w:val="1"/>
                <w:color w:val="auto"/>
              </w:rPr>
              <w:t>Finance Leases</w:t>
            </w:r>
          </w:p>
        </w:tc>
        <w:tc>
          <w:tcPr>
            <w:tcW w:w="180" w:type="dxa"/>
            <w:vAlign w:val="bottom"/>
          </w:tcPr>
          <w:p>
            <w:pPr>
              <w:spacing w:after="0"/>
              <w:rPr>
                <w:sz w:val="10"/>
                <w:szCs w:val="10"/>
                <w:color w:val="auto"/>
              </w:rPr>
            </w:pPr>
          </w:p>
        </w:tc>
        <w:tc>
          <w:tcPr>
            <w:tcW w:w="3160" w:type="dxa"/>
            <w:vAlign w:val="bottom"/>
            <w:gridSpan w:val="4"/>
          </w:tcPr>
          <w:p>
            <w:pPr>
              <w:jc w:val="right"/>
              <w:ind w:right="1151"/>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Year Ending December 31,</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1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jc w:val="right"/>
              <w:ind w:right="173"/>
              <w:spacing w:after="0" w:line="104" w:lineRule="exact"/>
              <w:rPr>
                <w:sz w:val="20"/>
                <w:szCs w:val="20"/>
                <w:color w:val="auto"/>
              </w:rPr>
            </w:pPr>
            <w:r>
              <w:rPr>
                <w:rFonts w:ascii="Arial" w:cs="Arial" w:eastAsia="Arial" w:hAnsi="Arial"/>
                <w:sz w:val="11"/>
                <w:szCs w:val="11"/>
                <w:b w:val="1"/>
                <w:bCs w:val="1"/>
                <w:color w:val="auto"/>
              </w:rPr>
              <w:t>Investment Properties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2"/>
          </w:tcPr>
          <w:p>
            <w:pPr>
              <w:ind w:left="80"/>
              <w:spacing w:after="0" w:line="104" w:lineRule="exact"/>
              <w:rPr>
                <w:sz w:val="20"/>
                <w:szCs w:val="20"/>
                <w:color w:val="auto"/>
              </w:rPr>
            </w:pPr>
            <w:r>
              <w:rPr>
                <w:rFonts w:ascii="Arial" w:cs="Arial" w:eastAsia="Arial" w:hAnsi="Arial"/>
                <w:sz w:val="11"/>
                <w:szCs w:val="11"/>
                <w:b w:val="1"/>
                <w:bCs w:val="1"/>
                <w:color w:val="auto"/>
              </w:rPr>
              <w:t>Investment Properties</w:t>
            </w:r>
          </w:p>
        </w:tc>
        <w:tc>
          <w:tcPr>
            <w:tcW w:w="220" w:type="dxa"/>
            <w:vAlign w:val="bottom"/>
          </w:tcPr>
          <w:p>
            <w:pPr>
              <w:spacing w:after="0"/>
              <w:rPr>
                <w:sz w:val="9"/>
                <w:szCs w:val="9"/>
                <w:color w:val="auto"/>
              </w:rPr>
            </w:pPr>
          </w:p>
        </w:tc>
        <w:tc>
          <w:tcPr>
            <w:tcW w:w="1360" w:type="dxa"/>
            <w:vAlign w:val="bottom"/>
          </w:tcPr>
          <w:p>
            <w:pPr>
              <w:jc w:val="right"/>
              <w:ind w:right="251"/>
              <w:spacing w:after="0" w:line="104" w:lineRule="exact"/>
              <w:rPr>
                <w:sz w:val="20"/>
                <w:szCs w:val="20"/>
                <w:color w:val="auto"/>
              </w:rPr>
            </w:pPr>
            <w:r>
              <w:rPr>
                <w:rFonts w:ascii="Arial" w:cs="Arial" w:eastAsia="Arial" w:hAnsi="Arial"/>
                <w:sz w:val="11"/>
                <w:szCs w:val="11"/>
                <w:b w:val="1"/>
                <w:bCs w:val="1"/>
                <w:color w:val="auto"/>
              </w:rPr>
              <w:t>Corporate Offices</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62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51,144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62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47,988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9,564</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20"/>
                <w:szCs w:val="20"/>
                <w:color w:val="auto"/>
              </w:rPr>
            </w:pPr>
            <w:r>
              <w:rPr>
                <w:rFonts w:ascii="Arial" w:cs="Arial" w:eastAsia="Arial" w:hAnsi="Arial"/>
                <w:sz w:val="14"/>
                <w:szCs w:val="14"/>
                <w:color w:val="auto"/>
              </w:rPr>
              <w:t>2025</w:t>
            </w:r>
          </w:p>
        </w:tc>
        <w:tc>
          <w:tcPr>
            <w:tcW w:w="6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16,735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37,335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8,296</w:t>
            </w: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2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6,325</w:t>
            </w: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2027 and thereafter</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248,915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8,998</w:t>
            </w:r>
          </w:p>
        </w:tc>
        <w:tc>
          <w:tcPr>
            <w:tcW w:w="0" w:type="dxa"/>
            <w:vAlign w:val="bottom"/>
          </w:tcPr>
          <w:p>
            <w:pPr>
              <w:spacing w:after="0"/>
              <w:rPr>
                <w:sz w:val="1"/>
                <w:szCs w:val="1"/>
                <w:color w:val="auto"/>
              </w:rPr>
            </w:pPr>
          </w:p>
        </w:tc>
      </w:tr>
      <w:tr>
        <w:trPr>
          <w:trHeight w:val="181"/>
        </w:trPr>
        <w:tc>
          <w:tcPr>
            <w:tcW w:w="6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Total lease payments</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52,147</w:t>
            </w: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Present value discount</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(58,772)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(9,349)</w:t>
            </w:r>
          </w:p>
        </w:tc>
        <w:tc>
          <w:tcPr>
            <w:tcW w:w="0" w:type="dxa"/>
            <w:vAlign w:val="bottom"/>
          </w:tcPr>
          <w:p>
            <w:pPr>
              <w:spacing w:after="0"/>
              <w:rPr>
                <w:sz w:val="1"/>
                <w:szCs w:val="1"/>
                <w:color w:val="auto"/>
              </w:rPr>
            </w:pPr>
          </w:p>
        </w:tc>
      </w:tr>
      <w:tr>
        <w:trPr>
          <w:trHeight w:val="206"/>
        </w:trPr>
        <w:tc>
          <w:tcPr>
            <w:tcW w:w="6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Finance / Operating lease liability</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42,798</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73" w:name="page174"/>
    <w:bookmarkEnd w:id="173"/>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Litigation</w:t>
      </w:r>
    </w:p>
    <w:p>
      <w:pPr>
        <w:spacing w:after="0" w:line="115" w:lineRule="exact"/>
        <w:rPr>
          <w:sz w:val="20"/>
          <w:szCs w:val="20"/>
          <w:color w:val="auto"/>
        </w:rPr>
      </w:pPr>
    </w:p>
    <w:p>
      <w:pPr>
        <w:ind w:left="6" w:right="720" w:firstLine="351"/>
        <w:spacing w:after="0" w:line="248" w:lineRule="auto"/>
        <w:rPr>
          <w:sz w:val="20"/>
          <w:szCs w:val="20"/>
          <w:color w:val="auto"/>
        </w:rPr>
      </w:pPr>
      <w:r>
        <w:rPr>
          <w:rFonts w:ascii="Arial" w:cs="Arial" w:eastAsia="Arial" w:hAnsi="Arial"/>
          <w:sz w:val="16"/>
          <w:szCs w:val="16"/>
          <w:color w:val="auto"/>
        </w:rPr>
        <w:t>The Company may be involved in litigation in the ordinary course of business. As of December 31, 2021, the Company was not involved in any legal proceedings that are expected to have a material adverse effect on the Company’s results of operations, financial position or liquidity.</w:t>
      </w:r>
    </w:p>
    <w:p>
      <w:pPr>
        <w:spacing w:after="0" w:line="30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22. Supplemental Disclosure of Cash Flow Information</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17"/>
        </w:trPr>
        <w:tc>
          <w:tcPr>
            <w:tcW w:w="70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1040" w:type="dxa"/>
            <w:vAlign w:val="bottom"/>
          </w:tcPr>
          <w:p>
            <w:pPr>
              <w:jc w:val="right"/>
              <w:ind w:right="490"/>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490"/>
              <w:spacing w:after="0" w:line="117"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0"/>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2"/>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Cash paid for interest, net of amounts capitalized of $1,567, $852 and $3,192</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444,365</w:t>
            </w:r>
          </w:p>
        </w:tc>
        <w:tc>
          <w:tcPr>
            <w:tcW w:w="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392,004</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523,533</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Cash received (paid) for income tax, net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(12,595)</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Operating lease payments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66,858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31,138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16,234</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 lease payments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 of Cash Flows from Discontinued Operations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7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175,782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106,696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628,583</w:t>
            </w:r>
          </w:p>
        </w:tc>
      </w:tr>
      <w:tr>
        <w:trPr>
          <w:trHeight w:val="185"/>
        </w:trPr>
        <w:tc>
          <w:tcPr>
            <w:tcW w:w="7000" w:type="dxa"/>
            <w:vAlign w:val="bottom"/>
            <w:gridSpan w:val="2"/>
          </w:tcPr>
          <w:p>
            <w:pPr>
              <w:ind w:left="10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1,021,239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1,029,647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4,493,362</w:t>
            </w:r>
          </w:p>
        </w:tc>
      </w:tr>
      <w:tr>
        <w:trPr>
          <w:trHeight w:val="189"/>
        </w:trPr>
        <w:tc>
          <w:tcPr>
            <w:tcW w:w="7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cash used in financing activities of discontinued operations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(658,831)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(940,441)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(3,406,575)</w:t>
            </w:r>
          </w:p>
        </w:tc>
      </w:tr>
      <w:tr>
        <w:trPr>
          <w:trHeight w:val="186"/>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Dividends and distributions payable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83,301</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Improvements in operating real estate in accrued and other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27,096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20,230</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Receivable from loan repayments and asset sales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63,984</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Operating lease right-of-use assets and lease liabilities established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31,032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262,169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139,157</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 lease right-of-use assets and lease liabilities established</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148,974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Redemption of OP Units for common stock</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2,104</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Preferred stock redemptions payable</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402,855</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Exchange of notes into shares of Class A common stock</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161,261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4"/>
                <w:szCs w:val="14"/>
                <w:color w:val="auto"/>
              </w:rPr>
              <w:t xml:space="preserve">Assets and liabilities of investment entities liquidated or conveyed to lender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Assets consolidated from real estate acquisitions, net of cash and restricted cash</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5,399,611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Liabilities assumed in real estate acquisitions</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1,854,760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Noncontrolling interests assumed in real estate acquisitions</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366,136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Deferred cash consideration for acquisition of DBH (Note 3)</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32,500</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Issuance of OP Units for business combinations (Note 3)</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114,865</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Distributions payable to noncontrolling interests included in other liabilities</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Foreclosures and exchanges of loans receivable for real estate</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28,562</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Debt assumed by buyer in sale of real estate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295,562</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Financing provided to buyer in sale of real estate</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4,000</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Fair value of Digital Colony Manager contract intangible consolidated (Note 3)</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51,400</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Assets acquired in business combinations, net of cash and restricted cash acquired (Note 3)</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2,098,313</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Liabilities assumed in business combinations (Note 3)</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818,449</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Noncontrolling interests assumed in business combinations (Note 3)</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724,567</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Assets disposed in sale of equity of investment entities or sale by receiver (Note 12)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5,263,443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Liabilities disposed in sale of equity of investment entities or sale by receiver (Note 12)</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4,291,557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235,425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Assets of investment entities deconsolidated </w:t>
            </w:r>
            <w:r>
              <w:rPr>
                <w:rFonts w:ascii="Arial" w:cs="Arial" w:eastAsia="Arial" w:hAnsi="Arial"/>
                <w:sz w:val="8"/>
                <w:szCs w:val="8"/>
                <w:color w:val="auto"/>
              </w:rPr>
              <w:t>(2)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351,022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000" w:type="dxa"/>
            <w:vAlign w:val="bottom"/>
            <w:gridSpan w:val="2"/>
          </w:tcPr>
          <w:p>
            <w:pPr>
              <w:ind w:left="80"/>
              <w:spacing w:after="0"/>
              <w:rPr>
                <w:sz w:val="20"/>
                <w:szCs w:val="20"/>
                <w:color w:val="auto"/>
              </w:rPr>
            </w:pPr>
            <w:r>
              <w:rPr>
                <w:rFonts w:ascii="Arial" w:cs="Arial" w:eastAsia="Arial" w:hAnsi="Arial"/>
                <w:sz w:val="14"/>
                <w:szCs w:val="14"/>
                <w:color w:val="auto"/>
              </w:rPr>
              <w:t xml:space="preserve">Noncontrolling interests of investment entities deconsolidated </w:t>
            </w:r>
            <w:r>
              <w:rPr>
                <w:rFonts w:ascii="Arial" w:cs="Arial" w:eastAsia="Arial" w:hAnsi="Arial"/>
                <w:sz w:val="8"/>
                <w:szCs w:val="8"/>
                <w:color w:val="auto"/>
              </w:rPr>
              <w:t>(2)</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1,080,134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77"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52" w:lineRule="exact"/>
        <w:rPr>
          <w:sz w:val="20"/>
          <w:szCs w:val="20"/>
          <w:color w:val="auto"/>
        </w:rPr>
      </w:pPr>
    </w:p>
    <w:p>
      <w:pPr>
        <w:ind w:left="206" w:right="240" w:hanging="206"/>
        <w:spacing w:after="0" w:line="262" w:lineRule="auto"/>
        <w:tabs>
          <w:tab w:leader="none" w:pos="185" w:val="left"/>
        </w:tabs>
        <w:numPr>
          <w:ilvl w:val="0"/>
          <w:numId w:val="118"/>
        </w:numPr>
        <w:rPr>
          <w:rFonts w:ascii="Arial" w:cs="Arial" w:eastAsia="Arial" w:hAnsi="Arial"/>
          <w:sz w:val="8"/>
          <w:szCs w:val="8"/>
          <w:color w:val="auto"/>
        </w:rPr>
      </w:pPr>
      <w:r>
        <w:rPr>
          <w:rFonts w:ascii="Arial" w:cs="Arial" w:eastAsia="Arial" w:hAnsi="Arial"/>
          <w:sz w:val="12"/>
          <w:szCs w:val="12"/>
          <w:color w:val="auto"/>
        </w:rPr>
        <w:t>The Company indirectly conveyed the equity of certain of its wellness infrastructure borrower subsidiaries to an affiliate of the lender, which released the Company from all rights and obligations with respect to the assets and previously defaulted debt of these subsidiaries.</w:t>
      </w:r>
    </w:p>
    <w:p>
      <w:pPr>
        <w:spacing w:after="0" w:line="26" w:lineRule="exact"/>
        <w:rPr>
          <w:rFonts w:ascii="Arial" w:cs="Arial" w:eastAsia="Arial" w:hAnsi="Arial"/>
          <w:sz w:val="8"/>
          <w:szCs w:val="8"/>
          <w:color w:val="auto"/>
        </w:rPr>
      </w:pPr>
    </w:p>
    <w:p>
      <w:pPr>
        <w:ind w:left="206" w:right="160" w:hanging="206"/>
        <w:spacing w:after="0" w:line="253" w:lineRule="auto"/>
        <w:tabs>
          <w:tab w:leader="none" w:pos="185" w:val="left"/>
        </w:tabs>
        <w:numPr>
          <w:ilvl w:val="0"/>
          <w:numId w:val="118"/>
        </w:numPr>
        <w:rPr>
          <w:rFonts w:ascii="Arial" w:cs="Arial" w:eastAsia="Arial" w:hAnsi="Arial"/>
          <w:sz w:val="8"/>
          <w:szCs w:val="8"/>
          <w:color w:val="auto"/>
        </w:rPr>
      </w:pPr>
      <w:r>
        <w:rPr>
          <w:rFonts w:ascii="Arial" w:cs="Arial" w:eastAsia="Arial" w:hAnsi="Arial"/>
          <w:sz w:val="12"/>
          <w:szCs w:val="12"/>
          <w:color w:val="auto"/>
        </w:rPr>
        <w:t>Represents (a) deconsolidation of noncontrolling interests upon sale of the Company's equity interests in investment entities (Note 12); and (b) deconsolidation of investment holding entities for which the Company is no longer the primary beneficiary as a result of reconsideration events in 2021, following which the Company accounts for its interests in these entities under the equity method (presented as held for disposition in Note 11).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74" w:name="page175"/>
    <w:bookmarkEnd w:id="1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Subsequent Events</w:t>
      </w:r>
    </w:p>
    <w:p>
      <w:pPr>
        <w:spacing w:after="0" w:line="161" w:lineRule="exact"/>
        <w:rPr>
          <w:sz w:val="20"/>
          <w:szCs w:val="20"/>
          <w:color w:val="auto"/>
        </w:rPr>
      </w:pPr>
    </w:p>
    <w:p>
      <w:pPr>
        <w:ind w:firstLine="351"/>
        <w:spacing w:after="0" w:line="248" w:lineRule="auto"/>
        <w:rPr>
          <w:sz w:val="20"/>
          <w:szCs w:val="20"/>
          <w:color w:val="auto"/>
        </w:rPr>
      </w:pPr>
      <w:r>
        <w:rPr>
          <w:rFonts w:ascii="Arial" w:cs="Arial" w:eastAsia="Arial" w:hAnsi="Arial"/>
          <w:sz w:val="16"/>
          <w:szCs w:val="16"/>
          <w:color w:val="auto"/>
        </w:rPr>
        <w:t>Other than as disclosed elsewhere, no subsequent events have occurred that would require recognition in the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75" w:name="page176"/>
    <w:bookmarkEnd w:id="1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DigitalBridge Group, Inc.</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Schedule III—Real Estate and Accumulated Depreciation</w:t>
      </w:r>
    </w:p>
    <w:p>
      <w:pPr>
        <w:spacing w:after="0" w:line="3"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December 31, 2021</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right"/>
              <w:spacing w:after="0"/>
              <w:rPr>
                <w:sz w:val="20"/>
                <w:szCs w:val="20"/>
                <w:color w:val="auto"/>
              </w:rPr>
            </w:pPr>
            <w:r>
              <w:rPr>
                <w:rFonts w:ascii="Arial" w:cs="Arial" w:eastAsia="Arial" w:hAnsi="Arial"/>
                <w:sz w:val="11"/>
                <w:szCs w:val="11"/>
                <w:b w:val="1"/>
                <w:bCs w:val="1"/>
                <w:color w:val="auto"/>
              </w:rPr>
              <w:t>Initial Cost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gridSpan w:val="5"/>
          </w:tcPr>
          <w:p>
            <w:pPr>
              <w:jc w:val="right"/>
              <w:ind w:right="18"/>
              <w:spacing w:after="0"/>
              <w:rPr>
                <w:sz w:val="20"/>
                <w:szCs w:val="20"/>
                <w:color w:val="auto"/>
              </w:rPr>
            </w:pPr>
            <w:r>
              <w:rPr>
                <w:rFonts w:ascii="Arial" w:cs="Arial" w:eastAsia="Arial" w:hAnsi="Arial"/>
                <w:sz w:val="11"/>
                <w:szCs w:val="11"/>
                <w:b w:val="1"/>
                <w:bCs w:val="1"/>
                <w:color w:val="auto"/>
                <w:w w:val="99"/>
              </w:rPr>
              <w:t>Gross Cost Basis (2)</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9"/>
              </w:rPr>
              <w:t>Net Carrying</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Date of</w:t>
            </w: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spacing w:after="0" w:line="92" w:lineRule="exact"/>
              <w:rPr>
                <w:sz w:val="20"/>
                <w:szCs w:val="20"/>
                <w:color w:val="auto"/>
              </w:rPr>
            </w:pPr>
            <w:r>
              <w:rPr>
                <w:rFonts w:ascii="Arial" w:cs="Arial" w:eastAsia="Arial" w:hAnsi="Arial"/>
                <w:sz w:val="10"/>
                <w:szCs w:val="10"/>
                <w:b w:val="1"/>
                <w:bCs w:val="1"/>
                <w:color w:val="auto"/>
              </w:rPr>
              <w:t>Buildings and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Costs</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tcPr>
          <w:p>
            <w:pPr>
              <w:jc w:val="center"/>
              <w:ind w:right="100"/>
              <w:spacing w:after="0" w:line="92" w:lineRule="exact"/>
              <w:rPr>
                <w:sz w:val="20"/>
                <w:szCs w:val="20"/>
                <w:color w:val="auto"/>
              </w:rPr>
            </w:pPr>
            <w:r>
              <w:rPr>
                <w:rFonts w:ascii="Arial" w:cs="Arial" w:eastAsia="Arial" w:hAnsi="Arial"/>
                <w:sz w:val="10"/>
                <w:szCs w:val="10"/>
                <w:b w:val="1"/>
                <w:bCs w:val="1"/>
                <w:color w:val="auto"/>
              </w:rPr>
              <w:t>Buildings and</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Encumbrances</w:t>
            </w:r>
          </w:p>
        </w:tc>
        <w:tc>
          <w:tcPr>
            <w:tcW w:w="7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Land</w:t>
            </w:r>
          </w:p>
        </w:tc>
        <w:tc>
          <w:tcPr>
            <w:tcW w:w="82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8"/>
              </w:rPr>
              <w:t>Improvements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Land</w:t>
            </w:r>
          </w:p>
        </w:tc>
        <w:tc>
          <w:tcPr>
            <w:tcW w:w="100" w:type="dxa"/>
            <w:vAlign w:val="bottom"/>
          </w:tcPr>
          <w:p>
            <w:pPr>
              <w:spacing w:after="0"/>
              <w:rPr>
                <w:sz w:val="9"/>
                <w:szCs w:val="9"/>
                <w:color w:val="auto"/>
              </w:rPr>
            </w:pPr>
          </w:p>
        </w:tc>
        <w:tc>
          <w:tcPr>
            <w:tcW w:w="90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rPr>
              <w:t>Improvements</w:t>
            </w:r>
          </w:p>
        </w:tc>
        <w:tc>
          <w:tcPr>
            <w:tcW w:w="180" w:type="dxa"/>
            <w:vAlign w:val="bottom"/>
          </w:tcPr>
          <w:p>
            <w:pPr>
              <w:spacing w:after="0"/>
              <w:rPr>
                <w:sz w:val="9"/>
                <w:szCs w:val="9"/>
                <w:color w:val="auto"/>
              </w:rPr>
            </w:pPr>
          </w:p>
        </w:tc>
        <w:tc>
          <w:tcPr>
            <w:tcW w:w="620" w:type="dxa"/>
            <w:vAlign w:val="bottom"/>
            <w:vMerge w:val="restart"/>
          </w:tcPr>
          <w:p>
            <w:pPr>
              <w:jc w:val="right"/>
              <w:ind w:right="218"/>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860" w:type="dxa"/>
            <w:vAlign w:val="bottom"/>
            <w:gridSpan w:val="3"/>
          </w:tcPr>
          <w:p>
            <w:pPr>
              <w:jc w:val="center"/>
              <w:ind w:right="120"/>
              <w:spacing w:after="0" w:line="105" w:lineRule="exact"/>
              <w:rPr>
                <w:sz w:val="20"/>
                <w:szCs w:val="20"/>
                <w:color w:val="auto"/>
              </w:rPr>
            </w:pPr>
            <w:r>
              <w:rPr>
                <w:rFonts w:ascii="Arial" w:cs="Arial" w:eastAsia="Arial" w:hAnsi="Arial"/>
                <w:sz w:val="11"/>
                <w:szCs w:val="11"/>
                <w:b w:val="1"/>
                <w:bCs w:val="1"/>
                <w:color w:val="auto"/>
                <w:w w:val="98"/>
              </w:rPr>
              <w:t>Depreciation</w:t>
            </w:r>
          </w:p>
        </w:tc>
        <w:tc>
          <w:tcPr>
            <w:tcW w:w="120" w:type="dxa"/>
            <w:vAlign w:val="bottom"/>
          </w:tcPr>
          <w:p>
            <w:pPr>
              <w:spacing w:after="0"/>
              <w:rPr>
                <w:sz w:val="9"/>
                <w:szCs w:val="9"/>
                <w:color w:val="auto"/>
              </w:rPr>
            </w:pPr>
          </w:p>
        </w:tc>
        <w:tc>
          <w:tcPr>
            <w:tcW w:w="760" w:type="dxa"/>
            <w:vAlign w:val="bottom"/>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96"/>
              </w:rPr>
              <w:t>Amount</w:t>
            </w:r>
          </w:p>
        </w:tc>
        <w:tc>
          <w:tcPr>
            <w:tcW w:w="78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9"/>
              </w:rPr>
              <w:t>Acquisition 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center"/>
              <w:ind w:right="238"/>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9"/>
              </w:rPr>
              <w:t>Capitalized</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38"/>
              <w:spacing w:after="0"/>
              <w:rPr>
                <w:sz w:val="20"/>
                <w:szCs w:val="20"/>
                <w:color w:val="auto"/>
              </w:rPr>
            </w:pPr>
            <w:r>
              <w:rPr>
                <w:rFonts w:ascii="Arial" w:cs="Arial" w:eastAsia="Arial" w:hAnsi="Arial"/>
                <w:sz w:val="11"/>
                <w:szCs w:val="11"/>
                <w:b w:val="1"/>
                <w:bCs w:val="1"/>
                <w:color w:val="auto"/>
                <w:w w:val="88"/>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38"/>
              <w:spacing w:after="0"/>
              <w:rPr>
                <w:sz w:val="20"/>
                <w:szCs w:val="20"/>
                <w:color w:val="auto"/>
              </w:rPr>
            </w:pPr>
            <w:r>
              <w:rPr>
                <w:rFonts w:ascii="Arial" w:cs="Arial" w:eastAsia="Arial" w:hAnsi="Arial"/>
                <w:sz w:val="11"/>
                <w:szCs w:val="11"/>
                <w:b w:val="1"/>
                <w:bCs w:val="1"/>
                <w:color w:val="auto"/>
                <w:w w:val="88"/>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78"/>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Construction</w:t>
            </w:r>
          </w:p>
        </w:tc>
        <w:tc>
          <w:tcPr>
            <w:tcW w:w="0" w:type="dxa"/>
            <w:vAlign w:val="bottom"/>
          </w:tcPr>
          <w:p>
            <w:pPr>
              <w:spacing w:after="0"/>
              <w:rPr>
                <w:sz w:val="1"/>
                <w:szCs w:val="1"/>
                <w:color w:val="auto"/>
              </w:rPr>
            </w:pPr>
          </w:p>
        </w:tc>
      </w:tr>
      <w:tr>
        <w:trPr>
          <w:trHeight w:val="31"/>
        </w:trPr>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40" w:type="dxa"/>
            <w:vAlign w:val="bottom"/>
            <w:gridSpan w:val="5"/>
            <w:shd w:val="clear" w:color="auto" w:fill="CCEEFF"/>
          </w:tcPr>
          <w:p>
            <w:pPr>
              <w:spacing w:after="0"/>
              <w:rPr>
                <w:sz w:val="20"/>
                <w:szCs w:val="20"/>
                <w:color w:val="auto"/>
              </w:rPr>
            </w:pPr>
            <w:r>
              <w:rPr>
                <w:rFonts w:ascii="Arial" w:cs="Arial" w:eastAsia="Arial" w:hAnsi="Arial"/>
                <w:sz w:val="12"/>
                <w:szCs w:val="12"/>
                <w:b w:val="1"/>
                <w:bCs w:val="1"/>
                <w:color w:val="auto"/>
              </w:rPr>
              <w:t>Digital Operating</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Data Centers—Colocation</w:t>
            </w:r>
          </w:p>
        </w:tc>
        <w:tc>
          <w:tcPr>
            <w:tcW w:w="4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80"/>
              <w:spacing w:after="0"/>
              <w:rPr>
                <w:sz w:val="20"/>
                <w:szCs w:val="20"/>
                <w:color w:val="auto"/>
              </w:rPr>
            </w:pPr>
            <w:r>
              <w:rPr>
                <w:rFonts w:ascii="Arial" w:cs="Arial" w:eastAsia="Arial" w:hAnsi="Arial"/>
                <w:sz w:val="12"/>
                <w:szCs w:val="12"/>
                <w:i w:val="1"/>
                <w:iCs w:val="1"/>
                <w:color w:val="auto"/>
              </w:rPr>
              <w:t>Owned</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Irvine, CA SNA 1</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31,466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   10,574</w:t>
            </w:r>
          </w:p>
        </w:tc>
        <w:tc>
          <w:tcPr>
            <w:tcW w:w="80" w:type="dxa"/>
            <w:vAlign w:val="bottom"/>
          </w:tcPr>
          <w:p>
            <w:pPr>
              <w:spacing w:after="0"/>
              <w:rPr>
                <w:sz w:val="14"/>
                <w:szCs w:val="14"/>
                <w:color w:val="auto"/>
              </w:rPr>
            </w:pPr>
          </w:p>
        </w:tc>
        <w:tc>
          <w:tcPr>
            <w:tcW w:w="300" w:type="dxa"/>
            <w:vAlign w:val="bottom"/>
          </w:tcPr>
          <w:p>
            <w:pPr>
              <w:jc w:val="right"/>
              <w:ind w:right="165"/>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40,300</w:t>
            </w:r>
          </w:p>
        </w:tc>
        <w:tc>
          <w:tcPr>
            <w:tcW w:w="220" w:type="dxa"/>
            <w:vAlign w:val="bottom"/>
            <w:gridSpan w:val="2"/>
          </w:tcPr>
          <w:p>
            <w:pPr>
              <w:jc w:val="right"/>
              <w:ind w:right="5"/>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2,592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10,574</w:t>
            </w:r>
          </w:p>
        </w:tc>
        <w:tc>
          <w:tcPr>
            <w:tcW w:w="2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42,892</w:t>
            </w:r>
          </w:p>
        </w:tc>
        <w:tc>
          <w:tcPr>
            <w:tcW w:w="8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53,466</w:t>
            </w:r>
          </w:p>
        </w:tc>
        <w:tc>
          <w:tcPr>
            <w:tcW w:w="280" w:type="dxa"/>
            <w:vAlign w:val="bottom"/>
            <w:gridSpan w:val="2"/>
          </w:tcPr>
          <w:p>
            <w:pPr>
              <w:jc w:val="right"/>
              <w:ind w:right="45"/>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(2,933)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50,533</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Denver, CO DEN 1</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46,750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line="164" w:lineRule="exact"/>
              <w:rPr>
                <w:sz w:val="20"/>
                <w:szCs w:val="20"/>
                <w:color w:val="auto"/>
              </w:rPr>
            </w:pPr>
            <w:r>
              <w:rPr>
                <w:rFonts w:ascii="Arial" w:cs="Arial" w:eastAsia="Arial" w:hAnsi="Arial"/>
                <w:sz w:val="12"/>
                <w:szCs w:val="12"/>
                <w:color w:val="auto"/>
              </w:rPr>
              <w:t xml:space="preserve">Denver, CO DEN 5 </w:t>
            </w:r>
            <w:r>
              <w:rPr>
                <w:rFonts w:ascii="Arial" w:cs="Arial" w:eastAsia="Arial" w:hAnsi="Arial"/>
                <w:sz w:val="16"/>
                <w:szCs w:val="16"/>
                <w:color w:val="auto"/>
                <w:vertAlign w:val="superscript"/>
              </w:rPr>
              <w:t>(5)</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9,152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13,106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12,360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25,466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27,156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27,156</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Westminster, CO DEN 4</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8,831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13,638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Atlanta, GA ATL 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75,254</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75,594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16,372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91,966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91,966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(10,832)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81,134</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Atlanta, GA ATL 2 &amp; 3</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46,457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79,600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Lenexa, KS KC 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43,242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884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15,493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16,377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15,776</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Overland Park, KS KC 2</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51,805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line="164" w:lineRule="exact"/>
              <w:rPr>
                <w:sz w:val="20"/>
                <w:szCs w:val="20"/>
                <w:color w:val="auto"/>
              </w:rPr>
            </w:pPr>
            <w:r>
              <w:rPr>
                <w:rFonts w:ascii="Arial" w:cs="Arial" w:eastAsia="Arial" w:hAnsi="Arial"/>
                <w:sz w:val="12"/>
                <w:szCs w:val="12"/>
                <w:color w:val="auto"/>
              </w:rPr>
              <w:t xml:space="preserve">Minneapolis, MN MSP 3 </w:t>
            </w:r>
            <w:r>
              <w:rPr>
                <w:rFonts w:ascii="Arial" w:cs="Arial" w:eastAsia="Arial" w:hAnsi="Arial"/>
                <w:sz w:val="16"/>
                <w:szCs w:val="16"/>
                <w:color w:val="auto"/>
                <w:vertAlign w:val="superscript"/>
              </w:rPr>
              <w:t>(6)</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5,116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47,980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5,116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47,980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53,096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53,096</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line="164" w:lineRule="exact"/>
              <w:rPr>
                <w:sz w:val="20"/>
                <w:szCs w:val="20"/>
                <w:color w:val="auto"/>
              </w:rPr>
            </w:pPr>
            <w:r>
              <w:rPr>
                <w:rFonts w:ascii="Arial" w:cs="Arial" w:eastAsia="Arial" w:hAnsi="Arial"/>
                <w:sz w:val="12"/>
                <w:szCs w:val="12"/>
                <w:color w:val="auto"/>
              </w:rPr>
              <w:t xml:space="preserve">New York, NY LGA 3 </w:t>
            </w:r>
            <w:r>
              <w:rPr>
                <w:rFonts w:ascii="Arial" w:cs="Arial" w:eastAsia="Arial" w:hAnsi="Arial"/>
                <w:sz w:val="16"/>
                <w:szCs w:val="16"/>
                <w:color w:val="auto"/>
                <w:vertAlign w:val="superscript"/>
              </w:rPr>
              <w:t>(5)</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23,728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North Fayette, PA PIT 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41,957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1,555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36,682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14,044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50,726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52,281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45,235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Dallas, TX DFW 4</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29,645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45,421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Plano, TX DFW 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216,467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58,097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16,644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12,039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74,741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86,780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(7,806)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78,974</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Bluffdale, UT SLC 2</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84,652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104,740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91,267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Bluffdale, UT SLC 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92,596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106,464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5,843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112,307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115,006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(15,175)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99,831</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Bluffdale, UT SLC 4</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45,747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49,322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Bluffdale, UT SLC 5</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71,322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32,485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47,809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80,294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83,398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(6,503)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76,895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line="164" w:lineRule="exact"/>
              <w:rPr>
                <w:sz w:val="20"/>
                <w:szCs w:val="20"/>
                <w:color w:val="auto"/>
              </w:rPr>
            </w:pPr>
            <w:r>
              <w:rPr>
                <w:rFonts w:ascii="Arial" w:cs="Arial" w:eastAsia="Arial" w:hAnsi="Arial"/>
                <w:sz w:val="12"/>
                <w:szCs w:val="12"/>
                <w:color w:val="auto"/>
              </w:rPr>
              <w:t xml:space="preserve">Bluffdale, UT SLC 6 </w:t>
            </w:r>
            <w:r>
              <w:rPr>
                <w:rFonts w:ascii="Arial" w:cs="Arial" w:eastAsia="Arial" w:hAnsi="Arial"/>
                <w:sz w:val="16"/>
                <w:szCs w:val="16"/>
                <w:color w:val="auto"/>
                <w:vertAlign w:val="superscript"/>
              </w:rPr>
              <w:t>(6)</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40,884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line="164" w:lineRule="exact"/>
              <w:rPr>
                <w:sz w:val="20"/>
                <w:szCs w:val="20"/>
                <w:color w:val="auto"/>
              </w:rPr>
            </w:pPr>
            <w:r>
              <w:rPr>
                <w:rFonts w:ascii="Arial" w:cs="Arial" w:eastAsia="Arial" w:hAnsi="Arial"/>
                <w:sz w:val="12"/>
                <w:szCs w:val="12"/>
                <w:color w:val="auto"/>
              </w:rPr>
              <w:t xml:space="preserve">Ashburn, VA IAD 3 </w:t>
            </w:r>
            <w:r>
              <w:rPr>
                <w:rFonts w:ascii="Arial" w:cs="Arial" w:eastAsia="Arial" w:hAnsi="Arial"/>
                <w:sz w:val="16"/>
                <w:szCs w:val="16"/>
                <w:color w:val="auto"/>
                <w:vertAlign w:val="superscript"/>
              </w:rPr>
              <w:t>(5)</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7,804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12,618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12,618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17,937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17,937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80"/>
              <w:spacing w:after="0"/>
              <w:rPr>
                <w:sz w:val="20"/>
                <w:szCs w:val="20"/>
                <w:color w:val="auto"/>
              </w:rPr>
            </w:pPr>
            <w:r>
              <w:rPr>
                <w:rFonts w:ascii="Arial" w:cs="Arial" w:eastAsia="Arial" w:hAnsi="Arial"/>
                <w:sz w:val="12"/>
                <w:szCs w:val="12"/>
                <w:i w:val="1"/>
                <w:iCs w:val="1"/>
                <w:color w:val="auto"/>
              </w:rPr>
              <w:t>Leased</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Phoenix, AZ PHX 1, 2 &amp; 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5,962</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9,640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8,858</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Irvine, CA SNA 2</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21,206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32,341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Las Angeles, CA LAX 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12,294</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19,876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19,917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19,917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18,178</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San Diego, CA SAN 1</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15,168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San Diego, CA SAN 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338</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579</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Santa Clara, CA SFO 1</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19,116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28,603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Denver, CO DEN 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23,973</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38,759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39,300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39,300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35,886</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Denver, CO DEN 3</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18,443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16,837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Miami, FL MIA 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9,036</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14,609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16,014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16,014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line="164" w:lineRule="exact"/>
              <w:rPr>
                <w:sz w:val="20"/>
                <w:szCs w:val="20"/>
                <w:color w:val="auto"/>
              </w:rPr>
            </w:pPr>
            <w:r>
              <w:rPr>
                <w:rFonts w:ascii="Arial" w:cs="Arial" w:eastAsia="Arial" w:hAnsi="Arial"/>
                <w:sz w:val="12"/>
                <w:szCs w:val="12"/>
                <w:color w:val="auto"/>
              </w:rPr>
              <w:t xml:space="preserve">Atlanta, GA ATL 4 </w:t>
            </w:r>
            <w:r>
              <w:rPr>
                <w:rFonts w:ascii="Arial" w:cs="Arial" w:eastAsia="Arial" w:hAnsi="Arial"/>
                <w:sz w:val="16"/>
                <w:szCs w:val="16"/>
                <w:color w:val="auto"/>
                <w:vertAlign w:val="superscript"/>
              </w:rPr>
              <w:t>(5)</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Chicago, IL ORD 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7,376</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11,926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11,191</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Chicago, IL ORD 2</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17,084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2"/>
                <w:szCs w:val="12"/>
                <w:color w:val="auto"/>
              </w:rPr>
              <w:t>Chicago, IL ORD 4</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55,937</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90,437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92,649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92,649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84,633</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860"/>
          </w:cols>
          <w:pgMar w:left="320" w:top="140" w:right="719" w:bottom="1440" w:gutter="0" w:footer="0" w:header="0"/>
        </w:sectPr>
      </w:pPr>
    </w:p>
    <w:bookmarkStart w:id="176" w:name="page177"/>
    <w:bookmarkEnd w:id="1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80" w:type="dxa"/>
            <w:vAlign w:val="bottom"/>
            <w:gridSpan w:val="3"/>
          </w:tcPr>
          <w:p>
            <w:pPr>
              <w:spacing w:after="0"/>
              <w:rPr>
                <w:sz w:val="20"/>
                <w:szCs w:val="20"/>
                <w:color w:val="auto"/>
              </w:rPr>
            </w:pPr>
            <w:r>
              <w:rPr>
                <w:rFonts w:ascii="Arial" w:cs="Arial" w:eastAsia="Arial" w:hAnsi="Arial"/>
                <w:sz w:val="11"/>
                <w:szCs w:val="11"/>
                <w:b w:val="1"/>
                <w:bCs w:val="1"/>
                <w:color w:val="auto"/>
              </w:rPr>
              <w:t>(Amounts in thousands)</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520"/>
              <w:spacing w:after="0"/>
              <w:rPr>
                <w:sz w:val="20"/>
                <w:szCs w:val="20"/>
                <w:color w:val="auto"/>
              </w:rPr>
            </w:pPr>
            <w:r>
              <w:rPr>
                <w:rFonts w:ascii="Arial" w:cs="Arial" w:eastAsia="Arial" w:hAnsi="Arial"/>
                <w:sz w:val="11"/>
                <w:szCs w:val="11"/>
                <w:b w:val="1"/>
                <w:bCs w:val="1"/>
                <w:color w:val="auto"/>
              </w:rPr>
              <w:t>Initial Cost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Gross Cost Basis (2)</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9"/>
              </w:rPr>
              <w:t>Net Carrying</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Date of</w:t>
            </w: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Buildings and</w:t>
            </w:r>
          </w:p>
        </w:tc>
        <w:tc>
          <w:tcPr>
            <w:tcW w:w="100" w:type="dxa"/>
            <w:vAlign w:val="bottom"/>
          </w:tcPr>
          <w:p>
            <w:pPr>
              <w:spacing w:after="0"/>
              <w:rPr>
                <w:sz w:val="8"/>
                <w:szCs w:val="8"/>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Costs</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3"/>
          </w:tcPr>
          <w:p>
            <w:pPr>
              <w:jc w:val="center"/>
              <w:ind w:right="300"/>
              <w:spacing w:after="0" w:line="92" w:lineRule="exact"/>
              <w:rPr>
                <w:sz w:val="20"/>
                <w:szCs w:val="20"/>
                <w:color w:val="auto"/>
              </w:rPr>
            </w:pPr>
            <w:r>
              <w:rPr>
                <w:rFonts w:ascii="Arial" w:cs="Arial" w:eastAsia="Arial" w:hAnsi="Arial"/>
                <w:sz w:val="10"/>
                <w:szCs w:val="10"/>
                <w:b w:val="1"/>
                <w:bCs w:val="1"/>
                <w:color w:val="auto"/>
              </w:rPr>
              <w:t>Buildings and</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Encumbrances</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Land</w:t>
            </w:r>
          </w:p>
        </w:tc>
        <w:tc>
          <w:tcPr>
            <w:tcW w:w="82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8"/>
              </w:rPr>
              <w:t>Improvements</w:t>
            </w: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Land</w:t>
            </w:r>
          </w:p>
        </w:tc>
        <w:tc>
          <w:tcPr>
            <w:tcW w:w="80" w:type="dxa"/>
            <w:vAlign w:val="bottom"/>
          </w:tcPr>
          <w:p>
            <w:pPr>
              <w:spacing w:after="0"/>
              <w:rPr>
                <w:sz w:val="9"/>
                <w:szCs w:val="9"/>
                <w:color w:val="auto"/>
              </w:rPr>
            </w:pPr>
          </w:p>
        </w:tc>
        <w:tc>
          <w:tcPr>
            <w:tcW w:w="1100" w:type="dxa"/>
            <w:vAlign w:val="bottom"/>
            <w:gridSpan w:val="3"/>
          </w:tcPr>
          <w:p>
            <w:pPr>
              <w:jc w:val="center"/>
              <w:ind w:right="280"/>
              <w:spacing w:after="0" w:line="105" w:lineRule="exact"/>
              <w:rPr>
                <w:sz w:val="20"/>
                <w:szCs w:val="20"/>
                <w:color w:val="auto"/>
              </w:rPr>
            </w:pPr>
            <w:r>
              <w:rPr>
                <w:rFonts w:ascii="Arial" w:cs="Arial" w:eastAsia="Arial" w:hAnsi="Arial"/>
                <w:sz w:val="11"/>
                <w:szCs w:val="11"/>
                <w:b w:val="1"/>
                <w:bCs w:val="1"/>
                <w:color w:val="auto"/>
                <w:w w:val="98"/>
              </w:rPr>
              <w:t>Improvements</w:t>
            </w:r>
          </w:p>
        </w:tc>
        <w:tc>
          <w:tcPr>
            <w:tcW w:w="620" w:type="dxa"/>
            <w:vAlign w:val="bottom"/>
            <w:vMerge w:val="restart"/>
          </w:tcPr>
          <w:p>
            <w:pPr>
              <w:jc w:val="right"/>
              <w:ind w:right="218"/>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860" w:type="dxa"/>
            <w:vAlign w:val="bottom"/>
            <w:gridSpan w:val="2"/>
          </w:tcPr>
          <w:p>
            <w:pPr>
              <w:jc w:val="center"/>
              <w:ind w:right="80"/>
              <w:spacing w:after="0" w:line="105" w:lineRule="exact"/>
              <w:rPr>
                <w:sz w:val="20"/>
                <w:szCs w:val="20"/>
                <w:color w:val="auto"/>
              </w:rPr>
            </w:pPr>
            <w:r>
              <w:rPr>
                <w:rFonts w:ascii="Arial" w:cs="Arial" w:eastAsia="Arial" w:hAnsi="Arial"/>
                <w:sz w:val="11"/>
                <w:szCs w:val="11"/>
                <w:b w:val="1"/>
                <w:bCs w:val="1"/>
                <w:color w:val="auto"/>
                <w:w w:val="98"/>
              </w:rPr>
              <w:t>Depreciation</w:t>
            </w:r>
          </w:p>
        </w:tc>
        <w:tc>
          <w:tcPr>
            <w:tcW w:w="90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rPr>
              <w:t>Amount</w:t>
            </w:r>
          </w:p>
        </w:tc>
        <w:tc>
          <w:tcPr>
            <w:tcW w:w="78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9"/>
              </w:rPr>
              <w:t>Acquisition 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Capitalized</w:t>
            </w:r>
          </w:p>
        </w:tc>
        <w:tc>
          <w:tcPr>
            <w:tcW w:w="680" w:type="dxa"/>
            <w:vAlign w:val="bottom"/>
            <w:vMerge w:val="continue"/>
          </w:tcPr>
          <w:p>
            <w:pPr>
              <w:spacing w:after="0"/>
              <w:rPr>
                <w:sz w:val="12"/>
                <w:szCs w:val="12"/>
                <w:color w:val="auto"/>
              </w:rPr>
            </w:pPr>
          </w:p>
        </w:tc>
        <w:tc>
          <w:tcPr>
            <w:tcW w:w="90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6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Construction</w:t>
            </w:r>
          </w:p>
        </w:tc>
        <w:tc>
          <w:tcPr>
            <w:tcW w:w="0" w:type="dxa"/>
            <w:vAlign w:val="bottom"/>
          </w:tcPr>
          <w:p>
            <w:pPr>
              <w:spacing w:after="0"/>
              <w:rPr>
                <w:sz w:val="1"/>
                <w:szCs w:val="1"/>
                <w:color w:val="auto"/>
              </w:rPr>
            </w:pPr>
          </w:p>
        </w:tc>
      </w:tr>
      <w:tr>
        <w:trPr>
          <w:trHeight w:val="31"/>
        </w:trPr>
        <w:tc>
          <w:tcPr>
            <w:tcW w:w="2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Mount Prospect, IL ORD 3</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11,618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18,783</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833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19,616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(1,684)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17,932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Indianapolis, IN IND 1 &amp; 2</w:t>
            </w:r>
          </w:p>
        </w:tc>
        <w:tc>
          <w:tcPr>
            <w:tcW w:w="860" w:type="dxa"/>
            <w:vAlign w:val="bottom"/>
          </w:tcPr>
          <w:p>
            <w:pPr>
              <w:jc w:val="right"/>
              <w:spacing w:after="0"/>
              <w:rPr>
                <w:sz w:val="20"/>
                <w:szCs w:val="20"/>
                <w:color w:val="auto"/>
              </w:rPr>
            </w:pPr>
            <w:r>
              <w:rPr>
                <w:rFonts w:ascii="Arial" w:cs="Arial" w:eastAsia="Arial" w:hAnsi="Arial"/>
                <w:sz w:val="12"/>
                <w:szCs w:val="12"/>
                <w:color w:val="auto"/>
              </w:rPr>
              <w:t>72,091</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19,747</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11,238</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30,985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30,985</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(4,684)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26,301</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Lenexa, KS KC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6,490</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5,286</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2,942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8,228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(1,231)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Boston, MA BOS 1</w:t>
            </w:r>
          </w:p>
        </w:tc>
        <w:tc>
          <w:tcPr>
            <w:tcW w:w="860" w:type="dxa"/>
            <w:vAlign w:val="bottom"/>
          </w:tcPr>
          <w:p>
            <w:pPr>
              <w:jc w:val="right"/>
              <w:spacing w:after="0"/>
              <w:rPr>
                <w:sz w:val="20"/>
                <w:szCs w:val="20"/>
                <w:color w:val="auto"/>
              </w:rPr>
            </w:pPr>
            <w:r>
              <w:rPr>
                <w:rFonts w:ascii="Arial" w:cs="Arial" w:eastAsia="Arial" w:hAnsi="Arial"/>
                <w:sz w:val="12"/>
                <w:szCs w:val="12"/>
                <w:color w:val="auto"/>
              </w:rPr>
              <w:t>3,749</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6,062</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6,128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6,128</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(533)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5,595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Baltimore , MD BWI 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16,002</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737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16,739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(2,877)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13,862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Eagan, MN MSP 2</w:t>
            </w:r>
          </w:p>
        </w:tc>
        <w:tc>
          <w:tcPr>
            <w:tcW w:w="860" w:type="dxa"/>
            <w:vAlign w:val="bottom"/>
          </w:tcPr>
          <w:p>
            <w:pPr>
              <w:jc w:val="right"/>
              <w:spacing w:after="0"/>
              <w:rPr>
                <w:sz w:val="20"/>
                <w:szCs w:val="20"/>
                <w:color w:val="auto"/>
              </w:rPr>
            </w:pPr>
            <w:r>
              <w:rPr>
                <w:rFonts w:ascii="Arial" w:cs="Arial" w:eastAsia="Arial" w:hAnsi="Arial"/>
                <w:sz w:val="12"/>
                <w:szCs w:val="12"/>
                <w:color w:val="auto"/>
              </w:rPr>
              <w:t>39,720</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48,762</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1,504</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50,266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50,266</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(7,442)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42,824</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Edina, MN MSP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9,113</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247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9,360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Minneapolis, MN MSP 4</w:t>
            </w:r>
          </w:p>
        </w:tc>
        <w:tc>
          <w:tcPr>
            <w:tcW w:w="860" w:type="dxa"/>
            <w:vAlign w:val="bottom"/>
          </w:tcPr>
          <w:p>
            <w:pPr>
              <w:jc w:val="right"/>
              <w:spacing w:after="0"/>
              <w:rPr>
                <w:sz w:val="20"/>
                <w:szCs w:val="20"/>
                <w:color w:val="auto"/>
              </w:rPr>
            </w:pPr>
            <w:r>
              <w:rPr>
                <w:rFonts w:ascii="Arial" w:cs="Arial" w:eastAsia="Arial" w:hAnsi="Arial"/>
                <w:sz w:val="12"/>
                <w:szCs w:val="12"/>
                <w:color w:val="auto"/>
              </w:rPr>
              <w:t>4,241</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6,857</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6,889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6,889</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6,288</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Newark, NJ EWR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13,400</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21,665</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580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22,245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(1,923)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20,322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Piscataway, NJ EWR 2</w:t>
            </w:r>
          </w:p>
        </w:tc>
        <w:tc>
          <w:tcPr>
            <w:tcW w:w="860" w:type="dxa"/>
            <w:vAlign w:val="bottom"/>
          </w:tcPr>
          <w:p>
            <w:pPr>
              <w:jc w:val="right"/>
              <w:spacing w:after="0"/>
              <w:rPr>
                <w:sz w:val="20"/>
                <w:szCs w:val="20"/>
                <w:color w:val="auto"/>
              </w:rPr>
            </w:pPr>
            <w:r>
              <w:rPr>
                <w:rFonts w:ascii="Arial" w:cs="Arial" w:eastAsia="Arial" w:hAnsi="Arial"/>
                <w:sz w:val="12"/>
                <w:szCs w:val="12"/>
                <w:color w:val="auto"/>
              </w:rPr>
              <w:t>14,568</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23,553</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23,819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23,819</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(2,072)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21,747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Las Vegas, NV LAS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15,306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24,746</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10,182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34,928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(2,690)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32,238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New York, NY LGA 1</w:t>
            </w:r>
          </w:p>
        </w:tc>
        <w:tc>
          <w:tcPr>
            <w:tcW w:w="860" w:type="dxa"/>
            <w:vAlign w:val="bottom"/>
          </w:tcPr>
          <w:p>
            <w:pPr>
              <w:jc w:val="right"/>
              <w:spacing w:after="0"/>
              <w:rPr>
                <w:sz w:val="20"/>
                <w:szCs w:val="20"/>
                <w:color w:val="auto"/>
              </w:rPr>
            </w:pPr>
            <w:r>
              <w:rPr>
                <w:rFonts w:ascii="Arial" w:cs="Arial" w:eastAsia="Arial" w:hAnsi="Arial"/>
                <w:sz w:val="12"/>
                <w:szCs w:val="12"/>
                <w:color w:val="auto"/>
              </w:rPr>
              <w:t>8,913</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14,410</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1,088</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15,498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15,498</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(1,315)</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14,183</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New York, NY LGA 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16,000</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16,199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(1,408)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Cleveland, OH CLE 1</w:t>
            </w:r>
          </w:p>
        </w:tc>
        <w:tc>
          <w:tcPr>
            <w:tcW w:w="860" w:type="dxa"/>
            <w:vAlign w:val="bottom"/>
          </w:tcPr>
          <w:p>
            <w:pPr>
              <w:jc w:val="right"/>
              <w:spacing w:after="0"/>
              <w:rPr>
                <w:sz w:val="20"/>
                <w:szCs w:val="20"/>
                <w:color w:val="auto"/>
              </w:rPr>
            </w:pPr>
            <w:r>
              <w:rPr>
                <w:rFonts w:ascii="Arial" w:cs="Arial" w:eastAsia="Arial" w:hAnsi="Arial"/>
                <w:sz w:val="12"/>
                <w:szCs w:val="12"/>
                <w:color w:val="auto"/>
              </w:rPr>
              <w:t>8,073</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10,348</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122</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10,470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10,470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(1,766)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8,704</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Philadelphia, PA PHL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5,764</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5,873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Pittsburgh, PA PIT 1</w:t>
            </w:r>
          </w:p>
        </w:tc>
        <w:tc>
          <w:tcPr>
            <w:tcW w:w="860" w:type="dxa"/>
            <w:vAlign w:val="bottom"/>
          </w:tcPr>
          <w:p>
            <w:pPr>
              <w:jc w:val="right"/>
              <w:spacing w:after="0"/>
              <w:rPr>
                <w:sz w:val="20"/>
                <w:szCs w:val="20"/>
                <w:color w:val="auto"/>
              </w:rPr>
            </w:pPr>
            <w:r>
              <w:rPr>
                <w:rFonts w:ascii="Arial" w:cs="Arial" w:eastAsia="Arial" w:hAnsi="Arial"/>
                <w:sz w:val="12"/>
                <w:szCs w:val="12"/>
                <w:color w:val="auto"/>
              </w:rPr>
              <w:t>28,788</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37,128</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225</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37,353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37,353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(6,316)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31,037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Memphis, TN MEM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4,373</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611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4,984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Austin, TX AUS 1</w:t>
            </w:r>
          </w:p>
        </w:tc>
        <w:tc>
          <w:tcPr>
            <w:tcW w:w="860" w:type="dxa"/>
            <w:vAlign w:val="bottom"/>
          </w:tcPr>
          <w:p>
            <w:pPr>
              <w:jc w:val="right"/>
              <w:spacing w:after="0"/>
              <w:rPr>
                <w:sz w:val="20"/>
                <w:szCs w:val="20"/>
                <w:color w:val="auto"/>
              </w:rPr>
            </w:pPr>
            <w:r>
              <w:rPr>
                <w:rFonts w:ascii="Arial" w:cs="Arial" w:eastAsia="Arial" w:hAnsi="Arial"/>
                <w:sz w:val="12"/>
                <w:szCs w:val="12"/>
                <w:color w:val="auto"/>
              </w:rPr>
              <w:t>2,151</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3,478</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214</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3,692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3,692</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(315)</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3,377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Dallas, TX DFW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76,678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93,451</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5,858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99,309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99,309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(16,639)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82,670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Dallas, TX DFW 5</w:t>
            </w:r>
          </w:p>
        </w:tc>
        <w:tc>
          <w:tcPr>
            <w:tcW w:w="860" w:type="dxa"/>
            <w:vAlign w:val="bottom"/>
          </w:tcPr>
          <w:p>
            <w:pPr>
              <w:jc w:val="right"/>
              <w:spacing w:after="0"/>
              <w:rPr>
                <w:sz w:val="20"/>
                <w:szCs w:val="20"/>
                <w:color w:val="auto"/>
              </w:rPr>
            </w:pPr>
            <w:r>
              <w:rPr>
                <w:rFonts w:ascii="Arial" w:cs="Arial" w:eastAsia="Arial" w:hAnsi="Arial"/>
                <w:sz w:val="12"/>
                <w:szCs w:val="12"/>
                <w:color w:val="auto"/>
              </w:rPr>
              <w:t>6,639</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10,733</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381</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11,114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11,114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(957)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10,157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Dallas, TX DFW 6</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6,559</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6,602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Dallas, TX DFW 7</w:t>
            </w:r>
          </w:p>
        </w:tc>
        <w:tc>
          <w:tcPr>
            <w:tcW w:w="860" w:type="dxa"/>
            <w:vAlign w:val="bottom"/>
          </w:tcPr>
          <w:p>
            <w:pPr>
              <w:jc w:val="right"/>
              <w:spacing w:after="0"/>
              <w:rPr>
                <w:sz w:val="20"/>
                <w:szCs w:val="20"/>
                <w:color w:val="auto"/>
              </w:rPr>
            </w:pPr>
            <w:r>
              <w:rPr>
                <w:rFonts w:ascii="Arial" w:cs="Arial" w:eastAsia="Arial" w:hAnsi="Arial"/>
                <w:sz w:val="12"/>
                <w:szCs w:val="12"/>
                <w:color w:val="auto"/>
              </w:rPr>
              <w:t>6,270</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10,137</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354</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10,491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10,491</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(904)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9,587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Richardson, TX DFW 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24,103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28,756</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2,384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31,140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(5,154)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Waco, TX ACT 1</w:t>
            </w:r>
          </w:p>
        </w:tc>
        <w:tc>
          <w:tcPr>
            <w:tcW w:w="860" w:type="dxa"/>
            <w:vAlign w:val="bottom"/>
          </w:tcPr>
          <w:p>
            <w:pPr>
              <w:jc w:val="right"/>
              <w:spacing w:after="0"/>
              <w:rPr>
                <w:sz w:val="20"/>
                <w:szCs w:val="20"/>
                <w:color w:val="auto"/>
              </w:rPr>
            </w:pPr>
            <w:r>
              <w:rPr>
                <w:rFonts w:ascii="Arial" w:cs="Arial" w:eastAsia="Arial" w:hAnsi="Arial"/>
                <w:sz w:val="12"/>
                <w:szCs w:val="12"/>
                <w:color w:val="auto"/>
              </w:rPr>
              <w:t>6,270</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10,137</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166</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10,303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10,303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(894)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9,409</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Salt Lake City, UT SLC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7,241</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9,144</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489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9,633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(1,826)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Ashburn, VA IAD 1</w:t>
            </w:r>
          </w:p>
        </w:tc>
        <w:tc>
          <w:tcPr>
            <w:tcW w:w="860" w:type="dxa"/>
            <w:vAlign w:val="bottom"/>
          </w:tcPr>
          <w:p>
            <w:pPr>
              <w:jc w:val="right"/>
              <w:spacing w:after="0"/>
              <w:rPr>
                <w:sz w:val="20"/>
                <w:szCs w:val="20"/>
                <w:color w:val="auto"/>
              </w:rPr>
            </w:pPr>
            <w:r>
              <w:rPr>
                <w:rFonts w:ascii="Arial" w:cs="Arial" w:eastAsia="Arial" w:hAnsi="Arial"/>
                <w:sz w:val="12"/>
                <w:szCs w:val="12"/>
                <w:color w:val="auto"/>
              </w:rPr>
              <w:t>58,395</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94,412</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3,993</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98,405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98,405</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(8,455)</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89,950</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McLean, VA IAD 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10,972</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347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11,319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Seattle, WA SEA 1</w:t>
            </w:r>
          </w:p>
        </w:tc>
        <w:tc>
          <w:tcPr>
            <w:tcW w:w="860" w:type="dxa"/>
            <w:vAlign w:val="bottom"/>
          </w:tcPr>
          <w:p>
            <w:pPr>
              <w:jc w:val="right"/>
              <w:spacing w:after="0"/>
              <w:rPr>
                <w:sz w:val="20"/>
                <w:szCs w:val="20"/>
                <w:color w:val="auto"/>
              </w:rPr>
            </w:pPr>
            <w:r>
              <w:rPr>
                <w:rFonts w:ascii="Arial" w:cs="Arial" w:eastAsia="Arial" w:hAnsi="Arial"/>
                <w:sz w:val="12"/>
                <w:szCs w:val="12"/>
                <w:color w:val="auto"/>
              </w:rPr>
              <w:t>3,688</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5,963</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6,063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6,063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(526)</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5,537</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Tukwila, WA SEA 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9,143</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9,615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8,792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Balma, France TLS 1</w:t>
            </w:r>
          </w:p>
        </w:tc>
        <w:tc>
          <w:tcPr>
            <w:tcW w:w="860" w:type="dxa"/>
            <w:vAlign w:val="bottom"/>
          </w:tcPr>
          <w:p>
            <w:pPr>
              <w:jc w:val="right"/>
              <w:spacing w:after="0"/>
              <w:rPr>
                <w:sz w:val="20"/>
                <w:szCs w:val="20"/>
                <w:color w:val="auto"/>
              </w:rPr>
            </w:pPr>
            <w:r>
              <w:rPr>
                <w:rFonts w:ascii="Arial" w:cs="Arial" w:eastAsia="Arial" w:hAnsi="Arial"/>
                <w:sz w:val="12"/>
                <w:szCs w:val="12"/>
                <w:color w:val="auto"/>
              </w:rPr>
              <w:t>1,542</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2,493</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2,585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2,585</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2,424</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Montpellier, France MPL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2,397</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2,547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Paris, France PAR 1</w:t>
            </w:r>
          </w:p>
        </w:tc>
        <w:tc>
          <w:tcPr>
            <w:tcW w:w="860" w:type="dxa"/>
            <w:vAlign w:val="bottom"/>
          </w:tcPr>
          <w:p>
            <w:pPr>
              <w:jc w:val="right"/>
              <w:spacing w:after="0"/>
              <w:rPr>
                <w:sz w:val="20"/>
                <w:szCs w:val="20"/>
                <w:color w:val="auto"/>
              </w:rPr>
            </w:pPr>
            <w:r>
              <w:rPr>
                <w:rFonts w:ascii="Arial" w:cs="Arial" w:eastAsia="Arial" w:hAnsi="Arial"/>
                <w:sz w:val="12"/>
                <w:szCs w:val="12"/>
                <w:color w:val="auto"/>
              </w:rPr>
              <w:t>6,525</w:t>
            </w:r>
          </w:p>
        </w:tc>
        <w:tc>
          <w:tcPr>
            <w:tcW w:w="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10,549</w:t>
            </w:r>
          </w:p>
        </w:tc>
        <w:tc>
          <w:tcPr>
            <w:tcW w:w="760" w:type="dxa"/>
            <w:vAlign w:val="bottom"/>
            <w:gridSpan w:val="2"/>
          </w:tcPr>
          <w:p>
            <w:pPr>
              <w:jc w:val="right"/>
              <w:ind w:right="3"/>
              <w:spacing w:after="0"/>
              <w:rPr>
                <w:sz w:val="20"/>
                <w:szCs w:val="20"/>
                <w:color w:val="auto"/>
              </w:rPr>
            </w:pPr>
            <w:r>
              <w:rPr>
                <w:rFonts w:ascii="Arial" w:cs="Arial" w:eastAsia="Arial" w:hAnsi="Arial"/>
                <w:sz w:val="12"/>
                <w:szCs w:val="12"/>
                <w:color w:val="auto"/>
              </w:rPr>
              <w:t>1,069</w:t>
            </w: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2"/>
                <w:szCs w:val="12"/>
                <w:color w:val="auto"/>
              </w:rPr>
              <w:t>11,618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11,618</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(715)</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10,903</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Saint-Denis, France PAR 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3,356</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3,356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gridSpan w:val="3"/>
          </w:tcPr>
          <w:p>
            <w:pPr>
              <w:ind w:left="200"/>
              <w:spacing w:after="0" w:line="133" w:lineRule="exact"/>
              <w:rPr>
                <w:sz w:val="20"/>
                <w:szCs w:val="20"/>
                <w:color w:val="auto"/>
              </w:rPr>
            </w:pPr>
            <w:r>
              <w:rPr>
                <w:rFonts w:ascii="Arial" w:cs="Arial" w:eastAsia="Arial" w:hAnsi="Arial"/>
                <w:sz w:val="12"/>
                <w:szCs w:val="12"/>
                <w:color w:val="auto"/>
              </w:rPr>
              <w:t>Vélizy-Villacoublay, France</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4,508</w:t>
            </w:r>
          </w:p>
        </w:tc>
        <w:tc>
          <w:tcPr>
            <w:tcW w:w="8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7,288</w:t>
            </w:r>
          </w:p>
        </w:tc>
        <w:tc>
          <w:tcPr>
            <w:tcW w:w="760" w:type="dxa"/>
            <w:vAlign w:val="bottom"/>
            <w:gridSpan w:val="2"/>
            <w:vMerge w:val="restart"/>
          </w:tcPr>
          <w:p>
            <w:pPr>
              <w:jc w:val="right"/>
              <w:ind w:right="3"/>
              <w:spacing w:after="0"/>
              <w:rPr>
                <w:sz w:val="20"/>
                <w:szCs w:val="20"/>
                <w:color w:val="auto"/>
              </w:rPr>
            </w:pPr>
            <w:r>
              <w:rPr>
                <w:rFonts w:ascii="Arial" w:cs="Arial" w:eastAsia="Arial" w:hAnsi="Arial"/>
                <w:sz w:val="12"/>
                <w:szCs w:val="12"/>
                <w:color w:val="auto"/>
              </w:rPr>
              <w:t>1,551</w:t>
            </w:r>
          </w:p>
        </w:tc>
        <w:tc>
          <w:tcPr>
            <w:tcW w:w="80" w:type="dxa"/>
            <w:vAlign w:val="bottom"/>
          </w:tcPr>
          <w:p>
            <w:pPr>
              <w:spacing w:after="0"/>
              <w:rPr>
                <w:sz w:val="11"/>
                <w:szCs w:val="11"/>
                <w:color w:val="auto"/>
              </w:rPr>
            </w:pPr>
          </w:p>
        </w:tc>
        <w:tc>
          <w:tcPr>
            <w:tcW w:w="680" w:type="dxa"/>
            <w:vAlign w:val="bottom"/>
            <w:vMerge w:val="restart"/>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tcPr>
          <w:p>
            <w:pPr>
              <w:jc w:val="right"/>
              <w:ind w:right="8"/>
              <w:spacing w:after="0"/>
              <w:rPr>
                <w:sz w:val="20"/>
                <w:szCs w:val="20"/>
                <w:color w:val="auto"/>
              </w:rPr>
            </w:pPr>
            <w:r>
              <w:rPr>
                <w:rFonts w:ascii="Arial" w:cs="Arial" w:eastAsia="Arial" w:hAnsi="Arial"/>
                <w:sz w:val="12"/>
                <w:szCs w:val="12"/>
                <w:color w:val="auto"/>
              </w:rPr>
              <w:t>8,839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8,839</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(536)</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8,303</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3"/>
          </w:tcPr>
          <w:p>
            <w:pPr>
              <w:ind w:left="280"/>
              <w:spacing w:after="0"/>
              <w:rPr>
                <w:sz w:val="20"/>
                <w:szCs w:val="20"/>
                <w:color w:val="auto"/>
              </w:rPr>
            </w:pPr>
            <w:r>
              <w:rPr>
                <w:rFonts w:ascii="Arial" w:cs="Arial" w:eastAsia="Arial" w:hAnsi="Arial"/>
                <w:sz w:val="12"/>
                <w:szCs w:val="12"/>
                <w:color w:val="auto"/>
              </w:rPr>
              <w:t>PAR 3</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Feltham, UK LHR 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19,240</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31,106</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198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31,304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28,576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860"/>
          </w:cols>
          <w:pgMar w:left="320" w:top="140" w:right="719" w:bottom="1440" w:gutter="0" w:footer="0" w:header="0"/>
        </w:sectPr>
      </w:pPr>
    </w:p>
    <w:bookmarkStart w:id="177" w:name="page178"/>
    <w:bookmarkEnd w:id="177"/>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6"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20" w:type="dxa"/>
            <w:vAlign w:val="bottom"/>
            <w:gridSpan w:val="5"/>
          </w:tcPr>
          <w:p>
            <w:pPr>
              <w:spacing w:after="0"/>
              <w:rPr>
                <w:sz w:val="20"/>
                <w:szCs w:val="20"/>
                <w:color w:val="auto"/>
              </w:rPr>
            </w:pPr>
            <w:r>
              <w:rPr>
                <w:rFonts w:ascii="Arial" w:cs="Arial" w:eastAsia="Arial" w:hAnsi="Arial"/>
                <w:sz w:val="11"/>
                <w:szCs w:val="11"/>
                <w:b w:val="1"/>
                <w:bCs w:val="1"/>
                <w:color w:val="auto"/>
              </w:rPr>
              <w:t>(Amounts in thousands)</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Initial Cost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gridSpan w:val="5"/>
          </w:tcPr>
          <w:p>
            <w:pPr>
              <w:jc w:val="right"/>
              <w:spacing w:after="0"/>
              <w:rPr>
                <w:sz w:val="20"/>
                <w:szCs w:val="20"/>
                <w:color w:val="auto"/>
              </w:rPr>
            </w:pPr>
            <w:r>
              <w:rPr>
                <w:rFonts w:ascii="Arial" w:cs="Arial" w:eastAsia="Arial" w:hAnsi="Arial"/>
                <w:sz w:val="11"/>
                <w:szCs w:val="11"/>
                <w:b w:val="1"/>
                <w:bCs w:val="1"/>
                <w:color w:val="auto"/>
                <w:w w:val="99"/>
              </w:rPr>
              <w:t>Gross Cost Basis (2)</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8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9"/>
              </w:rPr>
              <w:t>Net Carrying</w:t>
            </w:r>
          </w:p>
        </w:tc>
        <w:tc>
          <w:tcPr>
            <w:tcW w:w="8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Date of</w:t>
            </w: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spacing w:after="0" w:line="92" w:lineRule="exact"/>
              <w:rPr>
                <w:sz w:val="20"/>
                <w:szCs w:val="20"/>
                <w:color w:val="auto"/>
              </w:rPr>
            </w:pPr>
            <w:r>
              <w:rPr>
                <w:rFonts w:ascii="Arial" w:cs="Arial" w:eastAsia="Arial" w:hAnsi="Arial"/>
                <w:sz w:val="10"/>
                <w:szCs w:val="10"/>
                <w:b w:val="1"/>
                <w:bCs w:val="1"/>
                <w:color w:val="auto"/>
              </w:rPr>
              <w:t>Buildings and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Costs</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tcPr>
          <w:p>
            <w:pPr>
              <w:jc w:val="center"/>
              <w:ind w:right="80"/>
              <w:spacing w:after="0" w:line="92" w:lineRule="exact"/>
              <w:rPr>
                <w:sz w:val="20"/>
                <w:szCs w:val="20"/>
                <w:color w:val="auto"/>
              </w:rPr>
            </w:pPr>
            <w:r>
              <w:rPr>
                <w:rFonts w:ascii="Arial" w:cs="Arial" w:eastAsia="Arial" w:hAnsi="Arial"/>
                <w:sz w:val="10"/>
                <w:szCs w:val="10"/>
                <w:b w:val="1"/>
                <w:bCs w:val="1"/>
                <w:color w:val="auto"/>
              </w:rPr>
              <w:t>Buildings and</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Encumbrances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59"/>
              <w:spacing w:after="0"/>
              <w:rPr>
                <w:sz w:val="20"/>
                <w:szCs w:val="20"/>
                <w:color w:val="auto"/>
              </w:rPr>
            </w:pPr>
            <w:r>
              <w:rPr>
                <w:rFonts w:ascii="Arial" w:cs="Arial" w:eastAsia="Arial" w:hAnsi="Arial"/>
                <w:sz w:val="11"/>
                <w:szCs w:val="11"/>
                <w:b w:val="1"/>
                <w:bCs w:val="1"/>
                <w:color w:val="auto"/>
              </w:rPr>
              <w:t>Land</w:t>
            </w:r>
          </w:p>
        </w:tc>
        <w:tc>
          <w:tcPr>
            <w:tcW w:w="80" w:type="dxa"/>
            <w:vAlign w:val="bottom"/>
            <w:vMerge w:val="restart"/>
          </w:tcPr>
          <w:p>
            <w:pPr>
              <w:spacing w:after="0"/>
              <w:rPr>
                <w:sz w:val="9"/>
                <w:szCs w:val="9"/>
                <w:color w:val="auto"/>
              </w:rPr>
            </w:pPr>
          </w:p>
        </w:tc>
        <w:tc>
          <w:tcPr>
            <w:tcW w:w="92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8"/>
              </w:rPr>
              <w:t>Improvements</w:t>
            </w: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Land</w:t>
            </w:r>
          </w:p>
        </w:tc>
        <w:tc>
          <w:tcPr>
            <w:tcW w:w="80" w:type="dxa"/>
            <w:vAlign w:val="bottom"/>
          </w:tcPr>
          <w:p>
            <w:pPr>
              <w:spacing w:after="0"/>
              <w:rPr>
                <w:sz w:val="9"/>
                <w:szCs w:val="9"/>
                <w:color w:val="auto"/>
              </w:rPr>
            </w:pPr>
          </w:p>
        </w:tc>
        <w:tc>
          <w:tcPr>
            <w:tcW w:w="92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8"/>
              </w:rPr>
              <w:t>Improvements</w:t>
            </w:r>
          </w:p>
        </w:tc>
        <w:tc>
          <w:tcPr>
            <w:tcW w:w="140" w:type="dxa"/>
            <w:vAlign w:val="bottom"/>
          </w:tcPr>
          <w:p>
            <w:pPr>
              <w:spacing w:after="0"/>
              <w:rPr>
                <w:sz w:val="9"/>
                <w:szCs w:val="9"/>
                <w:color w:val="auto"/>
              </w:rPr>
            </w:pPr>
          </w:p>
        </w:tc>
        <w:tc>
          <w:tcPr>
            <w:tcW w:w="68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Total</w:t>
            </w:r>
          </w:p>
        </w:tc>
        <w:tc>
          <w:tcPr>
            <w:tcW w:w="80" w:type="dxa"/>
            <w:vAlign w:val="bottom"/>
            <w:vMerge w:val="restart"/>
          </w:tcPr>
          <w:p>
            <w:pPr>
              <w:spacing w:after="0"/>
              <w:rPr>
                <w:sz w:val="9"/>
                <w:szCs w:val="9"/>
                <w:color w:val="auto"/>
              </w:rPr>
            </w:pPr>
          </w:p>
        </w:tc>
        <w:tc>
          <w:tcPr>
            <w:tcW w:w="860" w:type="dxa"/>
            <w:vAlign w:val="bottom"/>
            <w:gridSpan w:val="3"/>
          </w:tcPr>
          <w:p>
            <w:pPr>
              <w:jc w:val="center"/>
              <w:ind w:right="80"/>
              <w:spacing w:after="0" w:line="105" w:lineRule="exact"/>
              <w:rPr>
                <w:sz w:val="20"/>
                <w:szCs w:val="20"/>
                <w:color w:val="auto"/>
              </w:rPr>
            </w:pPr>
            <w:r>
              <w:rPr>
                <w:rFonts w:ascii="Arial" w:cs="Arial" w:eastAsia="Arial" w:hAnsi="Arial"/>
                <w:sz w:val="11"/>
                <w:szCs w:val="11"/>
                <w:b w:val="1"/>
                <w:bCs w:val="1"/>
                <w:color w:val="auto"/>
                <w:w w:val="98"/>
              </w:rPr>
              <w:t>Depreciation</w:t>
            </w:r>
          </w:p>
        </w:tc>
        <w:tc>
          <w:tcPr>
            <w:tcW w:w="140" w:type="dxa"/>
            <w:vAlign w:val="bottom"/>
          </w:tcPr>
          <w:p>
            <w:pPr>
              <w:spacing w:after="0"/>
              <w:rPr>
                <w:sz w:val="9"/>
                <w:szCs w:val="9"/>
                <w:color w:val="auto"/>
              </w:rPr>
            </w:pPr>
          </w:p>
        </w:tc>
        <w:tc>
          <w:tcPr>
            <w:tcW w:w="680" w:type="dxa"/>
            <w:vAlign w:val="bottom"/>
          </w:tcPr>
          <w:p>
            <w:pPr>
              <w:jc w:val="center"/>
              <w:ind w:right="118"/>
              <w:spacing w:after="0" w:line="10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9"/>
              </w:rPr>
              <w:t>Acquisition or</w:t>
            </w:r>
          </w:p>
        </w:tc>
        <w:tc>
          <w:tcPr>
            <w:tcW w:w="0" w:type="dxa"/>
            <w:vAlign w:val="bottom"/>
          </w:tcPr>
          <w:p>
            <w:pPr>
              <w:spacing w:after="0"/>
              <w:rPr>
                <w:sz w:val="1"/>
                <w:szCs w:val="1"/>
                <w:color w:val="auto"/>
              </w:rPr>
            </w:pPr>
          </w:p>
        </w:tc>
      </w:tr>
      <w:tr>
        <w:trPr>
          <w:trHeight w:val="147"/>
        </w:trPr>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Capitalized</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Construction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Arial" w:cs="Arial" w:eastAsia="Arial" w:hAnsi="Arial"/>
                <w:sz w:val="12"/>
                <w:szCs w:val="12"/>
                <w:color w:val="auto"/>
              </w:rPr>
              <w:t>Data Centers—Hyperscale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8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2"/>
                <w:szCs w:val="12"/>
                <w:i w:val="1"/>
                <w:iCs w:val="1"/>
                <w:color w:val="auto"/>
              </w:rPr>
              <w:t>Owned</w:t>
            </w:r>
          </w:p>
        </w:tc>
        <w:tc>
          <w:tcPr>
            <w:tcW w:w="38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2"/>
                <w:szCs w:val="12"/>
                <w:color w:val="auto"/>
              </w:rPr>
              <w:t>Santa Clara, CA 11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350,369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29,659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410,347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29,659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412,504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442,163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(26,641)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415,522</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Santa Clara, CA 12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298,186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298,042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298,246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310,272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288,056</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2"/>
                <w:szCs w:val="12"/>
                <w:color w:val="auto"/>
              </w:rPr>
              <w:t>Santa Clara, CA 13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99,395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115,031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115,734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126,010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117,946</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Santa Clara, CA 14</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99,395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122,892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131,979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123,303</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2"/>
                <w:szCs w:val="12"/>
                <w:color w:val="auto"/>
              </w:rPr>
              <w:t>Santa Clara, CA 15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273,337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15,123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383,146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15,325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15,123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398,471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413,594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(25,168)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388,426</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Santa Clara, CA 16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171,634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171,817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179,965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167,466</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2"/>
                <w:szCs w:val="12"/>
                <w:color w:val="auto"/>
              </w:rPr>
              <w:t>Santa Clara, CA 21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295,940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11,394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326,807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11,394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330,026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341,420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(21,012)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320,408</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Santa Clara, CA 22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338,217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379,417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379,452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391,710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387,665</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2"/>
                <w:szCs w:val="12"/>
                <w:color w:val="auto"/>
              </w:rPr>
              <w:t>Quincy, WA 11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99,361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151,754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153,498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155,240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(13,976)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141,264</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Quincy, WA 12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208,220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179,865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206,607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208,574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196,581</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2"/>
                <w:szCs w:val="12"/>
                <w:color w:val="auto"/>
              </w:rPr>
              <w:t>Montreal, Canada 11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79,964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157,182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18,004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175,186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177,422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(9,347)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168,075</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Quebec City, Canada 21</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133,256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137,422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128,076</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gridSpan w:val="4"/>
          </w:tcPr>
          <w:p>
            <w:pPr>
              <w:ind w:left="160"/>
              <w:spacing w:after="0"/>
              <w:rPr>
                <w:sz w:val="20"/>
                <w:szCs w:val="20"/>
                <w:color w:val="auto"/>
              </w:rPr>
            </w:pPr>
            <w:r>
              <w:rPr>
                <w:rFonts w:ascii="Arial" w:cs="Arial" w:eastAsia="Arial" w:hAnsi="Arial"/>
                <w:sz w:val="12"/>
                <w:szCs w:val="12"/>
                <w:color w:val="auto"/>
              </w:rPr>
              <w:t>Quebec City, Canada 22</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232,072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254,954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266,949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268,515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(17,965)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250,550</w:t>
            </w:r>
          </w:p>
        </w:tc>
        <w:tc>
          <w:tcPr>
            <w:tcW w:w="8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1920" w:type="dxa"/>
            <w:vAlign w:val="bottom"/>
            <w:gridSpan w:val="5"/>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Real estate held for</w:t>
            </w:r>
          </w:p>
        </w:tc>
        <w:tc>
          <w:tcPr>
            <w:tcW w:w="16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4,217,482</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206,588</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5"/>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4,784,985</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372,794</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206,588</w:t>
            </w: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5,157,779</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5,364,367</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(392,083)</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4,972,284</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1920" w:type="dxa"/>
            <w:vAlign w:val="bottom"/>
            <w:gridSpan w:val="5"/>
            <w:shd w:val="clear" w:color="auto" w:fill="CCEEFF"/>
          </w:tcPr>
          <w:p>
            <w:pPr>
              <w:ind w:left="60"/>
              <w:spacing w:after="0"/>
              <w:rPr>
                <w:sz w:val="20"/>
                <w:szCs w:val="20"/>
                <w:color w:val="auto"/>
              </w:rPr>
            </w:pPr>
            <w:r>
              <w:rPr>
                <w:rFonts w:ascii="Arial" w:cs="Arial" w:eastAsia="Arial" w:hAnsi="Arial"/>
                <w:sz w:val="12"/>
                <w:szCs w:val="12"/>
                <w:b w:val="1"/>
                <w:bCs w:val="1"/>
                <w:color w:val="auto"/>
              </w:rPr>
              <w:t>investment</w:t>
            </w:r>
          </w:p>
        </w:tc>
        <w:tc>
          <w:tcPr>
            <w:tcW w:w="16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2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Real estate held for</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gridSpan w:val="4"/>
            <w:shd w:val="clear" w:color="auto" w:fill="CCEEFF"/>
          </w:tcPr>
          <w:p>
            <w:pPr>
              <w:ind w:left="80"/>
              <w:spacing w:after="0"/>
              <w:rPr>
                <w:sz w:val="20"/>
                <w:szCs w:val="20"/>
                <w:color w:val="auto"/>
              </w:rPr>
            </w:pPr>
            <w:r>
              <w:rPr>
                <w:rFonts w:ascii="Arial" w:cs="Arial" w:eastAsia="Arial" w:hAnsi="Arial"/>
                <w:sz w:val="12"/>
                <w:szCs w:val="12"/>
                <w:b w:val="1"/>
                <w:bCs w:val="1"/>
                <w:color w:val="auto"/>
              </w:rPr>
              <w:t>disposition</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color w:val="auto"/>
              </w:rPr>
              <w:t>Wellness Infrastructure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3,006,629</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2017</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920" w:type="dxa"/>
            <w:vAlign w:val="bottom"/>
            <w:gridSpan w:val="5"/>
            <w:shd w:val="clear" w:color="auto" w:fill="CCEEFF"/>
          </w:tcPr>
          <w:p>
            <w:pPr>
              <w:ind w:left="60"/>
              <w:spacing w:after="0"/>
              <w:rPr>
                <w:sz w:val="20"/>
                <w:szCs w:val="20"/>
                <w:color w:val="auto"/>
              </w:rPr>
            </w:pPr>
            <w:r>
              <w:rPr>
                <w:rFonts w:ascii="Arial" w:cs="Arial" w:eastAsia="Arial" w:hAnsi="Arial"/>
                <w:sz w:val="12"/>
                <w:szCs w:val="12"/>
                <w:color w:val="auto"/>
              </w:rPr>
              <w:t>Other</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72,787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Various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rPr>
              <w:t>Total real estate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8,051,700</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14" w:lineRule="exact"/>
        <w:rPr>
          <w:sz w:val="20"/>
          <w:szCs w:val="20"/>
          <w:color w:val="auto"/>
        </w:rPr>
      </w:pPr>
    </w:p>
    <w:p>
      <w:pPr>
        <w:ind w:left="246" w:hanging="246"/>
        <w:spacing w:after="0"/>
        <w:tabs>
          <w:tab w:leader="none" w:pos="246" w:val="left"/>
        </w:tabs>
        <w:numPr>
          <w:ilvl w:val="0"/>
          <w:numId w:val="119"/>
        </w:numPr>
        <w:rPr>
          <w:rFonts w:ascii="Arial" w:cs="Arial" w:eastAsia="Arial" w:hAnsi="Arial"/>
          <w:sz w:val="16"/>
          <w:szCs w:val="16"/>
          <w:color w:val="auto"/>
          <w:vertAlign w:val="superscript"/>
        </w:rPr>
      </w:pPr>
      <w:r>
        <w:rPr>
          <w:rFonts w:ascii="Arial" w:cs="Arial" w:eastAsia="Arial" w:hAnsi="Arial"/>
          <w:sz w:val="12"/>
          <w:szCs w:val="12"/>
          <w:color w:val="auto"/>
        </w:rPr>
        <w:t>Includes construction in progress and data center infrastructure.</w:t>
      </w:r>
    </w:p>
    <w:p>
      <w:pPr>
        <w:spacing w:after="0" w:line="38" w:lineRule="exact"/>
        <w:rPr>
          <w:rFonts w:ascii="Arial" w:cs="Arial" w:eastAsia="Arial" w:hAnsi="Arial"/>
          <w:sz w:val="16"/>
          <w:szCs w:val="16"/>
          <w:color w:val="auto"/>
          <w:vertAlign w:val="superscript"/>
        </w:rPr>
      </w:pPr>
    </w:p>
    <w:p>
      <w:pPr>
        <w:ind w:left="246" w:hanging="246"/>
        <w:spacing w:after="0" w:line="194" w:lineRule="auto"/>
        <w:tabs>
          <w:tab w:leader="none" w:pos="246" w:val="left"/>
        </w:tabs>
        <w:numPr>
          <w:ilvl w:val="0"/>
          <w:numId w:val="119"/>
        </w:numPr>
        <w:rPr>
          <w:rFonts w:ascii="Arial" w:cs="Arial" w:eastAsia="Arial" w:hAnsi="Arial"/>
          <w:sz w:val="16"/>
          <w:szCs w:val="16"/>
          <w:color w:val="auto"/>
          <w:vertAlign w:val="superscript"/>
        </w:rPr>
      </w:pPr>
      <w:r>
        <w:rPr>
          <w:rFonts w:ascii="Arial" w:cs="Arial" w:eastAsia="Arial" w:hAnsi="Arial"/>
          <w:sz w:val="12"/>
          <w:szCs w:val="12"/>
          <w:color w:val="auto"/>
        </w:rPr>
        <w:t>Presented net of impairment of real estate, as described in Note 4 to the consolidated financial statements.</w:t>
      </w:r>
    </w:p>
    <w:p>
      <w:pPr>
        <w:spacing w:after="0" w:line="38" w:lineRule="exact"/>
        <w:rPr>
          <w:rFonts w:ascii="Arial" w:cs="Arial" w:eastAsia="Arial" w:hAnsi="Arial"/>
          <w:sz w:val="16"/>
          <w:szCs w:val="16"/>
          <w:color w:val="auto"/>
          <w:vertAlign w:val="superscript"/>
        </w:rPr>
      </w:pPr>
    </w:p>
    <w:p>
      <w:pPr>
        <w:ind w:left="146" w:hanging="146"/>
        <w:spacing w:after="0" w:line="215" w:lineRule="auto"/>
        <w:tabs>
          <w:tab w:leader="none" w:pos="243" w:val="left"/>
        </w:tabs>
        <w:numPr>
          <w:ilvl w:val="0"/>
          <w:numId w:val="119"/>
        </w:numPr>
        <w:rPr>
          <w:rFonts w:ascii="Arial" w:cs="Arial" w:eastAsia="Arial" w:hAnsi="Arial"/>
          <w:sz w:val="16"/>
          <w:szCs w:val="16"/>
          <w:color w:val="auto"/>
          <w:vertAlign w:val="superscript"/>
        </w:rPr>
      </w:pPr>
      <w:r>
        <w:rPr>
          <w:rFonts w:ascii="Arial" w:cs="Arial" w:eastAsia="Arial" w:hAnsi="Arial"/>
          <w:sz w:val="12"/>
          <w:szCs w:val="12"/>
          <w:color w:val="auto"/>
        </w:rPr>
        <w:t>Depreciation is calculated using useful life ranging from 5 to 40 years for site improvements, 5 to 50 years for buildings, 5 to 40 years for building improvements, and 10 to 20 years for data center infrastructure.</w:t>
      </w:r>
    </w:p>
    <w:p>
      <w:pPr>
        <w:spacing w:after="0" w:line="38" w:lineRule="exact"/>
        <w:rPr>
          <w:rFonts w:ascii="Arial" w:cs="Arial" w:eastAsia="Arial" w:hAnsi="Arial"/>
          <w:sz w:val="16"/>
          <w:szCs w:val="16"/>
          <w:color w:val="auto"/>
          <w:vertAlign w:val="superscript"/>
        </w:rPr>
      </w:pPr>
    </w:p>
    <w:p>
      <w:pPr>
        <w:ind w:left="146" w:right="300" w:hanging="146"/>
        <w:spacing w:after="0" w:line="215" w:lineRule="auto"/>
        <w:tabs>
          <w:tab w:leader="none" w:pos="241" w:val="left"/>
        </w:tabs>
        <w:numPr>
          <w:ilvl w:val="0"/>
          <w:numId w:val="119"/>
        </w:numPr>
        <w:rPr>
          <w:rFonts w:ascii="Arial" w:cs="Arial" w:eastAsia="Arial" w:hAnsi="Arial"/>
          <w:sz w:val="16"/>
          <w:szCs w:val="16"/>
          <w:color w:val="auto"/>
          <w:vertAlign w:val="superscript"/>
        </w:rPr>
      </w:pPr>
      <w:r>
        <w:rPr>
          <w:rFonts w:ascii="Arial" w:cs="Arial" w:eastAsia="Arial" w:hAnsi="Arial"/>
          <w:sz w:val="12"/>
          <w:szCs w:val="12"/>
          <w:color w:val="auto"/>
        </w:rPr>
        <w:t>The aggregate gross cost of real estate for federal income tax purposes was approximately $3.0 billion for real estate held for investment and $8.1 billion for real estate held for disposition at December 31, 2021.</w:t>
      </w:r>
    </w:p>
    <w:p>
      <w:pPr>
        <w:spacing w:after="0" w:line="3" w:lineRule="exact"/>
        <w:rPr>
          <w:rFonts w:ascii="Arial" w:cs="Arial" w:eastAsia="Arial" w:hAnsi="Arial"/>
          <w:sz w:val="16"/>
          <w:szCs w:val="16"/>
          <w:color w:val="auto"/>
          <w:vertAlign w:val="superscript"/>
        </w:rPr>
      </w:pPr>
    </w:p>
    <w:p>
      <w:pPr>
        <w:ind w:left="246" w:hanging="246"/>
        <w:spacing w:after="0"/>
        <w:tabs>
          <w:tab w:leader="none" w:pos="246" w:val="left"/>
        </w:tabs>
        <w:numPr>
          <w:ilvl w:val="0"/>
          <w:numId w:val="119"/>
        </w:numPr>
        <w:rPr>
          <w:rFonts w:ascii="Arial" w:cs="Arial" w:eastAsia="Arial" w:hAnsi="Arial"/>
          <w:sz w:val="16"/>
          <w:szCs w:val="16"/>
          <w:color w:val="auto"/>
          <w:vertAlign w:val="superscript"/>
        </w:rPr>
      </w:pPr>
      <w:r>
        <w:rPr>
          <w:rFonts w:ascii="Arial" w:cs="Arial" w:eastAsia="Arial" w:hAnsi="Arial"/>
          <w:sz w:val="12"/>
          <w:szCs w:val="12"/>
          <w:color w:val="auto"/>
        </w:rPr>
        <w:t>Represents construction or data center build-out that are in progress.</w:t>
      </w:r>
    </w:p>
    <w:p>
      <w:pPr>
        <w:spacing w:after="0" w:line="38" w:lineRule="exact"/>
        <w:rPr>
          <w:rFonts w:ascii="Arial" w:cs="Arial" w:eastAsia="Arial" w:hAnsi="Arial"/>
          <w:sz w:val="16"/>
          <w:szCs w:val="16"/>
          <w:color w:val="auto"/>
          <w:vertAlign w:val="superscript"/>
        </w:rPr>
      </w:pPr>
    </w:p>
    <w:p>
      <w:pPr>
        <w:ind w:left="246" w:hanging="246"/>
        <w:spacing w:after="0" w:line="194" w:lineRule="auto"/>
        <w:tabs>
          <w:tab w:leader="none" w:pos="246" w:val="left"/>
        </w:tabs>
        <w:numPr>
          <w:ilvl w:val="0"/>
          <w:numId w:val="119"/>
        </w:numPr>
        <w:rPr>
          <w:rFonts w:ascii="Arial" w:cs="Arial" w:eastAsia="Arial" w:hAnsi="Arial"/>
          <w:sz w:val="16"/>
          <w:szCs w:val="16"/>
          <w:color w:val="auto"/>
          <w:vertAlign w:val="superscript"/>
        </w:rPr>
      </w:pPr>
      <w:r>
        <w:rPr>
          <w:rFonts w:ascii="Arial" w:cs="Arial" w:eastAsia="Arial" w:hAnsi="Arial"/>
          <w:sz w:val="12"/>
          <w:szCs w:val="12"/>
          <w:color w:val="auto"/>
        </w:rPr>
        <w:t>Construction of property was completed in the fourth quarter of 2021.</w:t>
      </w:r>
    </w:p>
    <w:p>
      <w:pPr>
        <w:spacing w:after="0" w:line="200" w:lineRule="exact"/>
        <w:rPr>
          <w:sz w:val="20"/>
          <w:szCs w:val="20"/>
          <w:color w:val="auto"/>
        </w:rPr>
      </w:pPr>
    </w:p>
    <w:p>
      <w:pPr>
        <w:spacing w:after="0" w:line="208" w:lineRule="exact"/>
        <w:rPr>
          <w:sz w:val="20"/>
          <w:szCs w:val="20"/>
          <w:color w:val="auto"/>
        </w:rPr>
      </w:pPr>
    </w:p>
    <w:p>
      <w:pPr>
        <w:jc w:val="center"/>
        <w:ind w:right="-305"/>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46"/>
          </w:cols>
          <w:pgMar w:left="314" w:top="140" w:right="639" w:bottom="1440" w:gutter="0" w:footer="0" w:header="0"/>
        </w:sectPr>
      </w:pPr>
    </w:p>
    <w:bookmarkStart w:id="178" w:name="page179"/>
    <w:bookmarkEnd w:id="178"/>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tables summarize the activity in real estate and accumulated depreciation:</w:t>
      </w:r>
    </w:p>
    <w:p>
      <w:pPr>
        <w:spacing w:after="0" w:line="104" w:lineRule="exact"/>
        <w:rPr>
          <w:sz w:val="20"/>
          <w:szCs w:val="20"/>
          <w:color w:val="auto"/>
        </w:rPr>
      </w:pPr>
    </w:p>
    <w:tbl>
      <w:tblPr>
        <w:tblLayout w:type="fixed"/>
        <w:tblInd w:w="26"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1"/>
                <w:szCs w:val="11"/>
                <w:b w:val="1"/>
                <w:bCs w:val="1"/>
                <w:color w:val="auto"/>
                <w:w w:val="99"/>
              </w:rPr>
              <w:t>Year Ended December 31,</w:t>
            </w:r>
          </w:p>
        </w:tc>
        <w:tc>
          <w:tcPr>
            <w:tcW w:w="900" w:type="dxa"/>
            <w:vAlign w:val="bottom"/>
            <w:tcBorders>
              <w:bottom w:val="single" w:sz="8" w:color="auto"/>
            </w:tcBorders>
          </w:tcPr>
          <w:p>
            <w:pPr>
              <w:spacing w:after="0"/>
              <w:rPr>
                <w:sz w:val="12"/>
                <w:szCs w:val="12"/>
                <w:color w:val="auto"/>
              </w:rPr>
            </w:pPr>
          </w:p>
        </w:tc>
      </w:tr>
      <w:tr>
        <w:trPr>
          <w:trHeight w:val="117"/>
        </w:trPr>
        <w:tc>
          <w:tcPr>
            <w:tcW w:w="7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880" w:type="dxa"/>
            <w:vAlign w:val="bottom"/>
          </w:tcPr>
          <w:p>
            <w:pPr>
              <w:jc w:val="right"/>
              <w:ind w:right="353"/>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51"/>
              <w:spacing w:after="0" w:line="117" w:lineRule="exact"/>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351"/>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2"/>
        </w:trPr>
        <w:tc>
          <w:tcPr>
            <w:tcW w:w="78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Real Estate, at Gross Cost Basis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5"/>
        </w:trPr>
        <w:tc>
          <w:tcPr>
            <w:tcW w:w="7800" w:type="dxa"/>
            <w:vAlign w:val="bottom"/>
            <w:gridSpan w:val="2"/>
          </w:tcPr>
          <w:p>
            <w:pPr>
              <w:ind w:left="80"/>
              <w:spacing w:after="0"/>
              <w:rPr>
                <w:sz w:val="20"/>
                <w:szCs w:val="20"/>
                <w:color w:val="auto"/>
              </w:rPr>
            </w:pPr>
            <w:r>
              <w:rPr>
                <w:rFonts w:ascii="Arial" w:cs="Arial" w:eastAsia="Arial" w:hAnsi="Arial"/>
                <w:sz w:val="14"/>
                <w:szCs w:val="14"/>
                <w:color w:val="auto"/>
              </w:rPr>
              <w:t>Balance at January 1</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14,028,516</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12,702,355</w:t>
            </w:r>
          </w:p>
        </w:tc>
        <w:tc>
          <w:tcPr>
            <w:tcW w:w="8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15,500,802</w:t>
            </w:r>
          </w:p>
        </w:tc>
      </w:tr>
      <w:tr>
        <w:trPr>
          <w:trHeight w:val="189"/>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Asset acquisitions and business combinations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572,738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3,650,180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2,351,196</w:t>
            </w:r>
          </w:p>
        </w:tc>
      </w:tr>
      <w:tr>
        <w:trPr>
          <w:trHeight w:val="185"/>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Measurement period adjustments for real estate acquired in business combinations</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Foreclosures and exchanges of loans receivable for real estate</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124,335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14,866</w:t>
            </w:r>
          </w:p>
        </w:tc>
      </w:tr>
      <w:tr>
        <w:trPr>
          <w:trHeight w:val="187"/>
        </w:trPr>
        <w:tc>
          <w:tcPr>
            <w:tcW w:w="7800" w:type="dxa"/>
            <w:vAlign w:val="bottom"/>
            <w:gridSpan w:val="2"/>
          </w:tcPr>
          <w:p>
            <w:pPr>
              <w:ind w:left="140"/>
              <w:spacing w:after="0" w:line="187" w:lineRule="exact"/>
              <w:rPr>
                <w:sz w:val="20"/>
                <w:szCs w:val="20"/>
                <w:color w:val="auto"/>
              </w:rPr>
            </w:pPr>
            <w:r>
              <w:rPr>
                <w:rFonts w:ascii="Arial" w:cs="Arial" w:eastAsia="Arial" w:hAnsi="Arial"/>
                <w:sz w:val="14"/>
                <w:szCs w:val="14"/>
                <w:color w:val="auto"/>
              </w:rPr>
              <w:t xml:space="preserve">Improvements and capitalized costs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325,281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180,787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366,817</w:t>
            </w:r>
          </w:p>
        </w:tc>
      </w:tr>
      <w:tr>
        <w:trPr>
          <w:trHeight w:val="187"/>
        </w:trPr>
        <w:tc>
          <w:tcPr>
            <w:tcW w:w="780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4"/>
                <w:szCs w:val="14"/>
                <w:color w:val="auto"/>
              </w:rPr>
              <w:t xml:space="preserve">Dispositions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(5,744,919)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(869,776)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(5,197,705)</w:t>
            </w:r>
          </w:p>
        </w:tc>
      </w:tr>
      <w:tr>
        <w:trPr>
          <w:trHeight w:val="185"/>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 xml:space="preserve">Impairment (Note </w:t>
            </w:r>
            <w:r>
              <w:rPr>
                <w:rFonts w:ascii="Arial" w:cs="Arial" w:eastAsia="Arial" w:hAnsi="Arial"/>
                <w:sz w:val="12"/>
                <w:szCs w:val="12"/>
                <w:color w:val="auto"/>
              </w:rPr>
              <w:t>4</w:t>
            </w: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(316,135)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(1,878,012)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(348,710)</w:t>
            </w:r>
          </w:p>
        </w:tc>
      </w:tr>
      <w:tr>
        <w:trPr>
          <w:trHeight w:val="18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Effect of changes in foreign exchange rates</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(88,096)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127,052</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15,089</w:t>
            </w:r>
          </w:p>
        </w:tc>
      </w:tr>
      <w:tr>
        <w:trPr>
          <w:trHeight w:val="179"/>
        </w:trPr>
        <w:tc>
          <w:tcPr>
            <w:tcW w:w="7800" w:type="dxa"/>
            <w:vAlign w:val="bottom"/>
            <w:gridSpan w:val="2"/>
          </w:tcPr>
          <w:p>
            <w:pPr>
              <w:ind w:left="80"/>
              <w:spacing w:after="0"/>
              <w:rPr>
                <w:sz w:val="20"/>
                <w:szCs w:val="20"/>
                <w:color w:val="auto"/>
              </w:rPr>
            </w:pPr>
            <w:r>
              <w:rPr>
                <w:rFonts w:ascii="Arial" w:cs="Arial" w:eastAsia="Arial" w:hAnsi="Arial"/>
                <w:sz w:val="14"/>
                <w:szCs w:val="14"/>
                <w:color w:val="auto"/>
              </w:rPr>
              <w:t>Balance at December 31</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8,777,385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14,028,516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12,702,355</w:t>
            </w:r>
          </w:p>
        </w:tc>
      </w:tr>
      <w:tr>
        <w:trPr>
          <w:trHeight w:val="189"/>
        </w:trPr>
        <w:tc>
          <w:tcPr>
            <w:tcW w:w="78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Classified as held for disposition, net </w:t>
            </w:r>
            <w:r>
              <w:rPr>
                <w:rFonts w:ascii="Arial" w:cs="Arial" w:eastAsia="Arial" w:hAnsi="Arial"/>
                <w:sz w:val="18"/>
                <w:szCs w:val="18"/>
                <w:color w:val="auto"/>
                <w:vertAlign w:val="superscript"/>
              </w:rPr>
              <w:t>(3)</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(3,413,018)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(9,458,467)</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(11,854,897)</w:t>
            </w:r>
          </w:p>
        </w:tc>
      </w:tr>
      <w:tr>
        <w:trPr>
          <w:trHeight w:val="179"/>
        </w:trPr>
        <w:tc>
          <w:tcPr>
            <w:tcW w:w="7800" w:type="dxa"/>
            <w:vAlign w:val="bottom"/>
            <w:gridSpan w:val="2"/>
          </w:tcPr>
          <w:p>
            <w:pPr>
              <w:ind w:left="80"/>
              <w:spacing w:after="0"/>
              <w:rPr>
                <w:sz w:val="20"/>
                <w:szCs w:val="20"/>
                <w:color w:val="auto"/>
              </w:rPr>
            </w:pPr>
            <w:r>
              <w:rPr>
                <w:rFonts w:ascii="Arial" w:cs="Arial" w:eastAsia="Arial" w:hAnsi="Arial"/>
                <w:sz w:val="14"/>
                <w:szCs w:val="14"/>
                <w:color w:val="auto"/>
              </w:rPr>
              <w:t>Balance at December 31, held for investment</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5,364,367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4,570,049</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847,458</w:t>
            </w:r>
          </w:p>
        </w:tc>
      </w:tr>
      <w:tr>
        <w:trPr>
          <w:trHeight w:val="20"/>
        </w:trPr>
        <w:tc>
          <w:tcPr>
            <w:tcW w:w="7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1"/>
                <w:szCs w:val="11"/>
                <w:b w:val="1"/>
                <w:bCs w:val="1"/>
                <w:color w:val="auto"/>
                <w:w w:val="99"/>
              </w:rPr>
              <w:t>Year Ended December 31,</w:t>
            </w:r>
          </w:p>
        </w:tc>
        <w:tc>
          <w:tcPr>
            <w:tcW w:w="900" w:type="dxa"/>
            <w:vAlign w:val="bottom"/>
            <w:tcBorders>
              <w:bottom w:val="single" w:sz="8" w:color="auto"/>
            </w:tcBorders>
          </w:tcPr>
          <w:p>
            <w:pPr>
              <w:spacing w:after="0"/>
              <w:rPr>
                <w:sz w:val="24"/>
                <w:szCs w:val="24"/>
                <w:color w:val="auto"/>
              </w:rPr>
            </w:pPr>
          </w:p>
        </w:tc>
      </w:tr>
      <w:tr>
        <w:trPr>
          <w:trHeight w:val="117"/>
        </w:trPr>
        <w:tc>
          <w:tcPr>
            <w:tcW w:w="7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880" w:type="dxa"/>
            <w:vAlign w:val="bottom"/>
          </w:tcPr>
          <w:p>
            <w:pPr>
              <w:jc w:val="right"/>
              <w:ind w:right="353"/>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51"/>
              <w:spacing w:after="0" w:line="117" w:lineRule="exact"/>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351"/>
              <w:spacing w:after="0" w:line="117" w:lineRule="exact"/>
              <w:rPr>
                <w:sz w:val="20"/>
                <w:szCs w:val="20"/>
                <w:color w:val="auto"/>
              </w:rPr>
            </w:pPr>
            <w:r>
              <w:rPr>
                <w:rFonts w:ascii="Arial" w:cs="Arial" w:eastAsia="Arial" w:hAnsi="Arial"/>
                <w:sz w:val="11"/>
                <w:szCs w:val="11"/>
                <w:b w:val="1"/>
                <w:bCs w:val="1"/>
                <w:color w:val="auto"/>
              </w:rPr>
              <w:t>2019</w:t>
            </w: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2"/>
        </w:trPr>
        <w:tc>
          <w:tcPr>
            <w:tcW w:w="78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Accumulated Depreciation</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5"/>
        </w:trPr>
        <w:tc>
          <w:tcPr>
            <w:tcW w:w="7800" w:type="dxa"/>
            <w:vAlign w:val="bottom"/>
            <w:gridSpan w:val="2"/>
          </w:tcPr>
          <w:p>
            <w:pPr>
              <w:ind w:left="120"/>
              <w:spacing w:after="0"/>
              <w:rPr>
                <w:sz w:val="20"/>
                <w:szCs w:val="20"/>
                <w:color w:val="auto"/>
              </w:rPr>
            </w:pPr>
            <w:r>
              <w:rPr>
                <w:rFonts w:ascii="Arial" w:cs="Arial" w:eastAsia="Arial" w:hAnsi="Arial"/>
                <w:sz w:val="14"/>
                <w:szCs w:val="14"/>
                <w:color w:val="auto"/>
              </w:rPr>
              <w:t>Balance at January 1</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1,397,627</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1,042,422</w:t>
            </w:r>
          </w:p>
        </w:tc>
        <w:tc>
          <w:tcPr>
            <w:tcW w:w="8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1,029,386</w:t>
            </w:r>
          </w:p>
        </w:tc>
      </w:tr>
      <w:tr>
        <w:trPr>
          <w:trHeight w:val="189"/>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420,209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500,240</w:t>
            </w:r>
          </w:p>
        </w:tc>
      </w:tr>
      <w:tr>
        <w:trPr>
          <w:trHeight w:val="187"/>
        </w:trPr>
        <w:tc>
          <w:tcPr>
            <w:tcW w:w="7800" w:type="dxa"/>
            <w:vAlign w:val="bottom"/>
            <w:gridSpan w:val="2"/>
          </w:tcPr>
          <w:p>
            <w:pPr>
              <w:ind w:left="180"/>
              <w:spacing w:after="0" w:line="187" w:lineRule="exact"/>
              <w:rPr>
                <w:sz w:val="20"/>
                <w:szCs w:val="20"/>
                <w:color w:val="auto"/>
              </w:rPr>
            </w:pPr>
            <w:r>
              <w:rPr>
                <w:rFonts w:ascii="Arial" w:cs="Arial" w:eastAsia="Arial" w:hAnsi="Arial"/>
                <w:sz w:val="14"/>
                <w:szCs w:val="14"/>
                <w:color w:val="auto"/>
              </w:rPr>
              <w:t xml:space="preserve">Dispositions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(1,010,599)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(74,692)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(489,276)</w:t>
            </w:r>
          </w:p>
        </w:tc>
      </w:tr>
      <w:tr>
        <w:trPr>
          <w:trHeight w:val="185"/>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Effect of changes in foreign exchange rates</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9,688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r>
      <w:tr>
        <w:trPr>
          <w:trHeight w:val="179"/>
        </w:trPr>
        <w:tc>
          <w:tcPr>
            <w:tcW w:w="7800" w:type="dxa"/>
            <w:vAlign w:val="bottom"/>
            <w:gridSpan w:val="2"/>
          </w:tcPr>
          <w:p>
            <w:pPr>
              <w:ind w:left="120"/>
              <w:spacing w:after="0"/>
              <w:rPr>
                <w:sz w:val="20"/>
                <w:szCs w:val="20"/>
                <w:color w:val="auto"/>
              </w:rPr>
            </w:pPr>
            <w:r>
              <w:rPr>
                <w:rFonts w:ascii="Arial" w:cs="Arial" w:eastAsia="Arial" w:hAnsi="Arial"/>
                <w:sz w:val="14"/>
                <w:szCs w:val="14"/>
                <w:color w:val="auto"/>
              </w:rPr>
              <w:t>Balance at December 31</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725,685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1,397,627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1,042,422</w:t>
            </w:r>
          </w:p>
        </w:tc>
      </w:tr>
      <w:tr>
        <w:trPr>
          <w:trHeight w:val="189"/>
        </w:trPr>
        <w:tc>
          <w:tcPr>
            <w:tcW w:w="78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Classified as held for disposition, net </w:t>
            </w:r>
            <w:r>
              <w:rPr>
                <w:rFonts w:ascii="Arial" w:cs="Arial" w:eastAsia="Arial" w:hAnsi="Arial"/>
                <w:sz w:val="18"/>
                <w:szCs w:val="18"/>
                <w:color w:val="auto"/>
                <w:vertAlign w:val="superscript"/>
              </w:rPr>
              <w:t>(3)</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(333,602)</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(1,279,443)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(1,041,357)</w:t>
            </w:r>
          </w:p>
        </w:tc>
      </w:tr>
      <w:tr>
        <w:trPr>
          <w:trHeight w:val="179"/>
        </w:trPr>
        <w:tc>
          <w:tcPr>
            <w:tcW w:w="7800" w:type="dxa"/>
            <w:vAlign w:val="bottom"/>
            <w:gridSpan w:val="2"/>
          </w:tcPr>
          <w:p>
            <w:pPr>
              <w:ind w:left="120"/>
              <w:spacing w:after="0"/>
              <w:rPr>
                <w:sz w:val="20"/>
                <w:szCs w:val="20"/>
                <w:color w:val="auto"/>
              </w:rPr>
            </w:pPr>
            <w:r>
              <w:rPr>
                <w:rFonts w:ascii="Arial" w:cs="Arial" w:eastAsia="Arial" w:hAnsi="Arial"/>
                <w:sz w:val="14"/>
                <w:szCs w:val="14"/>
                <w:color w:val="auto"/>
              </w:rPr>
              <w:t>Balance at December 31, held for investment</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392,083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118,184</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w:t>
            </w:r>
          </w:p>
        </w:tc>
      </w:tr>
      <w:tr>
        <w:trPr>
          <w:trHeight w:val="20"/>
        </w:trPr>
        <w:tc>
          <w:tcPr>
            <w:tcW w:w="7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246" w:hanging="246"/>
        <w:spacing w:after="0"/>
        <w:tabs>
          <w:tab w:leader="none" w:pos="246" w:val="left"/>
        </w:tabs>
        <w:numPr>
          <w:ilvl w:val="0"/>
          <w:numId w:val="120"/>
        </w:numPr>
        <w:rPr>
          <w:rFonts w:ascii="Arial" w:cs="Arial" w:eastAsia="Arial" w:hAnsi="Arial"/>
          <w:sz w:val="16"/>
          <w:szCs w:val="16"/>
          <w:color w:val="auto"/>
          <w:vertAlign w:val="superscript"/>
        </w:rPr>
      </w:pPr>
      <w:r>
        <w:rPr>
          <w:rFonts w:ascii="Arial" w:cs="Arial" w:eastAsia="Arial" w:hAnsi="Arial"/>
          <w:sz w:val="12"/>
          <w:szCs w:val="12"/>
          <w:color w:val="auto"/>
        </w:rPr>
        <w:t>Includes transaction costs capitalized for asset acquisitions.</w:t>
      </w:r>
    </w:p>
    <w:p>
      <w:pPr>
        <w:spacing w:after="0" w:line="38" w:lineRule="exact"/>
        <w:rPr>
          <w:rFonts w:ascii="Arial" w:cs="Arial" w:eastAsia="Arial" w:hAnsi="Arial"/>
          <w:sz w:val="16"/>
          <w:szCs w:val="16"/>
          <w:color w:val="auto"/>
          <w:vertAlign w:val="superscript"/>
        </w:rPr>
      </w:pPr>
    </w:p>
    <w:p>
      <w:pPr>
        <w:ind w:left="246" w:hanging="246"/>
        <w:spacing w:after="0" w:line="194" w:lineRule="auto"/>
        <w:tabs>
          <w:tab w:leader="none" w:pos="246" w:val="left"/>
        </w:tabs>
        <w:numPr>
          <w:ilvl w:val="0"/>
          <w:numId w:val="120"/>
        </w:numPr>
        <w:rPr>
          <w:rFonts w:ascii="Arial" w:cs="Arial" w:eastAsia="Arial" w:hAnsi="Arial"/>
          <w:sz w:val="16"/>
          <w:szCs w:val="16"/>
          <w:color w:val="auto"/>
          <w:vertAlign w:val="superscript"/>
        </w:rPr>
      </w:pPr>
      <w:r>
        <w:rPr>
          <w:rFonts w:ascii="Arial" w:cs="Arial" w:eastAsia="Arial" w:hAnsi="Arial"/>
          <w:sz w:val="12"/>
          <w:szCs w:val="12"/>
          <w:color w:val="auto"/>
        </w:rPr>
        <w:t>Includes amounts classified as held for disposition during the year and disposed before the end of the year.</w:t>
      </w:r>
    </w:p>
    <w:p>
      <w:pPr>
        <w:spacing w:after="0" w:line="38" w:lineRule="exact"/>
        <w:rPr>
          <w:rFonts w:ascii="Arial" w:cs="Arial" w:eastAsia="Arial" w:hAnsi="Arial"/>
          <w:sz w:val="16"/>
          <w:szCs w:val="16"/>
          <w:color w:val="auto"/>
          <w:vertAlign w:val="superscript"/>
        </w:rPr>
      </w:pPr>
    </w:p>
    <w:p>
      <w:pPr>
        <w:ind w:left="206" w:right="80" w:hanging="206"/>
        <w:spacing w:after="0" w:line="215" w:lineRule="auto"/>
        <w:tabs>
          <w:tab w:leader="none" w:pos="226" w:val="left"/>
        </w:tabs>
        <w:numPr>
          <w:ilvl w:val="0"/>
          <w:numId w:val="120"/>
        </w:numPr>
        <w:rPr>
          <w:rFonts w:ascii="Arial" w:cs="Arial" w:eastAsia="Arial" w:hAnsi="Arial"/>
          <w:sz w:val="16"/>
          <w:szCs w:val="16"/>
          <w:color w:val="auto"/>
          <w:vertAlign w:val="superscript"/>
        </w:rPr>
      </w:pPr>
      <w:r>
        <w:rPr>
          <w:rFonts w:ascii="Arial" w:cs="Arial" w:eastAsia="Arial" w:hAnsi="Arial"/>
          <w:sz w:val="12"/>
          <w:szCs w:val="12"/>
          <w:color w:val="auto"/>
        </w:rPr>
        <w:t>Amounts classified as held for disposition during the year and remain as held for disposition at the end of the year. Includes amounts retrospectively classified as held for disposition in connection with discontinued operations.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76135"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40" w:right="339" w:bottom="1440" w:gutter="0" w:footer="0" w:header="0"/>
        </w:sectPr>
      </w:pPr>
    </w:p>
    <w:bookmarkStart w:id="179" w:name="page180"/>
    <w:bookmarkEnd w:id="1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8674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2.3</w:t>
      </w: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3.1*</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3.2</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3.3</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3.4</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4.1</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4.3</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4.5</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4.6</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4.7*</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4.9</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4.10</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4.11</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4.12</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4.13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15240</wp:posOffset>
            </wp:positionV>
            <wp:extent cx="7128510" cy="3860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28510" cy="386080"/>
                    </a:xfrm>
                    <a:prstGeom prst="rect">
                      <a:avLst/>
                    </a:prstGeom>
                    <a:noFill/>
                  </pic:spPr>
                </pic:pic>
              </a:graphicData>
            </a:graphic>
          </wp:anchor>
        </w:drawing>
      </w:r>
    </w:p>
    <w:p>
      <w:pPr>
        <w:spacing w:after="0" w:line="66" w:lineRule="exact"/>
        <w:rPr>
          <w:sz w:val="20"/>
          <w:szCs w:val="20"/>
          <w:color w:val="auto"/>
        </w:rPr>
      </w:pPr>
    </w:p>
    <w:p>
      <w:pPr>
        <w:ind w:left="80" w:right="80" w:hanging="69"/>
        <w:spacing w:after="0"/>
        <w:rPr>
          <w:rFonts w:ascii="Arial" w:cs="Arial" w:eastAsia="Arial" w:hAnsi="Arial"/>
          <w:sz w:val="12"/>
          <w:szCs w:val="12"/>
          <w:u w:val="single" w:color="auto"/>
          <w:color w:val="0000FF"/>
        </w:rPr>
      </w:pPr>
      <w:hyperlink r:id="rId205">
        <w:r>
          <w:rPr>
            <w:rFonts w:ascii="Arial" w:cs="Arial" w:eastAsia="Arial" w:hAnsi="Arial"/>
            <w:sz w:val="12"/>
            <w:szCs w:val="12"/>
            <w:u w:val="single" w:color="auto"/>
            <w:color w:val="0000FF"/>
          </w:rPr>
          <w:t>Agreement and Plans of Merger, dated as of June 2, 2016, among NorthStar Asset Management Group Inc., Colony Capital, Inc., NorthStar Realty Finance Corp., Colony NorthStar,</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Inc. (formerly known as New Polaris Inc.), New Sirius Inc., NorthStar Realty Finance Limited Partnership, Sirius Merger Sub-T, LLC and New Sirius Merger Sub, LLC (incorporated by</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reference to Exhibit 2.1 to Colony NorthStar, Inc.’s Registration Statement on Form S-4 (No. 333-212739) effective November 18, 2016, which is included as Annex A to such</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Registration Statement)</w:t>
        </w:r>
      </w:hyperlink>
    </w:p>
    <w:p>
      <w:pPr>
        <w:spacing w:after="0" w:line="147" w:lineRule="exact"/>
        <w:rPr>
          <w:rFonts w:ascii="Arial" w:cs="Arial" w:eastAsia="Arial" w:hAnsi="Arial"/>
          <w:sz w:val="12"/>
          <w:szCs w:val="12"/>
          <w:u w:val="single" w:color="auto"/>
          <w:color w:val="0000FF"/>
        </w:rPr>
      </w:pPr>
    </w:p>
    <w:p>
      <w:pPr>
        <w:ind w:left="80" w:right="340" w:hanging="69"/>
        <w:spacing w:after="0" w:line="232" w:lineRule="auto"/>
        <w:rPr>
          <w:rFonts w:ascii="Arial" w:cs="Arial" w:eastAsia="Arial" w:hAnsi="Arial"/>
          <w:sz w:val="12"/>
          <w:szCs w:val="12"/>
          <w:u w:val="single" w:color="auto"/>
          <w:color w:val="0000FF"/>
        </w:rPr>
      </w:pPr>
      <w:hyperlink r:id="rId205">
        <w:r>
          <w:rPr>
            <w:rFonts w:ascii="Arial" w:cs="Arial" w:eastAsia="Arial" w:hAnsi="Arial"/>
            <w:sz w:val="12"/>
            <w:szCs w:val="12"/>
            <w:u w:val="single" w:color="auto"/>
            <w:color w:val="0000FF"/>
          </w:rPr>
          <w:t>Letter Agreement, dated as of July 28, 2016, by and among NorthStar Realty Finance Corp., Colony Capital, Inc., NorthStar Asset Management Group Inc., Colony NorthStar, Inc.</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(formerly known as New Polaris Inc.), Sirius Merger Sub-T, LLC, NorthStar Realty Finance Limited Partnership, New Sirius Inc. and New Sirius Merger Sub LLC (incorporated by</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reference to Exhibit 2.2 to Colony NorthStar, Inc.’s Registration Statement on Form S-4 (No. 333-212739) effective November 18, 2016, which is included as Annex A to such</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Registration Statement)</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-650875</wp:posOffset>
            </wp:positionH>
            <wp:positionV relativeFrom="paragraph">
              <wp:posOffset>7620</wp:posOffset>
            </wp:positionV>
            <wp:extent cx="7128510" cy="3270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28510" cy="327025"/>
                    </a:xfrm>
                    <a:prstGeom prst="rect">
                      <a:avLst/>
                    </a:prstGeom>
                    <a:noFill/>
                  </pic:spPr>
                </pic:pic>
              </a:graphicData>
            </a:graphic>
          </wp:anchor>
        </w:drawing>
      </w:r>
    </w:p>
    <w:p>
      <w:pPr>
        <w:spacing w:after="0" w:line="8" w:lineRule="exact"/>
        <w:rPr>
          <w:rFonts w:ascii="Arial" w:cs="Arial" w:eastAsia="Arial" w:hAnsi="Arial"/>
          <w:sz w:val="12"/>
          <w:szCs w:val="12"/>
          <w:u w:val="single" w:color="auto"/>
          <w:color w:val="0000FF"/>
        </w:rPr>
      </w:pPr>
    </w:p>
    <w:p>
      <w:pPr>
        <w:ind w:left="80" w:hanging="69"/>
        <w:spacing w:after="0"/>
        <w:rPr>
          <w:rFonts w:ascii="Arial" w:cs="Arial" w:eastAsia="Arial" w:hAnsi="Arial"/>
          <w:sz w:val="12"/>
          <w:szCs w:val="12"/>
          <w:u w:val="single" w:color="auto"/>
          <w:color w:val="0000FF"/>
        </w:rPr>
      </w:pPr>
      <w:hyperlink r:id="rId205">
        <w:r>
          <w:rPr>
            <w:rFonts w:ascii="Arial" w:cs="Arial" w:eastAsia="Arial" w:hAnsi="Arial"/>
            <w:sz w:val="12"/>
            <w:szCs w:val="12"/>
            <w:u w:val="single" w:color="auto"/>
            <w:color w:val="0000FF"/>
          </w:rPr>
          <w:t>Letter Agreement, dated as of October 16, 2016, among NorthStar Realty Finance Corp., Colony Capital, Inc., NorthStar Asset Management Group Inc., Colony NorthStar, Inc. (formerly</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known as New Polaris Inc.), Sirius Merger Sub-T, LLC, NorthStar Realty Finance Limited Partnership, New Sirius Inc. and New Sirius Merger Sub LLC (incorporated by reference to</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Exhibit 2.3 to Colony NorthStar, Inc.’s Registration Statement on Form S-4 (No. 333-212739) effective November 18, 2016, which is included as Annex A to such Registration</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Statement)</w:t>
        </w:r>
      </w:hyperlink>
    </w:p>
    <w:p>
      <w:pPr>
        <w:spacing w:after="0" w:line="101"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186">
        <w:r>
          <w:rPr>
            <w:rFonts w:ascii="Arial" w:cs="Arial" w:eastAsia="Arial" w:hAnsi="Arial"/>
            <w:sz w:val="12"/>
            <w:szCs w:val="12"/>
            <w:u w:val="single" w:color="auto"/>
            <w:color w:val="0000FF"/>
          </w:rPr>
          <w:t>Restated Charter of DigitalBridge Group, Inc.</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-650875</wp:posOffset>
            </wp:positionH>
            <wp:positionV relativeFrom="paragraph">
              <wp:posOffset>13970</wp:posOffset>
            </wp:positionV>
            <wp:extent cx="7128510" cy="2076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29" w:lineRule="exact"/>
        <w:rPr>
          <w:rFonts w:ascii="Arial" w:cs="Arial" w:eastAsia="Arial" w:hAnsi="Arial"/>
          <w:sz w:val="12"/>
          <w:szCs w:val="12"/>
          <w:u w:val="single" w:color="auto"/>
          <w:color w:val="0000FF"/>
        </w:rPr>
      </w:pPr>
    </w:p>
    <w:p>
      <w:pPr>
        <w:ind w:left="80" w:right="220" w:hanging="69"/>
        <w:spacing w:after="0" w:line="262" w:lineRule="auto"/>
        <w:rPr>
          <w:rFonts w:ascii="Arial" w:cs="Arial" w:eastAsia="Arial" w:hAnsi="Arial"/>
          <w:sz w:val="12"/>
          <w:szCs w:val="12"/>
          <w:u w:val="single" w:color="auto"/>
          <w:color w:val="0000FF"/>
        </w:rPr>
      </w:pPr>
      <w:hyperlink r:id="rId208">
        <w:r>
          <w:rPr>
            <w:rFonts w:ascii="Arial" w:cs="Arial" w:eastAsia="Arial" w:hAnsi="Arial"/>
            <w:sz w:val="12"/>
            <w:szCs w:val="12"/>
            <w:u w:val="single" w:color="auto"/>
            <w:color w:val="0000FF"/>
          </w:rPr>
          <w:t>Amended and Restated Bylaws of DigitalBridge Group, Inc. (fka Colony Capital, Inc.) (incorporated by reference to Exhibit 3.2 to the Company's Current Report on Form 8-K filed on</w:t>
        </w:r>
      </w:hyperlink>
      <w:r>
        <w:rPr>
          <w:rFonts w:ascii="Arial" w:cs="Arial" w:eastAsia="Arial" w:hAnsi="Arial"/>
          <w:sz w:val="12"/>
          <w:szCs w:val="12"/>
          <w:u w:val="single" w:color="auto"/>
          <w:color w:val="0000FF"/>
        </w:rPr>
        <w:t xml:space="preserve"> </w:t>
      </w:r>
      <w:hyperlink r:id="rId208">
        <w:r>
          <w:rPr>
            <w:rFonts w:ascii="Arial" w:cs="Arial" w:eastAsia="Arial" w:hAnsi="Arial"/>
            <w:sz w:val="12"/>
            <w:szCs w:val="12"/>
            <w:u w:val="single" w:color="auto"/>
            <w:color w:val="0000FF"/>
          </w:rPr>
          <w:t>June 23, 2021)</w:t>
        </w:r>
      </w:hyperlink>
    </w:p>
    <w:p>
      <w:pPr>
        <w:spacing w:after="0" w:line="26" w:lineRule="exact"/>
        <w:rPr>
          <w:sz w:val="20"/>
          <w:szCs w:val="20"/>
          <w:color w:val="auto"/>
        </w:rPr>
      </w:pPr>
    </w:p>
    <w:p>
      <w:pPr>
        <w:ind w:left="80" w:hanging="69"/>
        <w:spacing w:after="0" w:line="262" w:lineRule="auto"/>
        <w:rPr>
          <w:rFonts w:ascii="Arial" w:cs="Arial" w:eastAsia="Arial" w:hAnsi="Arial"/>
          <w:sz w:val="12"/>
          <w:szCs w:val="12"/>
          <w:u w:val="single" w:color="auto"/>
          <w:color w:val="0000FF"/>
        </w:rPr>
      </w:pPr>
      <w:hyperlink r:id="rId209">
        <w:r>
          <w:rPr>
            <w:rFonts w:ascii="Arial" w:cs="Arial" w:eastAsia="Arial" w:hAnsi="Arial"/>
            <w:sz w:val="12"/>
            <w:szCs w:val="12"/>
            <w:u w:val="single" w:color="auto"/>
            <w:color w:val="0000FF"/>
          </w:rPr>
          <w:t>Articles Supplementary designating 7.15% Series I Cumulative Redeemable Perpetual Preferred Stock, liquidation preference $25.00 per share, par value $0.01 per share (incorporated</w:t>
        </w:r>
      </w:hyperlink>
      <w:r>
        <w:rPr>
          <w:rFonts w:ascii="Arial" w:cs="Arial" w:eastAsia="Arial" w:hAnsi="Arial"/>
          <w:sz w:val="12"/>
          <w:szCs w:val="12"/>
          <w:u w:val="single" w:color="auto"/>
          <w:color w:val="0000FF"/>
        </w:rPr>
        <w:t xml:space="preserve"> </w:t>
      </w:r>
      <w:hyperlink r:id="rId209">
        <w:r>
          <w:rPr>
            <w:rFonts w:ascii="Arial" w:cs="Arial" w:eastAsia="Arial" w:hAnsi="Arial"/>
            <w:sz w:val="12"/>
            <w:szCs w:val="12"/>
            <w:u w:val="single" w:color="auto"/>
            <w:color w:val="0000FF"/>
          </w:rPr>
          <w:t>by reference to Exhibit 3.2 to the Company’s Form 8-A filed on June 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2076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6" w:lineRule="exact"/>
        <w:rPr>
          <w:sz w:val="20"/>
          <w:szCs w:val="20"/>
          <w:color w:val="auto"/>
        </w:rPr>
      </w:pPr>
    </w:p>
    <w:p>
      <w:pPr>
        <w:ind w:left="80" w:right="660" w:hanging="69"/>
        <w:spacing w:after="0" w:line="262" w:lineRule="auto"/>
        <w:rPr>
          <w:rFonts w:ascii="Arial" w:cs="Arial" w:eastAsia="Arial" w:hAnsi="Arial"/>
          <w:sz w:val="12"/>
          <w:szCs w:val="12"/>
          <w:u w:val="single" w:color="auto"/>
          <w:color w:val="0000FF"/>
        </w:rPr>
      </w:pPr>
      <w:hyperlink r:id="rId211">
        <w:r>
          <w:rPr>
            <w:rFonts w:ascii="Arial" w:cs="Arial" w:eastAsia="Arial" w:hAnsi="Arial"/>
            <w:sz w:val="12"/>
            <w:szCs w:val="12"/>
            <w:u w:val="single" w:color="auto"/>
            <w:color w:val="0000FF"/>
          </w:rPr>
          <w:t>Articles Supplementary designating 7.125% Series J Cumulative Redeemable Perpetual Preferred Stock, liquidation preference $25.00 per share, par value $0.01 per share</w:t>
        </w:r>
      </w:hyperlink>
      <w:r>
        <w:rPr>
          <w:rFonts w:ascii="Arial" w:cs="Arial" w:eastAsia="Arial" w:hAnsi="Arial"/>
          <w:sz w:val="12"/>
          <w:szCs w:val="12"/>
          <w:u w:val="single" w:color="auto"/>
          <w:color w:val="0000FF"/>
        </w:rPr>
        <w:t xml:space="preserve"> </w:t>
      </w:r>
      <w:hyperlink r:id="rId211">
        <w:r>
          <w:rPr>
            <w:rFonts w:ascii="Arial" w:cs="Arial" w:eastAsia="Arial" w:hAnsi="Arial"/>
            <w:sz w:val="12"/>
            <w:szCs w:val="12"/>
            <w:u w:val="single" w:color="auto"/>
            <w:color w:val="0000FF"/>
          </w:rPr>
          <w:t>(incorporated by reference to Exhibit 3.3 to Colony NorthStar, Inc.’s Registration Statement on Form 8-A filed on September 22, 2017)</w:t>
        </w:r>
      </w:hyperlink>
    </w:p>
    <w:p>
      <w:pPr>
        <w:spacing w:after="0" w:line="26" w:lineRule="exact"/>
        <w:rPr>
          <w:sz w:val="20"/>
          <w:szCs w:val="20"/>
          <w:color w:val="auto"/>
        </w:rPr>
      </w:pPr>
    </w:p>
    <w:p>
      <w:pPr>
        <w:ind w:left="80" w:right="460" w:hanging="69"/>
        <w:spacing w:after="0" w:line="262" w:lineRule="auto"/>
        <w:rPr>
          <w:rFonts w:ascii="Arial" w:cs="Arial" w:eastAsia="Arial" w:hAnsi="Arial"/>
          <w:sz w:val="12"/>
          <w:szCs w:val="12"/>
          <w:u w:val="single" w:color="auto"/>
          <w:color w:val="0000FF"/>
        </w:rPr>
      </w:pPr>
      <w:hyperlink r:id="rId212">
        <w:r>
          <w:rPr>
            <w:rFonts w:ascii="Arial" w:cs="Arial" w:eastAsia="Arial" w:hAnsi="Arial"/>
            <w:sz w:val="12"/>
            <w:szCs w:val="12"/>
            <w:u w:val="single" w:color="auto"/>
            <w:color w:val="0000FF"/>
          </w:rPr>
          <w:t>Form of stock certificate evidencing the 7.125% Series J Cumulative Redeemable Perpetual Preferred Stock, liquidation preference $25.00 per share, par value $0.01 per share</w:t>
        </w:r>
      </w:hyperlink>
      <w:r>
        <w:rPr>
          <w:rFonts w:ascii="Arial" w:cs="Arial" w:eastAsia="Arial" w:hAnsi="Arial"/>
          <w:sz w:val="12"/>
          <w:szCs w:val="12"/>
          <w:u w:val="single" w:color="auto"/>
          <w:color w:val="0000FF"/>
        </w:rPr>
        <w:t xml:space="preserve"> </w:t>
      </w:r>
      <w:hyperlink r:id="rId212">
        <w:r>
          <w:rPr>
            <w:rFonts w:ascii="Arial" w:cs="Arial" w:eastAsia="Arial" w:hAnsi="Arial"/>
            <w:sz w:val="12"/>
            <w:szCs w:val="12"/>
            <w:u w:val="single" w:color="auto"/>
            <w:color w:val="0000FF"/>
          </w:rPr>
          <w:t>(incorporated by reference to Exhibit 4.1 to the Company’s Registration Statement on Form 8-A filed on September 22,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2076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6" w:lineRule="exact"/>
        <w:rPr>
          <w:sz w:val="20"/>
          <w:szCs w:val="20"/>
          <w:color w:val="auto"/>
        </w:rPr>
      </w:pPr>
    </w:p>
    <w:p>
      <w:pPr>
        <w:ind w:left="80" w:right="560" w:hanging="69"/>
        <w:spacing w:after="0" w:line="262" w:lineRule="auto"/>
        <w:rPr>
          <w:rFonts w:ascii="Arial" w:cs="Arial" w:eastAsia="Arial" w:hAnsi="Arial"/>
          <w:sz w:val="12"/>
          <w:szCs w:val="12"/>
          <w:u w:val="single" w:color="auto"/>
          <w:color w:val="0000FF"/>
        </w:rPr>
      </w:pPr>
      <w:hyperlink r:id="rId214">
        <w:r>
          <w:rPr>
            <w:rFonts w:ascii="Arial" w:cs="Arial" w:eastAsia="Arial" w:hAnsi="Arial"/>
            <w:sz w:val="12"/>
            <w:szCs w:val="12"/>
            <w:u w:val="single" w:color="auto"/>
            <w:color w:val="0000FF"/>
          </w:rPr>
          <w:t>Form of stock certificate evidencing the 7.15% Series I Cumulative Redeemable Perpetual Preferred Stock, liquidation preference $25.00 per share, par value $0.01 per share</w:t>
        </w:r>
      </w:hyperlink>
      <w:r>
        <w:rPr>
          <w:rFonts w:ascii="Arial" w:cs="Arial" w:eastAsia="Arial" w:hAnsi="Arial"/>
          <w:sz w:val="12"/>
          <w:szCs w:val="12"/>
          <w:u w:val="single" w:color="auto"/>
          <w:color w:val="0000FF"/>
        </w:rPr>
        <w:t xml:space="preserve"> </w:t>
      </w:r>
      <w:hyperlink r:id="rId214">
        <w:r>
          <w:rPr>
            <w:rFonts w:ascii="Arial" w:cs="Arial" w:eastAsia="Arial" w:hAnsi="Arial"/>
            <w:sz w:val="12"/>
            <w:szCs w:val="12"/>
            <w:u w:val="single" w:color="auto"/>
            <w:color w:val="0000FF"/>
          </w:rPr>
          <w:t>(incorporated by reference to Exhibit 4.1 to the Company’s Registration Statement on Form 8-A filed on June 5, 2017)</w:t>
        </w:r>
      </w:hyperlink>
    </w:p>
    <w:p>
      <w:pPr>
        <w:spacing w:after="0" w:line="26" w:lineRule="exact"/>
        <w:rPr>
          <w:sz w:val="20"/>
          <w:szCs w:val="20"/>
          <w:color w:val="auto"/>
        </w:rPr>
      </w:pPr>
    </w:p>
    <w:p>
      <w:pPr>
        <w:ind w:left="80" w:right="240" w:hanging="69"/>
        <w:spacing w:after="0" w:line="262" w:lineRule="auto"/>
        <w:rPr>
          <w:rFonts w:ascii="Arial" w:cs="Arial" w:eastAsia="Arial" w:hAnsi="Arial"/>
          <w:sz w:val="12"/>
          <w:szCs w:val="12"/>
          <w:u w:val="single" w:color="auto"/>
          <w:color w:val="0000FF"/>
        </w:rPr>
      </w:pPr>
      <w:hyperlink r:id="rId215">
        <w:r>
          <w:rPr>
            <w:rFonts w:ascii="Arial" w:cs="Arial" w:eastAsia="Arial" w:hAnsi="Arial"/>
            <w:sz w:val="12"/>
            <w:szCs w:val="12"/>
            <w:u w:val="single" w:color="auto"/>
            <w:color w:val="0000FF"/>
          </w:rPr>
          <w:t>Indenture, dated as of April 10, 2013, between Colony Capital, Inc. and The Bank of New York Mellon, as trustee (incorporated by reference to Exhibit 4.1 to Colony Financial, Inc.’s</w:t>
        </w:r>
      </w:hyperlink>
      <w:r>
        <w:rPr>
          <w:rFonts w:ascii="Arial" w:cs="Arial" w:eastAsia="Arial" w:hAnsi="Arial"/>
          <w:sz w:val="12"/>
          <w:szCs w:val="12"/>
          <w:u w:val="single" w:color="auto"/>
          <w:color w:val="0000FF"/>
        </w:rPr>
        <w:t xml:space="preserve"> </w:t>
      </w:r>
      <w:hyperlink r:id="rId215">
        <w:r>
          <w:rPr>
            <w:rFonts w:ascii="Arial" w:cs="Arial" w:eastAsia="Arial" w:hAnsi="Arial"/>
            <w:sz w:val="12"/>
            <w:szCs w:val="12"/>
            <w:u w:val="single" w:color="auto"/>
            <w:color w:val="0000FF"/>
          </w:rPr>
          <w:t>Current Report on Form 8-K filed on April 10,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2076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6" w:lineRule="exact"/>
        <w:rPr>
          <w:sz w:val="20"/>
          <w:szCs w:val="20"/>
          <w:color w:val="auto"/>
        </w:rPr>
      </w:pPr>
    </w:p>
    <w:p>
      <w:pPr>
        <w:ind w:left="80" w:right="280" w:hanging="69"/>
        <w:spacing w:after="0" w:line="262" w:lineRule="auto"/>
        <w:rPr>
          <w:rFonts w:ascii="Arial" w:cs="Arial" w:eastAsia="Arial" w:hAnsi="Arial"/>
          <w:sz w:val="12"/>
          <w:szCs w:val="12"/>
          <w:u w:val="single" w:color="auto"/>
          <w:color w:val="0000FF"/>
        </w:rPr>
      </w:pPr>
      <w:hyperlink r:id="rId217">
        <w:r>
          <w:rPr>
            <w:rFonts w:ascii="Arial" w:cs="Arial" w:eastAsia="Arial" w:hAnsi="Arial"/>
            <w:sz w:val="12"/>
            <w:szCs w:val="12"/>
            <w:u w:val="single" w:color="auto"/>
            <w:color w:val="0000FF"/>
          </w:rPr>
          <w:t>First Supplemental Indenture, dated as of April 10, 2013, by and between Colony Capital, Inc. and The Bank of New York Mellon (incorporated by reference to Exhibit 4.2 to Colony</w:t>
        </w:r>
      </w:hyperlink>
      <w:r>
        <w:rPr>
          <w:rFonts w:ascii="Arial" w:cs="Arial" w:eastAsia="Arial" w:hAnsi="Arial"/>
          <w:sz w:val="12"/>
          <w:szCs w:val="12"/>
          <w:u w:val="single" w:color="auto"/>
          <w:color w:val="0000FF"/>
        </w:rPr>
        <w:t xml:space="preserve"> </w:t>
      </w:r>
      <w:hyperlink r:id="rId217">
        <w:r>
          <w:rPr>
            <w:rFonts w:ascii="Arial" w:cs="Arial" w:eastAsia="Arial" w:hAnsi="Arial"/>
            <w:sz w:val="12"/>
            <w:szCs w:val="12"/>
            <w:u w:val="single" w:color="auto"/>
            <w:color w:val="0000FF"/>
          </w:rPr>
          <w:t>Capital, Inc.’s Current Report on Form 8-K filed on April 10, 2013)</w:t>
        </w:r>
      </w:hyperlink>
    </w:p>
    <w:p>
      <w:pPr>
        <w:spacing w:after="0" w:line="26" w:lineRule="exact"/>
        <w:rPr>
          <w:sz w:val="20"/>
          <w:szCs w:val="20"/>
          <w:color w:val="auto"/>
        </w:rPr>
      </w:pPr>
    </w:p>
    <w:p>
      <w:pPr>
        <w:ind w:left="80" w:right="460" w:hanging="69"/>
        <w:spacing w:after="0" w:line="262" w:lineRule="auto"/>
        <w:rPr>
          <w:rFonts w:ascii="Arial" w:cs="Arial" w:eastAsia="Arial" w:hAnsi="Arial"/>
          <w:sz w:val="12"/>
          <w:szCs w:val="12"/>
          <w:u w:val="single" w:color="auto"/>
          <w:color w:val="0000FF"/>
        </w:rPr>
      </w:pPr>
      <w:hyperlink r:id="rId218">
        <w:r>
          <w:rPr>
            <w:rFonts w:ascii="Arial" w:cs="Arial" w:eastAsia="Arial" w:hAnsi="Arial"/>
            <w:sz w:val="12"/>
            <w:szCs w:val="12"/>
            <w:u w:val="single" w:color="auto"/>
            <w:color w:val="0000FF"/>
          </w:rPr>
          <w:t>Third Supplemental Indenture, dated as of January 10, 2017, between Colony NorthStar, Inc. and The Bank of New York Mellon (incorporated by reference to Exhibit 10.2 to the</w:t>
        </w:r>
      </w:hyperlink>
      <w:r>
        <w:rPr>
          <w:rFonts w:ascii="Arial" w:cs="Arial" w:eastAsia="Arial" w:hAnsi="Arial"/>
          <w:sz w:val="12"/>
          <w:szCs w:val="12"/>
          <w:u w:val="single" w:color="auto"/>
          <w:color w:val="0000FF"/>
        </w:rPr>
        <w:t xml:space="preserve"> </w:t>
      </w:r>
      <w:hyperlink r:id="rId218">
        <w:r>
          <w:rPr>
            <w:rFonts w:ascii="Arial" w:cs="Arial" w:eastAsia="Arial" w:hAnsi="Arial"/>
            <w:sz w:val="12"/>
            <w:szCs w:val="12"/>
            <w:u w:val="single" w:color="auto"/>
            <w:color w:val="0000FF"/>
          </w:rPr>
          <w:t>Company’s Current Report on Form 8-K filed on January 10,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2076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6" w:lineRule="exact"/>
        <w:rPr>
          <w:sz w:val="20"/>
          <w:szCs w:val="20"/>
          <w:color w:val="auto"/>
        </w:rPr>
      </w:pPr>
    </w:p>
    <w:p>
      <w:pPr>
        <w:ind w:left="80" w:right="120" w:hanging="69"/>
        <w:spacing w:after="0" w:line="262" w:lineRule="auto"/>
        <w:rPr>
          <w:rFonts w:ascii="Arial" w:cs="Arial" w:eastAsia="Arial" w:hAnsi="Arial"/>
          <w:sz w:val="12"/>
          <w:szCs w:val="12"/>
          <w:u w:val="single" w:color="auto"/>
          <w:color w:val="0000FF"/>
        </w:rPr>
      </w:pPr>
      <w:hyperlink r:id="rId220">
        <w:r>
          <w:rPr>
            <w:rFonts w:ascii="Arial" w:cs="Arial" w:eastAsia="Arial" w:hAnsi="Arial"/>
            <w:sz w:val="12"/>
            <w:szCs w:val="12"/>
            <w:u w:val="single" w:color="auto"/>
            <w:color w:val="0000FF"/>
          </w:rPr>
          <w:t>Registration Rights Agreement relating to the 5.375% Exchangeable Senior Notes due 2033 of NorthStar Realty Finance Limited Partnership, dated as of June 19, 2013 (incorporated</w:t>
        </w:r>
      </w:hyperlink>
      <w:r>
        <w:rPr>
          <w:rFonts w:ascii="Arial" w:cs="Arial" w:eastAsia="Arial" w:hAnsi="Arial"/>
          <w:sz w:val="12"/>
          <w:szCs w:val="12"/>
          <w:u w:val="single" w:color="auto"/>
          <w:color w:val="0000FF"/>
        </w:rPr>
        <w:t xml:space="preserve"> </w:t>
      </w:r>
      <w:hyperlink r:id="rId220">
        <w:r>
          <w:rPr>
            <w:rFonts w:ascii="Arial" w:cs="Arial" w:eastAsia="Arial" w:hAnsi="Arial"/>
            <w:sz w:val="12"/>
            <w:szCs w:val="12"/>
            <w:u w:val="single" w:color="auto"/>
            <w:color w:val="0000FF"/>
          </w:rPr>
          <w:t>by reference to Exhibit 4.4 to NorthStar Realty Finance Corp.’s Current Report on Form 8-K filed on June 19, 2013)</w:t>
        </w:r>
      </w:hyperlink>
    </w:p>
    <w:p>
      <w:pPr>
        <w:spacing w:after="0" w:line="26" w:lineRule="exact"/>
        <w:rPr>
          <w:sz w:val="20"/>
          <w:szCs w:val="20"/>
          <w:color w:val="auto"/>
        </w:rPr>
      </w:pPr>
    </w:p>
    <w:p>
      <w:pPr>
        <w:spacing w:after="0"/>
        <w:rPr>
          <w:rFonts w:ascii="Arial" w:cs="Arial" w:eastAsia="Arial" w:hAnsi="Arial"/>
          <w:sz w:val="12"/>
          <w:szCs w:val="12"/>
          <w:u w:val="single" w:color="auto"/>
          <w:color w:val="0000FF"/>
        </w:rPr>
      </w:pPr>
      <w:hyperlink w:anchor="page343">
        <w:r>
          <w:rPr>
            <w:rFonts w:ascii="Arial" w:cs="Arial" w:eastAsia="Arial" w:hAnsi="Arial"/>
            <w:sz w:val="12"/>
            <w:szCs w:val="12"/>
            <w:u w:val="single" w:color="auto"/>
            <w:color w:val="0000FF"/>
          </w:rPr>
          <w:t>Description of Securities Registered Pursuant to Section 12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13970</wp:posOffset>
            </wp:positionV>
            <wp:extent cx="7128510" cy="1187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28510" cy="118745"/>
                    </a:xfrm>
                    <a:prstGeom prst="rect">
                      <a:avLst/>
                    </a:prstGeom>
                    <a:noFill/>
                  </pic:spPr>
                </pic:pic>
              </a:graphicData>
            </a:graphic>
          </wp:anchor>
        </w:drawing>
      </w:r>
    </w:p>
    <w:p>
      <w:pPr>
        <w:spacing w:after="0" w:line="29" w:lineRule="exact"/>
        <w:rPr>
          <w:sz w:val="20"/>
          <w:szCs w:val="20"/>
          <w:color w:val="auto"/>
        </w:rPr>
      </w:pPr>
    </w:p>
    <w:p>
      <w:pPr>
        <w:spacing w:after="0"/>
        <w:rPr>
          <w:rFonts w:ascii="Arial" w:cs="Arial" w:eastAsia="Arial" w:hAnsi="Arial"/>
          <w:sz w:val="12"/>
          <w:szCs w:val="12"/>
          <w:u w:val="single" w:color="auto"/>
          <w:color w:val="0000FF"/>
        </w:rPr>
      </w:pPr>
      <w:hyperlink r:id="rId222">
        <w:r>
          <w:rPr>
            <w:rFonts w:ascii="Arial" w:cs="Arial" w:eastAsia="Arial" w:hAnsi="Arial"/>
            <w:sz w:val="12"/>
            <w:szCs w:val="12"/>
            <w:u w:val="single" w:color="auto"/>
            <w:color w:val="0000FF"/>
          </w:rPr>
          <w:t>Form of Class A Common Stock Purchase Warrant of Colony Capital, Inc. (incorporated by reference to Exhibit 4.1 to the Company's Current Report on Form 8-K filed on July 23, 2020)</w:t>
        </w:r>
      </w:hyperlink>
    </w:p>
    <w:p>
      <w:pPr>
        <w:spacing w:after="0" w:line="49" w:lineRule="exact"/>
        <w:rPr>
          <w:sz w:val="20"/>
          <w:szCs w:val="20"/>
          <w:color w:val="auto"/>
        </w:rPr>
      </w:pPr>
    </w:p>
    <w:p>
      <w:pPr>
        <w:ind w:left="80" w:right="120" w:hanging="69"/>
        <w:spacing w:after="0" w:line="262" w:lineRule="auto"/>
        <w:rPr>
          <w:rFonts w:ascii="Arial" w:cs="Arial" w:eastAsia="Arial" w:hAnsi="Arial"/>
          <w:sz w:val="12"/>
          <w:szCs w:val="12"/>
          <w:u w:val="single" w:color="auto"/>
          <w:color w:val="0000FF"/>
        </w:rPr>
      </w:pPr>
      <w:hyperlink r:id="rId223">
        <w:r>
          <w:rPr>
            <w:rFonts w:ascii="Arial" w:cs="Arial" w:eastAsia="Arial" w:hAnsi="Arial"/>
            <w:sz w:val="12"/>
            <w:szCs w:val="12"/>
            <w:u w:val="single" w:color="auto"/>
            <w:color w:val="0000FF"/>
          </w:rPr>
          <w:t>Indenture, dated as of July 21, 2020, among Colony Capital Operating Company, LLC, Colony Capital, Inc. and The Bank of New York Mellon, as trustee (incorporated by reference to</w:t>
        </w:r>
      </w:hyperlink>
      <w:r>
        <w:rPr>
          <w:rFonts w:ascii="Arial" w:cs="Arial" w:eastAsia="Arial" w:hAnsi="Arial"/>
          <w:sz w:val="12"/>
          <w:szCs w:val="12"/>
          <w:u w:val="single" w:color="auto"/>
          <w:color w:val="0000FF"/>
        </w:rPr>
        <w:t xml:space="preserve"> </w:t>
      </w:r>
      <w:hyperlink r:id="rId223">
        <w:r>
          <w:rPr>
            <w:rFonts w:ascii="Arial" w:cs="Arial" w:eastAsia="Arial" w:hAnsi="Arial"/>
            <w:sz w:val="12"/>
            <w:szCs w:val="12"/>
            <w:u w:val="single" w:color="auto"/>
            <w:color w:val="0000FF"/>
          </w:rPr>
          <w:t>Exhibit 4.2 to the Company's Current Report on Form 8-K filed on July 23,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1187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28510" cy="118745"/>
                    </a:xfrm>
                    <a:prstGeom prst="rect">
                      <a:avLst/>
                    </a:prstGeom>
                    <a:noFill/>
                  </pic:spPr>
                </pic:pic>
              </a:graphicData>
            </a:graphic>
          </wp:anchor>
        </w:drawing>
      </w:r>
    </w:p>
    <w:p>
      <w:pPr>
        <w:spacing w:after="0" w:line="6" w:lineRule="exact"/>
        <w:rPr>
          <w:sz w:val="20"/>
          <w:szCs w:val="20"/>
          <w:color w:val="auto"/>
        </w:rPr>
      </w:pPr>
    </w:p>
    <w:p>
      <w:pPr>
        <w:spacing w:after="0"/>
        <w:rPr>
          <w:rFonts w:ascii="Arial" w:cs="Arial" w:eastAsia="Arial" w:hAnsi="Arial"/>
          <w:sz w:val="12"/>
          <w:szCs w:val="12"/>
          <w:u w:val="single" w:color="auto"/>
          <w:color w:val="0000FF"/>
        </w:rPr>
      </w:pPr>
      <w:hyperlink r:id="rId223">
        <w:r>
          <w:rPr>
            <w:rFonts w:ascii="Arial" w:cs="Arial" w:eastAsia="Arial" w:hAnsi="Arial"/>
            <w:sz w:val="12"/>
            <w:szCs w:val="12"/>
            <w:u w:val="single" w:color="auto"/>
            <w:color w:val="0000FF"/>
          </w:rPr>
          <w:t>Form of 5.75% Exchangeable Senior Notes due 2025 (included in Exhibit 4.9)</w:t>
        </w:r>
      </w:hyperlink>
    </w:p>
    <w:p>
      <w:pPr>
        <w:spacing w:after="0" w:line="49" w:lineRule="exact"/>
        <w:rPr>
          <w:sz w:val="20"/>
          <w:szCs w:val="20"/>
          <w:color w:val="auto"/>
        </w:rPr>
      </w:pPr>
    </w:p>
    <w:p>
      <w:pPr>
        <w:ind w:left="80" w:right="540" w:hanging="69"/>
        <w:spacing w:after="0" w:line="262" w:lineRule="auto"/>
        <w:rPr>
          <w:rFonts w:ascii="Arial" w:cs="Arial" w:eastAsia="Arial" w:hAnsi="Arial"/>
          <w:sz w:val="12"/>
          <w:szCs w:val="12"/>
          <w:u w:val="single" w:color="auto"/>
          <w:color w:val="0000FF"/>
        </w:rPr>
      </w:pPr>
      <w:hyperlink r:id="rId225">
        <w:r>
          <w:rPr>
            <w:rFonts w:ascii="Arial" w:cs="Arial" w:eastAsia="Arial" w:hAnsi="Arial"/>
            <w:sz w:val="12"/>
            <w:szCs w:val="12"/>
            <w:u w:val="single" w:color="auto"/>
            <w:color w:val="0000FF"/>
          </w:rPr>
          <w:t>Registration Rights Agreement, dated as of July 21, 2020, by and among Colony Capital Operating Company, LLC, Colony Capital, Inc. and the initial purchasers party thereto</w:t>
        </w:r>
      </w:hyperlink>
      <w:r>
        <w:rPr>
          <w:rFonts w:ascii="Arial" w:cs="Arial" w:eastAsia="Arial" w:hAnsi="Arial"/>
          <w:sz w:val="12"/>
          <w:szCs w:val="12"/>
          <w:u w:val="single" w:color="auto"/>
          <w:color w:val="0000FF"/>
        </w:rPr>
        <w:t xml:space="preserve"> </w:t>
      </w:r>
      <w:hyperlink r:id="rId225">
        <w:r>
          <w:rPr>
            <w:rFonts w:ascii="Arial" w:cs="Arial" w:eastAsia="Arial" w:hAnsi="Arial"/>
            <w:sz w:val="12"/>
            <w:szCs w:val="12"/>
            <w:u w:val="single" w:color="auto"/>
            <w:color w:val="0000FF"/>
          </w:rPr>
          <w:t>(incorporated by reference to Exhibit 10.7 to the Company's Current Report on Form 8-K filed on July 23,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2076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6" w:lineRule="exact"/>
        <w:rPr>
          <w:sz w:val="20"/>
          <w:szCs w:val="20"/>
          <w:color w:val="auto"/>
        </w:rPr>
      </w:pPr>
    </w:p>
    <w:p>
      <w:pPr>
        <w:ind w:left="80" w:right="80" w:hanging="69"/>
        <w:spacing w:after="0" w:line="262" w:lineRule="auto"/>
        <w:rPr>
          <w:rFonts w:ascii="Arial" w:cs="Arial" w:eastAsia="Arial" w:hAnsi="Arial"/>
          <w:sz w:val="12"/>
          <w:szCs w:val="12"/>
          <w:u w:val="single" w:color="auto"/>
          <w:color w:val="0000FF"/>
        </w:rPr>
      </w:pPr>
      <w:hyperlink r:id="rId227">
        <w:r>
          <w:rPr>
            <w:rFonts w:ascii="Arial" w:cs="Arial" w:eastAsia="Arial" w:hAnsi="Arial"/>
            <w:sz w:val="12"/>
            <w:szCs w:val="12"/>
            <w:u w:val="single" w:color="auto"/>
            <w:color w:val="0000FF"/>
          </w:rPr>
          <w:t>Base Indenture, dated as of July 9, 2021, by and between DigitalBridge Issuer, LLC, DigitalBridge Co-Issuer, LLC, together as Co-Issuers, certain indirect and direct subsidiaries of the</w:t>
        </w:r>
      </w:hyperlink>
      <w:r>
        <w:rPr>
          <w:rFonts w:ascii="Arial" w:cs="Arial" w:eastAsia="Arial" w:hAnsi="Arial"/>
          <w:sz w:val="12"/>
          <w:szCs w:val="12"/>
          <w:u w:val="single" w:color="auto"/>
          <w:color w:val="0000FF"/>
        </w:rPr>
        <w:t xml:space="preserve"> </w:t>
      </w:r>
      <w:hyperlink r:id="rId227">
        <w:r>
          <w:rPr>
            <w:rFonts w:ascii="Arial" w:cs="Arial" w:eastAsia="Arial" w:hAnsi="Arial"/>
            <w:sz w:val="12"/>
            <w:szCs w:val="12"/>
            <w:u w:val="single" w:color="auto"/>
            <w:color w:val="0000FF"/>
          </w:rPr>
          <w:t>Co-Issuers and Citibank, N.A., as Trustee (incorporated by reference to Exhibit 4.1 to the Company's Current Report on Form 8-K filed on July 15, 2021).</w:t>
        </w:r>
      </w:hyperlink>
    </w:p>
    <w:p>
      <w:pPr>
        <w:spacing w:after="0" w:line="26" w:lineRule="exact"/>
        <w:rPr>
          <w:sz w:val="20"/>
          <w:szCs w:val="20"/>
          <w:color w:val="auto"/>
        </w:rPr>
      </w:pPr>
    </w:p>
    <w:p>
      <w:pPr>
        <w:ind w:left="80" w:hanging="69"/>
        <w:spacing w:after="0" w:line="253" w:lineRule="auto"/>
        <w:rPr>
          <w:rFonts w:ascii="Arial" w:cs="Arial" w:eastAsia="Arial" w:hAnsi="Arial"/>
          <w:sz w:val="12"/>
          <w:szCs w:val="12"/>
          <w:u w:val="single" w:color="auto"/>
          <w:color w:val="0000FF"/>
        </w:rPr>
      </w:pPr>
      <w:hyperlink r:id="rId228">
        <w:r>
          <w:rPr>
            <w:rFonts w:ascii="Arial" w:cs="Arial" w:eastAsia="Arial" w:hAnsi="Arial"/>
            <w:sz w:val="12"/>
            <w:szCs w:val="12"/>
            <w:u w:val="single" w:color="auto"/>
            <w:color w:val="0000FF"/>
          </w:rPr>
          <w:t>Series 2021-1 Supplement to Base Indenture, dated as of July 9, 2021, by and between DigitalBridge Issuer, LLC and DigitalBridge Co-Issuer, LLC, together as Co-Issuers of the Series</w:t>
        </w:r>
      </w:hyperlink>
      <w:r>
        <w:rPr>
          <w:rFonts w:ascii="Arial" w:cs="Arial" w:eastAsia="Arial" w:hAnsi="Arial"/>
          <w:sz w:val="12"/>
          <w:szCs w:val="12"/>
          <w:u w:val="single" w:color="auto"/>
          <w:color w:val="0000FF"/>
        </w:rPr>
        <w:t xml:space="preserve"> </w:t>
      </w:r>
      <w:hyperlink r:id="rId228">
        <w:r>
          <w:rPr>
            <w:rFonts w:ascii="Arial" w:cs="Arial" w:eastAsia="Arial" w:hAnsi="Arial"/>
            <w:sz w:val="12"/>
            <w:szCs w:val="12"/>
            <w:u w:val="single" w:color="auto"/>
            <w:color w:val="0000FF"/>
          </w:rPr>
          <w:t>2021-1 secured fund fee revenue notes, Class A-2, and Series 2021-1 variable funding senior notes, Class A-1, certain indirect and direct subsidiaries of the Co-Issuers and Citibank,</w:t>
        </w:r>
      </w:hyperlink>
      <w:r>
        <w:rPr>
          <w:rFonts w:ascii="Arial" w:cs="Arial" w:eastAsia="Arial" w:hAnsi="Arial"/>
          <w:sz w:val="12"/>
          <w:szCs w:val="12"/>
          <w:u w:val="single" w:color="auto"/>
          <w:color w:val="0000FF"/>
        </w:rPr>
        <w:t xml:space="preserve"> </w:t>
      </w:r>
      <w:hyperlink r:id="rId228">
        <w:r>
          <w:rPr>
            <w:rFonts w:ascii="Arial" w:cs="Arial" w:eastAsia="Arial" w:hAnsi="Arial"/>
            <w:sz w:val="12"/>
            <w:szCs w:val="12"/>
            <w:u w:val="single" w:color="auto"/>
            <w:color w:val="0000FF"/>
          </w:rPr>
          <w:t>N.A., as Trustee (incorporated by reference to Exhibit 4.2 to the Company's Current Report on Form 8-K filed on July 15, 2021).</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-650875</wp:posOffset>
            </wp:positionH>
            <wp:positionV relativeFrom="paragraph">
              <wp:posOffset>2540</wp:posOffset>
            </wp:positionV>
            <wp:extent cx="7128510" cy="2076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19" w:lineRule="exact"/>
        <w:rPr>
          <w:rFonts w:ascii="Arial" w:cs="Arial" w:eastAsia="Arial" w:hAnsi="Arial"/>
          <w:sz w:val="12"/>
          <w:szCs w:val="12"/>
          <w:u w:val="single" w:color="auto"/>
          <w:color w:val="0000FF"/>
        </w:rPr>
      </w:pPr>
    </w:p>
    <w:p>
      <w:pPr>
        <w:sectPr>
          <w:pgSz w:w="11900" w:h="16838" w:orient="portrait"/>
          <w:cols w:equalWidth="0" w:num="2">
            <w:col w:w="480" w:space="540"/>
            <w:col w:w="10160"/>
          </w:cols>
          <w:pgMar w:left="320" w:top="140" w:right="399" w:bottom="1440" w:gutter="0" w:footer="0" w:header="0"/>
          <w:type w:val="continuous"/>
        </w:sectPr>
      </w:pPr>
    </w:p>
    <w:p>
      <w:pPr>
        <w:ind w:left="140" w:right="280" w:hanging="139"/>
        <w:spacing w:after="0" w:line="283" w:lineRule="auto"/>
        <w:rPr>
          <w:sz w:val="20"/>
          <w:szCs w:val="20"/>
          <w:color w:val="auto"/>
        </w:rPr>
      </w:pPr>
      <w:r>
        <w:rPr>
          <w:rFonts w:ascii="Arial" w:cs="Arial" w:eastAsia="Arial" w:hAnsi="Arial"/>
          <w:sz w:val="12"/>
          <w:szCs w:val="12"/>
          <w:i w:val="1"/>
          <w:iCs w:val="1"/>
          <w:color w:val="auto"/>
        </w:rPr>
        <w:t>Certain Instruments defining the rights of holders of long-term debt securities of the Registrant and its subsidiaries are omitted pursuant to Item 601(b)(4)(iii) of Regulation S-K. The Registrant hereby undertakes to furnish to the SEC, upon request, copies of any such instruments.</w:t>
      </w:r>
    </w:p>
    <w:tbl>
      <w:tblPr>
        <w:tblLayout w:type="fixed"/>
        <w:tblInd w:w="0" w:type="dxa"/>
        <w:tblCellMar>
          <w:top w:w="0" w:type="dxa"/>
          <w:left w:w="0" w:type="dxa"/>
          <w:bottom w:w="0" w:type="dxa"/>
          <w:right w:w="0" w:type="dxa"/>
        </w:tblCellMar>
      </w:tblPr>
      <w:tr>
        <w:trPr>
          <w:trHeight w:val="127"/>
        </w:trPr>
        <w:tc>
          <w:tcPr>
            <w:tcW w:w="640" w:type="dxa"/>
            <w:vAlign w:val="bottom"/>
          </w:tcPr>
          <w:p>
            <w:pPr>
              <w:jc w:val="right"/>
              <w:ind w:right="318"/>
              <w:spacing w:after="0" w:line="127" w:lineRule="exact"/>
              <w:rPr>
                <w:sz w:val="20"/>
                <w:szCs w:val="20"/>
                <w:color w:val="auto"/>
              </w:rPr>
            </w:pPr>
            <w:r>
              <w:rPr>
                <w:rFonts w:ascii="Arial" w:cs="Arial" w:eastAsia="Arial" w:hAnsi="Arial"/>
                <w:sz w:val="12"/>
                <w:szCs w:val="12"/>
                <w:color w:val="auto"/>
              </w:rPr>
              <w:t>10.1</w:t>
            </w:r>
          </w:p>
        </w:tc>
        <w:tc>
          <w:tcPr>
            <w:tcW w:w="10320" w:type="dxa"/>
            <w:vAlign w:val="bottom"/>
            <w:gridSpan w:val="5"/>
          </w:tcPr>
          <w:p>
            <w:pPr>
              <w:ind w:left="380"/>
              <w:spacing w:after="0" w:line="127" w:lineRule="exact"/>
              <w:rPr>
                <w:rFonts w:ascii="Arial" w:cs="Arial" w:eastAsia="Arial" w:hAnsi="Arial"/>
                <w:sz w:val="12"/>
                <w:szCs w:val="12"/>
                <w:color w:val="0000FF"/>
              </w:rPr>
            </w:pPr>
            <w:hyperlink r:id="rId230">
              <w:r>
                <w:rPr>
                  <w:rFonts w:ascii="Arial" w:cs="Arial" w:eastAsia="Arial" w:hAnsi="Arial"/>
                  <w:sz w:val="12"/>
                  <w:szCs w:val="12"/>
                  <w:color w:val="0000FF"/>
                </w:rPr>
                <w:t>Third Amended and Restated Limited Liability Company Agreement of Colony Capital Operating Company, LLC (incorporated by reference to Exhibit 10.1 to the Company’s Current</w:t>
              </w:r>
            </w:hyperlink>
          </w:p>
        </w:tc>
      </w:tr>
      <w:tr>
        <w:trPr>
          <w:trHeight w:val="109"/>
        </w:trPr>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580" w:type="dxa"/>
            <w:vAlign w:val="bottom"/>
            <w:tcBorders>
              <w:top w:val="single" w:sz="8" w:color="0000FF"/>
              <w:bottom w:val="single" w:sz="8" w:color="0000FF"/>
            </w:tcBorders>
          </w:tcPr>
          <w:p>
            <w:pPr>
              <w:spacing w:after="0" w:line="109" w:lineRule="exact"/>
              <w:rPr>
                <w:rFonts w:ascii="Arial" w:cs="Arial" w:eastAsia="Arial" w:hAnsi="Arial"/>
                <w:sz w:val="12"/>
                <w:szCs w:val="12"/>
                <w:color w:val="0000FF"/>
              </w:rPr>
            </w:pPr>
            <w:hyperlink r:id="rId230">
              <w:r>
                <w:rPr>
                  <w:rFonts w:ascii="Arial" w:cs="Arial" w:eastAsia="Arial" w:hAnsi="Arial"/>
                  <w:sz w:val="12"/>
                  <w:szCs w:val="12"/>
                  <w:color w:val="0000FF"/>
                </w:rPr>
                <w:t>Report on Form 8-K filed on January 10, 2017)</w:t>
              </w:r>
            </w:hyperlink>
          </w:p>
        </w:tc>
        <w:tc>
          <w:tcPr>
            <w:tcW w:w="72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176135"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180" w:name="page181"/>
    <w:bookmarkEnd w:id="1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0200" w:type="dxa"/>
            <w:vAlign w:val="bottom"/>
            <w:gridSpan w:val="6"/>
            <w:vMerge w:val="restart"/>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52"/>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2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2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920" w:type="dxa"/>
            <w:vAlign w:val="bottom"/>
            <w:shd w:val="clear" w:color="auto" w:fill="CCEEFF"/>
          </w:tcPr>
          <w:p>
            <w:pPr>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2"/>
                <w:szCs w:val="12"/>
                <w:color w:val="auto"/>
              </w:rPr>
            </w:pPr>
          </w:p>
        </w:tc>
        <w:tc>
          <w:tcPr>
            <w:tcW w:w="10200" w:type="dxa"/>
            <w:vAlign w:val="bottom"/>
            <w:gridSpan w:val="6"/>
            <w:shd w:val="clear" w:color="auto" w:fill="CCEEFF"/>
          </w:tcPr>
          <w:p>
            <w:pPr>
              <w:spacing w:after="0"/>
              <w:rPr>
                <w:rFonts w:ascii="Arial" w:cs="Arial" w:eastAsia="Arial" w:hAnsi="Arial"/>
                <w:sz w:val="12"/>
                <w:szCs w:val="12"/>
                <w:color w:val="0000FF"/>
              </w:rPr>
            </w:pPr>
            <w:hyperlink r:id="rId232">
              <w:r>
                <w:rPr>
                  <w:rFonts w:ascii="Arial" w:cs="Arial" w:eastAsia="Arial" w:hAnsi="Arial"/>
                  <w:sz w:val="12"/>
                  <w:szCs w:val="12"/>
                  <w:color w:val="0000FF"/>
                </w:rPr>
                <w:t>Amendment No. 1 to the Third Amended and Restated Limited Liability Company Agreement of Colony Capital Operating Company, LLC, dated as of June 23, 2017 (incorporated by</w:t>
              </w:r>
            </w:hyperlink>
          </w:p>
        </w:tc>
        <w:tc>
          <w:tcPr>
            <w:tcW w:w="0" w:type="dxa"/>
            <w:vAlign w:val="bottom"/>
          </w:tcPr>
          <w:p>
            <w:pPr>
              <w:spacing w:after="0"/>
              <w:rPr>
                <w:sz w:val="1"/>
                <w:szCs w:val="1"/>
                <w:color w:val="auto"/>
              </w:rPr>
            </w:pPr>
          </w:p>
        </w:tc>
      </w:tr>
      <w:tr>
        <w:trPr>
          <w:trHeight w:val="109"/>
        </w:trPr>
        <w:tc>
          <w:tcPr>
            <w:tcW w:w="9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0000FF"/>
            </w:tcBorders>
            <w:shd w:val="clear" w:color="auto" w:fill="CCEEFF"/>
          </w:tcPr>
          <w:p>
            <w:pPr>
              <w:spacing w:after="0"/>
              <w:rPr>
                <w:sz w:val="9"/>
                <w:szCs w:val="9"/>
                <w:color w:val="auto"/>
              </w:rPr>
            </w:pPr>
          </w:p>
        </w:tc>
        <w:tc>
          <w:tcPr>
            <w:tcW w:w="9900" w:type="dxa"/>
            <w:vAlign w:val="bottom"/>
            <w:tcBorders>
              <w:top w:val="single" w:sz="8" w:color="0000FF"/>
            </w:tcBorders>
            <w:gridSpan w:val="3"/>
            <w:shd w:val="clear" w:color="auto" w:fill="CCEEFF"/>
          </w:tcPr>
          <w:p>
            <w:pPr>
              <w:spacing w:after="0" w:line="109" w:lineRule="exact"/>
              <w:rPr>
                <w:rFonts w:ascii="Arial" w:cs="Arial" w:eastAsia="Arial" w:hAnsi="Arial"/>
                <w:sz w:val="12"/>
                <w:szCs w:val="12"/>
                <w:color w:val="0000FF"/>
              </w:rPr>
            </w:pPr>
            <w:hyperlink r:id="rId232">
              <w:r>
                <w:rPr>
                  <w:rFonts w:ascii="Arial" w:cs="Arial" w:eastAsia="Arial" w:hAnsi="Arial"/>
                  <w:sz w:val="12"/>
                  <w:szCs w:val="12"/>
                  <w:color w:val="0000FF"/>
                </w:rPr>
                <w:t>reference to Exhibit 10.1 to the Company’s Quarterly Report on Form 10-Q filed on August 9, 2017)</w:t>
              </w:r>
            </w:hyperlink>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6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920" w:type="dxa"/>
            <w:vAlign w:val="bottom"/>
          </w:tcPr>
          <w:p>
            <w:pPr>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2"/>
                <w:szCs w:val="12"/>
                <w:color w:val="auto"/>
              </w:rPr>
            </w:pPr>
          </w:p>
        </w:tc>
        <w:tc>
          <w:tcPr>
            <w:tcW w:w="10200" w:type="dxa"/>
            <w:vAlign w:val="bottom"/>
            <w:gridSpan w:val="6"/>
          </w:tcPr>
          <w:p>
            <w:pPr>
              <w:spacing w:after="0"/>
              <w:rPr>
                <w:rFonts w:ascii="Arial" w:cs="Arial" w:eastAsia="Arial" w:hAnsi="Arial"/>
                <w:sz w:val="12"/>
                <w:szCs w:val="12"/>
                <w:color w:val="0000FF"/>
              </w:rPr>
            </w:pPr>
            <w:hyperlink r:id="rId233">
              <w:r>
                <w:rPr>
                  <w:rFonts w:ascii="Arial" w:cs="Arial" w:eastAsia="Arial" w:hAnsi="Arial"/>
                  <w:sz w:val="12"/>
                  <w:szCs w:val="12"/>
                  <w:color w:val="0000FF"/>
                </w:rPr>
                <w:t>Amendment No. 2 to the Third Amended and Restated Limited Liability Company Agreement of Colony Capital Operating Company, LLC, dated as of October 13, 2017 (incorporated by</w:t>
              </w:r>
            </w:hyperlink>
          </w:p>
        </w:tc>
        <w:tc>
          <w:tcPr>
            <w:tcW w:w="0" w:type="dxa"/>
            <w:vAlign w:val="bottom"/>
          </w:tcPr>
          <w:p>
            <w:pPr>
              <w:spacing w:after="0"/>
              <w:rPr>
                <w:sz w:val="1"/>
                <w:szCs w:val="1"/>
                <w:color w:val="auto"/>
              </w:rPr>
            </w:pPr>
          </w:p>
        </w:tc>
      </w:tr>
      <w:tr>
        <w:trPr>
          <w:trHeight w:val="109"/>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5660" w:type="dxa"/>
            <w:vAlign w:val="bottom"/>
            <w:tcBorders>
              <w:top w:val="single" w:sz="8" w:color="0000FF"/>
              <w:bottom w:val="single" w:sz="8" w:color="0000FF"/>
            </w:tcBorders>
            <w:gridSpan w:val="2"/>
          </w:tcPr>
          <w:p>
            <w:pPr>
              <w:spacing w:after="0" w:line="109" w:lineRule="exact"/>
              <w:rPr>
                <w:rFonts w:ascii="Arial" w:cs="Arial" w:eastAsia="Arial" w:hAnsi="Arial"/>
                <w:sz w:val="12"/>
                <w:szCs w:val="12"/>
                <w:color w:val="0000FF"/>
              </w:rPr>
            </w:pPr>
            <w:hyperlink r:id="rId233">
              <w:r>
                <w:rPr>
                  <w:rFonts w:ascii="Arial" w:cs="Arial" w:eastAsia="Arial" w:hAnsi="Arial"/>
                  <w:sz w:val="12"/>
                  <w:szCs w:val="12"/>
                  <w:color w:val="0000FF"/>
                </w:rPr>
                <w:t>reference to Exhibit 10.1 to the Company’s Quarterly Report on Form 10-Q filed on November 9, 2017)</w:t>
              </w:r>
            </w:hyperlink>
          </w:p>
        </w:tc>
        <w:tc>
          <w:tcPr>
            <w:tcW w:w="4420" w:type="dxa"/>
            <w:vAlign w:val="bottom"/>
            <w:tcBorders>
              <w:top w:val="single" w:sz="8" w:color="0000FF"/>
            </w:tcBorders>
            <w:gridSpan w:val="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28510" cy="2076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10.4</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10.5</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80" w:hanging="69"/>
        <w:spacing w:after="0" w:line="262" w:lineRule="auto"/>
        <w:rPr>
          <w:rFonts w:ascii="Arial" w:cs="Arial" w:eastAsia="Arial" w:hAnsi="Arial"/>
          <w:sz w:val="12"/>
          <w:szCs w:val="12"/>
          <w:u w:val="single" w:color="auto"/>
          <w:color w:val="0000FF"/>
        </w:rPr>
      </w:pPr>
      <w:hyperlink r:id="rId235">
        <w:r>
          <w:rPr>
            <w:rFonts w:ascii="Arial" w:cs="Arial" w:eastAsia="Arial" w:hAnsi="Arial"/>
            <w:sz w:val="12"/>
            <w:szCs w:val="12"/>
            <w:u w:val="single" w:color="auto"/>
            <w:color w:val="0000FF"/>
          </w:rPr>
          <w:t>Amendment No. 3 to the Third Amended and Restated Limited Liability Company Agreement of Colony Capital Operating Company, LLC, dated as of October 18, 2017 (incorporated by</w:t>
        </w:r>
      </w:hyperlink>
      <w:r>
        <w:rPr>
          <w:rFonts w:ascii="Arial" w:cs="Arial" w:eastAsia="Arial" w:hAnsi="Arial"/>
          <w:sz w:val="12"/>
          <w:szCs w:val="12"/>
          <w:u w:val="single" w:color="auto"/>
          <w:color w:val="0000FF"/>
        </w:rPr>
        <w:t xml:space="preserve"> </w:t>
      </w:r>
      <w:hyperlink r:id="rId235">
        <w:r>
          <w:rPr>
            <w:rFonts w:ascii="Arial" w:cs="Arial" w:eastAsia="Arial" w:hAnsi="Arial"/>
            <w:sz w:val="12"/>
            <w:szCs w:val="12"/>
            <w:u w:val="single" w:color="auto"/>
            <w:color w:val="0000FF"/>
          </w:rPr>
          <w:t>reference to Exhibit 10.2 to the Company’s Quarterly Report on Form 10-Q filed on November 9, 2017)</w:t>
        </w:r>
      </w:hyperlink>
    </w:p>
    <w:p>
      <w:pPr>
        <w:spacing w:after="0" w:line="26" w:lineRule="exact"/>
        <w:rPr>
          <w:sz w:val="20"/>
          <w:szCs w:val="20"/>
          <w:color w:val="auto"/>
        </w:rPr>
      </w:pPr>
    </w:p>
    <w:p>
      <w:pPr>
        <w:ind w:right="180" w:hanging="69"/>
        <w:spacing w:after="0" w:line="262" w:lineRule="auto"/>
        <w:rPr>
          <w:rFonts w:ascii="Arial" w:cs="Arial" w:eastAsia="Arial" w:hAnsi="Arial"/>
          <w:sz w:val="12"/>
          <w:szCs w:val="12"/>
          <w:u w:val="single" w:color="auto"/>
          <w:color w:val="0000FF"/>
        </w:rPr>
      </w:pPr>
      <w:hyperlink r:id="rId236">
        <w:r>
          <w:rPr>
            <w:rFonts w:ascii="Arial" w:cs="Arial" w:eastAsia="Arial" w:hAnsi="Arial"/>
            <w:sz w:val="12"/>
            <w:szCs w:val="12"/>
            <w:u w:val="single" w:color="auto"/>
            <w:color w:val="0000FF"/>
          </w:rPr>
          <w:t>Amendment No. 4 to the Third Amended and Restated Limited Liability Company Agreement of Colony Capital Operating Company, LLC, dated as of November 5, 2018 (incorporated</w:t>
        </w:r>
      </w:hyperlink>
      <w:r>
        <w:rPr>
          <w:rFonts w:ascii="Arial" w:cs="Arial" w:eastAsia="Arial" w:hAnsi="Arial"/>
          <w:sz w:val="12"/>
          <w:szCs w:val="12"/>
          <w:u w:val="single" w:color="auto"/>
          <w:color w:val="0000FF"/>
        </w:rPr>
        <w:t xml:space="preserve"> </w:t>
      </w:r>
      <w:hyperlink r:id="rId236">
        <w:r>
          <w:rPr>
            <w:rFonts w:ascii="Arial" w:cs="Arial" w:eastAsia="Arial" w:hAnsi="Arial"/>
            <w:sz w:val="12"/>
            <w:szCs w:val="12"/>
            <w:u w:val="single" w:color="auto"/>
            <w:color w:val="0000FF"/>
          </w:rPr>
          <w:t>by reference to Exhibit 10.2 to the Company's Quarterly Report on Form 10-Q filed on November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0</wp:posOffset>
            </wp:positionV>
            <wp:extent cx="7128510" cy="2076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pacing w:after="0" w:line="6" w:lineRule="exact"/>
        <w:rPr>
          <w:sz w:val="20"/>
          <w:szCs w:val="20"/>
          <w:color w:val="auto"/>
        </w:rPr>
      </w:pPr>
    </w:p>
    <w:p>
      <w:pPr>
        <w:ind w:right="200" w:hanging="69"/>
        <w:spacing w:after="0" w:line="262" w:lineRule="auto"/>
        <w:rPr>
          <w:rFonts w:ascii="Arial" w:cs="Arial" w:eastAsia="Arial" w:hAnsi="Arial"/>
          <w:sz w:val="12"/>
          <w:szCs w:val="12"/>
          <w:u w:val="single" w:color="auto"/>
          <w:color w:val="0000FF"/>
        </w:rPr>
      </w:pPr>
      <w:hyperlink r:id="rId238">
        <w:r>
          <w:rPr>
            <w:rFonts w:ascii="Arial" w:cs="Arial" w:eastAsia="Arial" w:hAnsi="Arial"/>
            <w:sz w:val="12"/>
            <w:szCs w:val="12"/>
            <w:u w:val="single" w:color="auto"/>
            <w:color w:val="0000FF"/>
          </w:rPr>
          <w:t>Amendment No. 5 to the Third Amended and Restated Limited Liability Company Agreement of DigitalBridge Operating Company, LLC (fka Colony Capital Operating Company, LLC),</w:t>
        </w:r>
      </w:hyperlink>
      <w:r>
        <w:rPr>
          <w:rFonts w:ascii="Arial" w:cs="Arial" w:eastAsia="Arial" w:hAnsi="Arial"/>
          <w:sz w:val="12"/>
          <w:szCs w:val="12"/>
          <w:u w:val="single" w:color="auto"/>
          <w:color w:val="0000FF"/>
        </w:rPr>
        <w:t xml:space="preserve"> </w:t>
      </w:r>
      <w:hyperlink r:id="rId238">
        <w:r>
          <w:rPr>
            <w:rFonts w:ascii="Arial" w:cs="Arial" w:eastAsia="Arial" w:hAnsi="Arial"/>
            <w:sz w:val="12"/>
            <w:szCs w:val="12"/>
            <w:u w:val="single" w:color="auto"/>
            <w:color w:val="0000FF"/>
          </w:rPr>
          <w:t>dated as of July 1, 2021 (incorporated by reference to Exhibit 10.1 to the Company's Quarterly Report on Form 10-Q, filed on August 9, 2021)</w:t>
        </w:r>
      </w:hyperlink>
    </w:p>
    <w:p>
      <w:pPr>
        <w:spacing w:after="0" w:line="13" w:lineRule="exact"/>
        <w:rPr>
          <w:sz w:val="20"/>
          <w:szCs w:val="20"/>
          <w:color w:val="auto"/>
        </w:rPr>
      </w:pPr>
    </w:p>
    <w:p>
      <w:pPr>
        <w:sectPr>
          <w:pgSz w:w="11900" w:h="16838" w:orient="portrait"/>
          <w:cols w:equalWidth="0" w:num="2">
            <w:col w:w="380" w:space="720"/>
            <w:col w:w="10160"/>
          </w:cols>
          <w:pgMar w:left="320" w:top="140" w:right="31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700" w:type="dxa"/>
            <w:vAlign w:val="bottom"/>
          </w:tcPr>
          <w:p>
            <w:pPr>
              <w:spacing w:after="0"/>
              <w:rPr>
                <w:sz w:val="20"/>
                <w:szCs w:val="20"/>
                <w:color w:val="auto"/>
              </w:rPr>
            </w:pPr>
            <w:r>
              <w:rPr>
                <w:rFonts w:ascii="Arial" w:cs="Arial" w:eastAsia="Arial" w:hAnsi="Arial"/>
                <w:sz w:val="12"/>
                <w:szCs w:val="12"/>
                <w:color w:val="auto"/>
              </w:rPr>
              <w:t>10.7*†</w:t>
            </w:r>
          </w:p>
        </w:tc>
        <w:tc>
          <w:tcPr>
            <w:tcW w:w="320" w:type="dxa"/>
            <w:vAlign w:val="bottom"/>
          </w:tcPr>
          <w:p>
            <w:pPr>
              <w:spacing w:after="0"/>
              <w:rPr>
                <w:sz w:val="12"/>
                <w:szCs w:val="12"/>
                <w:color w:val="auto"/>
              </w:rPr>
            </w:pPr>
          </w:p>
        </w:tc>
        <w:tc>
          <w:tcPr>
            <w:tcW w:w="3380" w:type="dxa"/>
            <w:vAlign w:val="bottom"/>
            <w:tcBorders>
              <w:bottom w:val="single" w:sz="8" w:color="0000FF"/>
            </w:tcBorders>
            <w:gridSpan w:val="2"/>
          </w:tcPr>
          <w:p>
            <w:pPr>
              <w:spacing w:after="0"/>
              <w:rPr>
                <w:rFonts w:ascii="Arial" w:cs="Arial" w:eastAsia="Arial" w:hAnsi="Arial"/>
                <w:sz w:val="12"/>
                <w:szCs w:val="12"/>
                <w:color w:val="0000FF"/>
              </w:rPr>
            </w:pPr>
            <w:hyperlink w:anchor="page358">
              <w:r>
                <w:rPr>
                  <w:rFonts w:ascii="Arial" w:cs="Arial" w:eastAsia="Arial" w:hAnsi="Arial"/>
                  <w:sz w:val="12"/>
                  <w:szCs w:val="12"/>
                  <w:color w:val="0000FF"/>
                </w:rPr>
                <w:t>DigitalBridge Group, Inc. 2014 Omnibus Stock Incentive Plan</w:t>
              </w:r>
            </w:hyperlink>
          </w:p>
        </w:tc>
        <w:tc>
          <w:tcPr>
            <w:tcW w:w="6820" w:type="dxa"/>
            <w:vAlign w:val="bottom"/>
            <w:gridSpan w:val="5"/>
          </w:tcPr>
          <w:p>
            <w:pPr>
              <w:spacing w:after="0"/>
              <w:rPr>
                <w:sz w:val="12"/>
                <w:szCs w:val="12"/>
                <w:color w:val="auto"/>
              </w:rPr>
            </w:pPr>
          </w:p>
        </w:tc>
      </w:tr>
      <w:tr>
        <w:trPr>
          <w:trHeight w:val="160"/>
        </w:trPr>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10.8</w:t>
            </w:r>
          </w:p>
        </w:tc>
        <w:tc>
          <w:tcPr>
            <w:tcW w:w="320" w:type="dxa"/>
            <w:vAlign w:val="bottom"/>
            <w:shd w:val="clear" w:color="auto" w:fill="CCEEFF"/>
          </w:tcPr>
          <w:p>
            <w:pPr>
              <w:spacing w:after="0"/>
              <w:rPr>
                <w:sz w:val="13"/>
                <w:szCs w:val="13"/>
                <w:color w:val="auto"/>
              </w:rPr>
            </w:pPr>
          </w:p>
        </w:tc>
        <w:tc>
          <w:tcPr>
            <w:tcW w:w="10200" w:type="dxa"/>
            <w:vAlign w:val="bottom"/>
            <w:gridSpan w:val="7"/>
            <w:shd w:val="clear" w:color="auto" w:fill="CCEEFF"/>
          </w:tcPr>
          <w:p>
            <w:pPr>
              <w:spacing w:after="0"/>
              <w:rPr>
                <w:rFonts w:ascii="Arial" w:cs="Arial" w:eastAsia="Arial" w:hAnsi="Arial"/>
                <w:sz w:val="12"/>
                <w:szCs w:val="12"/>
                <w:color w:val="0000FF"/>
              </w:rPr>
            </w:pPr>
            <w:hyperlink r:id="rId239">
              <w:r>
                <w:rPr>
                  <w:rFonts w:ascii="Arial" w:cs="Arial" w:eastAsia="Arial" w:hAnsi="Arial"/>
                  <w:sz w:val="12"/>
                  <w:szCs w:val="12"/>
                  <w:color w:val="0000FF"/>
                </w:rPr>
                <w:t>Form of Indemnification Agreement, by and between DigitalBridge Group, Inc. and the Officers and Directors of DigitalBridge Group, Inc. (incorporated by reference to Exhibit 10.17 to</w:t>
              </w:r>
            </w:hyperlink>
          </w:p>
        </w:tc>
      </w:tr>
      <w:tr>
        <w:trPr>
          <w:trHeight w:val="120"/>
        </w:trPr>
        <w:tc>
          <w:tcPr>
            <w:tcW w:w="7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960" w:type="dxa"/>
            <w:vAlign w:val="bottom"/>
            <w:tcBorders>
              <w:top w:val="single" w:sz="8" w:color="0000FF"/>
            </w:tcBorders>
            <w:gridSpan w:val="5"/>
            <w:shd w:val="clear" w:color="auto" w:fill="CCEEFF"/>
          </w:tcPr>
          <w:p>
            <w:pPr>
              <w:spacing w:after="0" w:line="121" w:lineRule="exact"/>
              <w:rPr>
                <w:rFonts w:ascii="Arial" w:cs="Arial" w:eastAsia="Arial" w:hAnsi="Arial"/>
                <w:sz w:val="12"/>
                <w:szCs w:val="12"/>
                <w:color w:val="0000FF"/>
              </w:rPr>
            </w:pPr>
            <w:hyperlink r:id="rId239">
              <w:r>
                <w:rPr>
                  <w:rFonts w:ascii="Arial" w:cs="Arial" w:eastAsia="Arial" w:hAnsi="Arial"/>
                  <w:sz w:val="12"/>
                  <w:szCs w:val="12"/>
                  <w:color w:val="0000FF"/>
                </w:rPr>
                <w:t>the Company’s Current Report on Form 8-K12B filed on January 10, 2017)</w:t>
              </w:r>
            </w:hyperlink>
          </w:p>
        </w:tc>
        <w:tc>
          <w:tcPr>
            <w:tcW w:w="160" w:type="dxa"/>
            <w:vAlign w:val="bottom"/>
            <w:tcBorders>
              <w:top w:val="single" w:sz="8" w:color="CCEEFF"/>
            </w:tcBorders>
            <w:shd w:val="clear" w:color="auto" w:fill="CCEEFF"/>
          </w:tcPr>
          <w:p>
            <w:pPr>
              <w:spacing w:after="0"/>
              <w:rPr>
                <w:sz w:val="10"/>
                <w:szCs w:val="10"/>
                <w:color w:val="auto"/>
              </w:rPr>
            </w:pPr>
          </w:p>
        </w:tc>
      </w:tr>
      <w:tr>
        <w:trPr>
          <w:trHeight w:val="35"/>
        </w:trPr>
        <w:tc>
          <w:tcPr>
            <w:tcW w:w="7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30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10.9†</w:t>
            </w:r>
          </w:p>
        </w:tc>
        <w:tc>
          <w:tcPr>
            <w:tcW w:w="320" w:type="dxa"/>
            <w:vAlign w:val="bottom"/>
          </w:tcPr>
          <w:p>
            <w:pPr>
              <w:spacing w:after="0"/>
              <w:rPr>
                <w:sz w:val="13"/>
                <w:szCs w:val="13"/>
                <w:color w:val="auto"/>
              </w:rPr>
            </w:pPr>
          </w:p>
        </w:tc>
        <w:tc>
          <w:tcPr>
            <w:tcW w:w="9740" w:type="dxa"/>
            <w:vAlign w:val="bottom"/>
            <w:tcBorders>
              <w:bottom w:val="single" w:sz="8" w:color="0000FF"/>
            </w:tcBorders>
            <w:gridSpan w:val="5"/>
          </w:tcPr>
          <w:p>
            <w:pPr>
              <w:spacing w:after="0"/>
              <w:rPr>
                <w:rFonts w:ascii="Arial" w:cs="Arial" w:eastAsia="Arial" w:hAnsi="Arial"/>
                <w:sz w:val="12"/>
                <w:szCs w:val="12"/>
                <w:color w:val="0000FF"/>
              </w:rPr>
            </w:pPr>
            <w:hyperlink r:id="rId240">
              <w:r>
                <w:rPr>
                  <w:rFonts w:ascii="Arial" w:cs="Arial" w:eastAsia="Arial" w:hAnsi="Arial"/>
                  <w:sz w:val="12"/>
                  <w:szCs w:val="12"/>
                  <w:color w:val="0000FF"/>
                </w:rPr>
                <w:t>Employment Agreement, dated as of December 23, 2014, by and between Colony Financial, Inc. and Thomas J. Barrack, Jr. (incorporated by reference to Exhibit 10.2 to Colony</w:t>
              </w:r>
            </w:hyperlink>
          </w:p>
        </w:tc>
        <w:tc>
          <w:tcPr>
            <w:tcW w:w="460" w:type="dxa"/>
            <w:vAlign w:val="bottom"/>
            <w:gridSpan w:val="2"/>
          </w:tcPr>
          <w:p>
            <w:pPr>
              <w:spacing w:after="0"/>
              <w:rPr>
                <w:sz w:val="13"/>
                <w:szCs w:val="13"/>
                <w:color w:val="auto"/>
              </w:rPr>
            </w:pPr>
          </w:p>
        </w:tc>
      </w:tr>
      <w:tr>
        <w:trPr>
          <w:trHeight w:val="120"/>
        </w:trPr>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40" w:type="dxa"/>
            <w:vAlign w:val="bottom"/>
            <w:tcBorders>
              <w:bottom w:val="single" w:sz="8" w:color="0000FF"/>
            </w:tcBorders>
            <w:gridSpan w:val="2"/>
          </w:tcPr>
          <w:p>
            <w:pPr>
              <w:spacing w:after="0" w:line="121" w:lineRule="exact"/>
              <w:rPr>
                <w:rFonts w:ascii="Arial" w:cs="Arial" w:eastAsia="Arial" w:hAnsi="Arial"/>
                <w:sz w:val="12"/>
                <w:szCs w:val="12"/>
                <w:color w:val="0000FF"/>
              </w:rPr>
            </w:pPr>
            <w:hyperlink r:id="rId240">
              <w:r>
                <w:rPr>
                  <w:rFonts w:ascii="Arial" w:cs="Arial" w:eastAsia="Arial" w:hAnsi="Arial"/>
                  <w:sz w:val="12"/>
                  <w:szCs w:val="12"/>
                  <w:color w:val="0000FF"/>
                </w:rPr>
                <w:t>Capital, Inc.’s Current Report on Form 8-K filed on December 23, 2014)</w:t>
              </w:r>
            </w:hyperlink>
          </w:p>
        </w:tc>
        <w:tc>
          <w:tcPr>
            <w:tcW w:w="6180" w:type="dxa"/>
            <w:vAlign w:val="bottom"/>
            <w:gridSpan w:val="4"/>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28510" cy="207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28510" cy="2076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10.10†</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10.11†</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20" w:hanging="69"/>
        <w:spacing w:after="0" w:line="262" w:lineRule="auto"/>
        <w:rPr>
          <w:rFonts w:ascii="Arial" w:cs="Arial" w:eastAsia="Arial" w:hAnsi="Arial"/>
          <w:sz w:val="12"/>
          <w:szCs w:val="12"/>
          <w:u w:val="single" w:color="auto"/>
          <w:color w:val="0000FF"/>
        </w:rPr>
      </w:pPr>
      <w:hyperlink r:id="rId242">
        <w:r>
          <w:rPr>
            <w:rFonts w:ascii="Arial" w:cs="Arial" w:eastAsia="Arial" w:hAnsi="Arial"/>
            <w:sz w:val="12"/>
            <w:szCs w:val="12"/>
            <w:u w:val="single" w:color="auto"/>
            <w:color w:val="0000FF"/>
          </w:rPr>
          <w:t>Second Amendment to Employment Agreement and Restrictive Covenant Agreement, dated March 1, 2019, by and among the Company and Thomas J. Barrack, Jr. (incorporated by</w:t>
        </w:r>
      </w:hyperlink>
      <w:r>
        <w:rPr>
          <w:rFonts w:ascii="Arial" w:cs="Arial" w:eastAsia="Arial" w:hAnsi="Arial"/>
          <w:sz w:val="12"/>
          <w:szCs w:val="12"/>
          <w:u w:val="single" w:color="auto"/>
          <w:color w:val="0000FF"/>
        </w:rPr>
        <w:t xml:space="preserve"> </w:t>
      </w:r>
      <w:hyperlink r:id="rId242">
        <w:r>
          <w:rPr>
            <w:rFonts w:ascii="Arial" w:cs="Arial" w:eastAsia="Arial" w:hAnsi="Arial"/>
            <w:sz w:val="12"/>
            <w:szCs w:val="12"/>
            <w:u w:val="single" w:color="auto"/>
            <w:color w:val="0000FF"/>
          </w:rPr>
          <w:t>reference to Exhibit 10.1 to Colony Capital, Inc.'s Quarterly Report on Form 10-Q filed on May 10, 2019)</w:t>
        </w:r>
      </w:hyperlink>
    </w:p>
    <w:p>
      <w:pPr>
        <w:spacing w:after="0" w:line="26" w:lineRule="exact"/>
        <w:rPr>
          <w:sz w:val="20"/>
          <w:szCs w:val="20"/>
          <w:color w:val="auto"/>
        </w:rPr>
      </w:pPr>
    </w:p>
    <w:p>
      <w:pPr>
        <w:ind w:right="440" w:hanging="69"/>
        <w:spacing w:after="0" w:line="262" w:lineRule="auto"/>
        <w:rPr>
          <w:rFonts w:ascii="Arial" w:cs="Arial" w:eastAsia="Arial" w:hAnsi="Arial"/>
          <w:sz w:val="12"/>
          <w:szCs w:val="12"/>
          <w:u w:val="single" w:color="auto"/>
          <w:color w:val="0000FF"/>
        </w:rPr>
      </w:pPr>
      <w:hyperlink r:id="rId243">
        <w:r>
          <w:rPr>
            <w:rFonts w:ascii="Arial" w:cs="Arial" w:eastAsia="Arial" w:hAnsi="Arial"/>
            <w:sz w:val="12"/>
            <w:szCs w:val="12"/>
            <w:u w:val="single" w:color="auto"/>
            <w:color w:val="0000FF"/>
          </w:rPr>
          <w:t>Lock-Up and Liquidated Damages Agreement, dated as of December 23, 2014, by and among Colony Financial, Inc., CFI RE Masterco, LLC, Colony Capital, LLC and Thomas J.</w:t>
        </w:r>
      </w:hyperlink>
      <w:r>
        <w:rPr>
          <w:rFonts w:ascii="Arial" w:cs="Arial" w:eastAsia="Arial" w:hAnsi="Arial"/>
          <w:sz w:val="12"/>
          <w:szCs w:val="12"/>
          <w:u w:val="single" w:color="auto"/>
          <w:color w:val="0000FF"/>
        </w:rPr>
        <w:t xml:space="preserve"> </w:t>
      </w:r>
      <w:hyperlink r:id="rId243">
        <w:r>
          <w:rPr>
            <w:rFonts w:ascii="Arial" w:cs="Arial" w:eastAsia="Arial" w:hAnsi="Arial"/>
            <w:sz w:val="12"/>
            <w:szCs w:val="12"/>
            <w:u w:val="single" w:color="auto"/>
            <w:color w:val="0000FF"/>
          </w:rPr>
          <w:t>Barrack, Jr. (incorporated by reference to Exhibit 10.4 to Colony Capital, Inc.’s Current Report on Form 8-K filed on December 23, 2014)</w:t>
        </w:r>
      </w:hyperlink>
    </w:p>
    <w:p>
      <w:pPr>
        <w:spacing w:after="0" w:line="8" w:lineRule="exact"/>
        <w:rPr>
          <w:sz w:val="20"/>
          <w:szCs w:val="20"/>
          <w:color w:val="auto"/>
        </w:rPr>
      </w:pPr>
    </w:p>
    <w:p>
      <w:pPr>
        <w:sectPr>
          <w:pgSz w:w="11900" w:h="16838" w:orient="portrait"/>
          <w:cols w:equalWidth="0" w:num="2">
            <w:col w:w="400" w:space="700"/>
            <w:col w:w="10160"/>
          </w:cols>
          <w:pgMar w:left="320" w:top="140" w:right="319" w:bottom="1440" w:gutter="0" w:footer="0" w:header="0"/>
          <w:type w:val="continuous"/>
        </w:sectPr>
      </w:pPr>
    </w:p>
    <w:tbl>
      <w:tblPr>
        <w:tblLayout w:type="fixed"/>
        <w:tblInd w:w="0" w:type="dxa"/>
        <w:tblCellMar>
          <w:top w:w="0" w:type="dxa"/>
          <w:left w:w="0" w:type="dxa"/>
          <w:bottom w:w="0" w:type="dxa"/>
          <w:right w:w="0" w:type="dxa"/>
        </w:tblCellMar>
      </w:tblPr>
      <w:tr>
        <w:trPr>
          <w:trHeight w:val="143"/>
        </w:trPr>
        <w:tc>
          <w:tcPr>
            <w:tcW w:w="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10.12†</w:t>
            </w:r>
          </w:p>
        </w:tc>
        <w:tc>
          <w:tcPr>
            <w:tcW w:w="320" w:type="dxa"/>
            <w:vAlign w:val="bottom"/>
            <w:tcBorders>
              <w:bottom w:val="single" w:sz="8" w:color="CCEEFF"/>
            </w:tcBorders>
            <w:shd w:val="clear" w:color="auto" w:fill="CCEEFF"/>
          </w:tcPr>
          <w:p>
            <w:pPr>
              <w:spacing w:after="0"/>
              <w:rPr>
                <w:sz w:val="12"/>
                <w:szCs w:val="12"/>
                <w:color w:val="auto"/>
              </w:rPr>
            </w:pPr>
          </w:p>
        </w:tc>
        <w:tc>
          <w:tcPr>
            <w:tcW w:w="9960" w:type="dxa"/>
            <w:vAlign w:val="bottom"/>
            <w:tcBorders>
              <w:bottom w:val="single" w:sz="8" w:color="0000FF"/>
            </w:tcBorders>
            <w:gridSpan w:val="22"/>
            <w:shd w:val="clear" w:color="auto" w:fill="CCEEFF"/>
          </w:tcPr>
          <w:p>
            <w:pPr>
              <w:spacing w:after="0"/>
              <w:rPr>
                <w:rFonts w:ascii="Arial" w:cs="Arial" w:eastAsia="Arial" w:hAnsi="Arial"/>
                <w:sz w:val="12"/>
                <w:szCs w:val="12"/>
                <w:color w:val="0000FF"/>
              </w:rPr>
            </w:pPr>
            <w:hyperlink r:id="rId244">
              <w:r>
                <w:rPr>
                  <w:rFonts w:ascii="Arial" w:cs="Arial" w:eastAsia="Arial" w:hAnsi="Arial"/>
                  <w:sz w:val="12"/>
                  <w:szCs w:val="12"/>
                  <w:color w:val="0000FF"/>
                </w:rPr>
                <w:t>First Amendment to Employment Agreement, Lock-Up Agreement and Restrictive Covenant Agreement, dated as of June 2, 2016, by and among Colony and Thomas J. Barrack, Jr.</w:t>
              </w:r>
            </w:hyperlink>
          </w:p>
        </w:tc>
        <w:tc>
          <w:tcPr>
            <w:tcW w:w="240" w:type="dxa"/>
            <w:vAlign w:val="bottom"/>
            <w:tcBorders>
              <w:bottom w:val="single" w:sz="8" w:color="CCEEFF"/>
              <w:right w:val="single" w:sz="8" w:color="CCEEFF"/>
            </w:tcBorders>
            <w:gridSpan w:val="6"/>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20"/>
        </w:trPr>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120" w:type="dxa"/>
            <w:vAlign w:val="bottom"/>
            <w:tcBorders>
              <w:right w:val="single" w:sz="8" w:color="CCEEFF"/>
            </w:tcBorders>
            <w:gridSpan w:val="27"/>
            <w:shd w:val="clear" w:color="auto" w:fill="CCEEFF"/>
          </w:tcPr>
          <w:p>
            <w:pPr>
              <w:spacing w:after="0" w:line="121" w:lineRule="exact"/>
              <w:rPr>
                <w:rFonts w:ascii="Arial" w:cs="Arial" w:eastAsia="Arial" w:hAnsi="Arial"/>
                <w:sz w:val="12"/>
                <w:szCs w:val="12"/>
                <w:color w:val="0000FF"/>
              </w:rPr>
            </w:pPr>
            <w:hyperlink r:id="rId244">
              <w:r>
                <w:rPr>
                  <w:rFonts w:ascii="Arial" w:cs="Arial" w:eastAsia="Arial" w:hAnsi="Arial"/>
                  <w:sz w:val="12"/>
                  <w:szCs w:val="12"/>
                  <w:color w:val="0000FF"/>
                </w:rPr>
                <w:t>(incorporated by reference to Exhibit 10.2 to Colony Capital, Inc.’s Current Report on Form 8-K filed on June 8, 2016)</w:t>
              </w:r>
            </w:hyperlink>
          </w:p>
        </w:tc>
        <w:tc>
          <w:tcPr>
            <w:tcW w:w="40" w:type="dxa"/>
            <w:vAlign w:val="bottom"/>
          </w:tcPr>
          <w:p>
            <w:pPr>
              <w:spacing w:after="0"/>
              <w:rPr>
                <w:sz w:val="10"/>
                <w:szCs w:val="10"/>
                <w:color w:val="auto"/>
              </w:rPr>
            </w:pPr>
          </w:p>
        </w:tc>
      </w:tr>
      <w:tr>
        <w:trPr>
          <w:trHeight w:val="35"/>
        </w:trPr>
        <w:tc>
          <w:tcPr>
            <w:tcW w:w="7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8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10.13†</w:t>
            </w:r>
          </w:p>
        </w:tc>
        <w:tc>
          <w:tcPr>
            <w:tcW w:w="320" w:type="dxa"/>
            <w:vAlign w:val="bottom"/>
          </w:tcPr>
          <w:p>
            <w:pPr>
              <w:spacing w:after="0"/>
              <w:rPr>
                <w:sz w:val="13"/>
                <w:szCs w:val="13"/>
                <w:color w:val="auto"/>
              </w:rPr>
            </w:pPr>
          </w:p>
        </w:tc>
        <w:tc>
          <w:tcPr>
            <w:tcW w:w="10240" w:type="dxa"/>
            <w:vAlign w:val="bottom"/>
            <w:gridSpan w:val="29"/>
          </w:tcPr>
          <w:p>
            <w:pPr>
              <w:spacing w:after="0"/>
              <w:rPr>
                <w:rFonts w:ascii="Arial" w:cs="Arial" w:eastAsia="Arial" w:hAnsi="Arial"/>
                <w:sz w:val="12"/>
                <w:szCs w:val="12"/>
                <w:color w:val="0000FF"/>
              </w:rPr>
            </w:pPr>
            <w:hyperlink r:id="rId245">
              <w:r>
                <w:rPr>
                  <w:rFonts w:ascii="Arial" w:cs="Arial" w:eastAsia="Arial" w:hAnsi="Arial"/>
                  <w:sz w:val="12"/>
                  <w:szCs w:val="12"/>
                  <w:color w:val="0000FF"/>
                </w:rPr>
                <w:t>Separation Agreement, dated as of March 30, 2021, by and between Thomas J. Barrack, Jr. and Colony Capital, Inc. (incorporated by reference to Exhibit 10.4 to the Company’s</w:t>
              </w:r>
            </w:hyperlink>
          </w:p>
        </w:tc>
      </w:tr>
      <w:tr>
        <w:trPr>
          <w:trHeight w:val="128"/>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0" w:type="dxa"/>
            <w:vAlign w:val="bottom"/>
            <w:tcBorders>
              <w:top w:val="single" w:sz="8" w:color="0000FF"/>
              <w:bottom w:val="single" w:sz="8" w:color="0000FF"/>
            </w:tcBorders>
            <w:gridSpan w:val="4"/>
          </w:tcPr>
          <w:p>
            <w:pPr>
              <w:spacing w:after="0" w:line="121" w:lineRule="exact"/>
              <w:rPr>
                <w:rFonts w:ascii="Arial" w:cs="Arial" w:eastAsia="Arial" w:hAnsi="Arial"/>
                <w:sz w:val="12"/>
                <w:szCs w:val="12"/>
                <w:color w:val="0000FF"/>
              </w:rPr>
            </w:pPr>
            <w:hyperlink r:id="rId245">
              <w:r>
                <w:rPr>
                  <w:rFonts w:ascii="Arial" w:cs="Arial" w:eastAsia="Arial" w:hAnsi="Arial"/>
                  <w:sz w:val="12"/>
                  <w:szCs w:val="12"/>
                  <w:color w:val="0000FF"/>
                </w:rPr>
                <w:t>Quarterly Report on Form 10-Q filed on May 10, 2021)</w:t>
              </w:r>
            </w:hyperlink>
          </w:p>
        </w:tc>
        <w:tc>
          <w:tcPr>
            <w:tcW w:w="6660" w:type="dxa"/>
            <w:vAlign w:val="bottom"/>
            <w:tcBorders>
              <w:top w:val="single" w:sz="8" w:color="0000FF"/>
            </w:tcBorders>
            <w:gridSpan w:val="14"/>
          </w:tcPr>
          <w:p>
            <w:pPr>
              <w:spacing w:after="0"/>
              <w:rPr>
                <w:sz w:val="11"/>
                <w:szCs w:val="11"/>
                <w:color w:val="auto"/>
              </w:rPr>
            </w:pPr>
          </w:p>
        </w:tc>
        <w:tc>
          <w:tcPr>
            <w:tcW w:w="500" w:type="dxa"/>
            <w:vAlign w:val="bottom"/>
            <w:gridSpan w:val="10"/>
          </w:tcPr>
          <w:p>
            <w:pPr>
              <w:spacing w:after="0"/>
              <w:rPr>
                <w:sz w:val="11"/>
                <w:szCs w:val="11"/>
                <w:color w:val="auto"/>
              </w:rPr>
            </w:pPr>
          </w:p>
        </w:tc>
      </w:tr>
      <w:tr>
        <w:trPr>
          <w:trHeight w:val="160"/>
        </w:trPr>
        <w:tc>
          <w:tcPr>
            <w:tcW w:w="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10.14†</w:t>
            </w:r>
          </w:p>
        </w:tc>
        <w:tc>
          <w:tcPr>
            <w:tcW w:w="320" w:type="dxa"/>
            <w:vAlign w:val="bottom"/>
            <w:tcBorders>
              <w:bottom w:val="single" w:sz="8" w:color="CCEEFF"/>
            </w:tcBorders>
            <w:shd w:val="clear" w:color="auto" w:fill="CCEEFF"/>
          </w:tcPr>
          <w:p>
            <w:pPr>
              <w:spacing w:after="0"/>
              <w:rPr>
                <w:sz w:val="13"/>
                <w:szCs w:val="13"/>
                <w:color w:val="auto"/>
              </w:rPr>
            </w:pPr>
          </w:p>
        </w:tc>
        <w:tc>
          <w:tcPr>
            <w:tcW w:w="10080" w:type="dxa"/>
            <w:vAlign w:val="bottom"/>
            <w:tcBorders>
              <w:bottom w:val="single" w:sz="8" w:color="0000FF"/>
            </w:tcBorders>
            <w:gridSpan w:val="26"/>
            <w:shd w:val="clear" w:color="auto" w:fill="CCEEFF"/>
          </w:tcPr>
          <w:p>
            <w:pPr>
              <w:spacing w:after="0"/>
              <w:rPr>
                <w:rFonts w:ascii="Arial" w:cs="Arial" w:eastAsia="Arial" w:hAnsi="Arial"/>
                <w:sz w:val="12"/>
                <w:szCs w:val="12"/>
                <w:color w:val="0000FF"/>
              </w:rPr>
            </w:pPr>
            <w:hyperlink r:id="rId246">
              <w:r>
                <w:rPr>
                  <w:rFonts w:ascii="Arial" w:cs="Arial" w:eastAsia="Arial" w:hAnsi="Arial"/>
                  <w:sz w:val="12"/>
                  <w:szCs w:val="12"/>
                  <w:color w:val="0000FF"/>
                </w:rPr>
                <w:t>Amended and Restated Employment Agreement, dated as of December 30, 2020, between Colony Capital, Inc. and Neale W. Redington (incorporated by reference to Exhibit 10.51 to</w:t>
              </w:r>
            </w:hyperlink>
          </w:p>
        </w:tc>
        <w:tc>
          <w:tcPr>
            <w:tcW w:w="12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120" w:type="dxa"/>
            <w:vAlign w:val="bottom"/>
            <w:tcBorders>
              <w:right w:val="single" w:sz="8" w:color="CCEEFF"/>
            </w:tcBorders>
            <w:gridSpan w:val="27"/>
            <w:shd w:val="clear" w:color="auto" w:fill="CCEEFF"/>
          </w:tcPr>
          <w:p>
            <w:pPr>
              <w:spacing w:after="0" w:line="121" w:lineRule="exact"/>
              <w:rPr>
                <w:rFonts w:ascii="Arial" w:cs="Arial" w:eastAsia="Arial" w:hAnsi="Arial"/>
                <w:sz w:val="12"/>
                <w:szCs w:val="12"/>
                <w:color w:val="0000FF"/>
              </w:rPr>
            </w:pPr>
            <w:hyperlink r:id="rId246">
              <w:r>
                <w:rPr>
                  <w:rFonts w:ascii="Arial" w:cs="Arial" w:eastAsia="Arial" w:hAnsi="Arial"/>
                  <w:sz w:val="12"/>
                  <w:szCs w:val="12"/>
                  <w:color w:val="0000FF"/>
                </w:rPr>
                <w:t>the Company's Annual Report on Form 10-K filed on March 1, 2021)</w:t>
              </w:r>
            </w:hyperlink>
          </w:p>
        </w:tc>
        <w:tc>
          <w:tcPr>
            <w:tcW w:w="40" w:type="dxa"/>
            <w:vAlign w:val="bottom"/>
          </w:tcPr>
          <w:p>
            <w:pPr>
              <w:spacing w:after="0"/>
              <w:rPr>
                <w:sz w:val="10"/>
                <w:szCs w:val="10"/>
                <w:color w:val="auto"/>
              </w:rPr>
            </w:pPr>
          </w:p>
        </w:tc>
      </w:tr>
      <w:tr>
        <w:trPr>
          <w:trHeight w:val="35"/>
        </w:trPr>
        <w:tc>
          <w:tcPr>
            <w:tcW w:w="7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8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10.15</w:t>
            </w:r>
          </w:p>
        </w:tc>
        <w:tc>
          <w:tcPr>
            <w:tcW w:w="320" w:type="dxa"/>
            <w:vAlign w:val="bottom"/>
          </w:tcPr>
          <w:p>
            <w:pPr>
              <w:spacing w:after="0"/>
              <w:rPr>
                <w:sz w:val="13"/>
                <w:szCs w:val="13"/>
                <w:color w:val="auto"/>
              </w:rPr>
            </w:pPr>
          </w:p>
        </w:tc>
        <w:tc>
          <w:tcPr>
            <w:tcW w:w="9680" w:type="dxa"/>
            <w:vAlign w:val="bottom"/>
            <w:tcBorders>
              <w:bottom w:val="single" w:sz="8" w:color="0000FF"/>
            </w:tcBorders>
            <w:gridSpan w:val="18"/>
          </w:tcPr>
          <w:p>
            <w:pPr>
              <w:spacing w:after="0"/>
              <w:rPr>
                <w:rFonts w:ascii="Arial" w:cs="Arial" w:eastAsia="Arial" w:hAnsi="Arial"/>
                <w:sz w:val="12"/>
                <w:szCs w:val="12"/>
                <w:color w:val="0000FF"/>
              </w:rPr>
            </w:pPr>
            <w:hyperlink r:id="rId247">
              <w:r>
                <w:rPr>
                  <w:rFonts w:ascii="Arial" w:cs="Arial" w:eastAsia="Arial" w:hAnsi="Arial"/>
                  <w:sz w:val="12"/>
                  <w:szCs w:val="12"/>
                  <w:color w:val="0000FF"/>
                </w:rPr>
                <w:t>Agreement of Purchase and Sale, dated as of September 22, 2020, between the CLNY Seller Entities (as named therein) and Silverplate Capital Partners LLC (incorporated by</w:t>
              </w:r>
            </w:hyperlink>
          </w:p>
        </w:tc>
        <w:tc>
          <w:tcPr>
            <w:tcW w:w="560" w:type="dxa"/>
            <w:vAlign w:val="bottom"/>
            <w:gridSpan w:val="11"/>
          </w:tcPr>
          <w:p>
            <w:pPr>
              <w:spacing w:after="0"/>
              <w:rPr>
                <w:sz w:val="13"/>
                <w:szCs w:val="13"/>
                <w:color w:val="auto"/>
              </w:rPr>
            </w:pPr>
          </w:p>
        </w:tc>
      </w:tr>
      <w:tr>
        <w:trPr>
          <w:trHeight w:val="128"/>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60" w:type="dxa"/>
            <w:vAlign w:val="bottom"/>
            <w:tcBorders>
              <w:bottom w:val="single" w:sz="8" w:color="0000FF"/>
            </w:tcBorders>
            <w:gridSpan w:val="10"/>
          </w:tcPr>
          <w:p>
            <w:pPr>
              <w:spacing w:after="0" w:line="121" w:lineRule="exact"/>
              <w:rPr>
                <w:rFonts w:ascii="Arial" w:cs="Arial" w:eastAsia="Arial" w:hAnsi="Arial"/>
                <w:sz w:val="12"/>
                <w:szCs w:val="12"/>
                <w:color w:val="0000FF"/>
              </w:rPr>
            </w:pPr>
            <w:hyperlink r:id="rId247">
              <w:r>
                <w:rPr>
                  <w:rFonts w:ascii="Arial" w:cs="Arial" w:eastAsia="Arial" w:hAnsi="Arial"/>
                  <w:sz w:val="12"/>
                  <w:szCs w:val="12"/>
                  <w:color w:val="0000FF"/>
                </w:rPr>
                <w:t>reference to Exhibit 10.13 to the Company's Quarterly Report on Form 10-Q for the quarterly period ended September 30, 2020)</w:t>
              </w:r>
            </w:hyperlink>
          </w:p>
        </w:tc>
        <w:tc>
          <w:tcPr>
            <w:tcW w:w="3100" w:type="dxa"/>
            <w:vAlign w:val="bottom"/>
            <w:gridSpan w:val="18"/>
          </w:tcPr>
          <w:p>
            <w:pPr>
              <w:spacing w:after="0"/>
              <w:rPr>
                <w:sz w:val="11"/>
                <w:szCs w:val="11"/>
                <w:color w:val="auto"/>
              </w:rPr>
            </w:pPr>
          </w:p>
        </w:tc>
      </w:tr>
      <w:tr>
        <w:trPr>
          <w:trHeight w:val="160"/>
        </w:trPr>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10.16</w:t>
            </w:r>
          </w:p>
        </w:tc>
        <w:tc>
          <w:tcPr>
            <w:tcW w:w="320" w:type="dxa"/>
            <w:vAlign w:val="bottom"/>
            <w:shd w:val="clear" w:color="auto" w:fill="CCEEFF"/>
          </w:tcPr>
          <w:p>
            <w:pPr>
              <w:spacing w:after="0"/>
              <w:rPr>
                <w:sz w:val="13"/>
                <w:szCs w:val="13"/>
                <w:color w:val="auto"/>
              </w:rPr>
            </w:pPr>
          </w:p>
        </w:tc>
        <w:tc>
          <w:tcPr>
            <w:tcW w:w="10200" w:type="dxa"/>
            <w:vAlign w:val="bottom"/>
            <w:tcBorders>
              <w:right w:val="single" w:sz="8" w:color="CCEEFF"/>
            </w:tcBorders>
            <w:gridSpan w:val="28"/>
            <w:shd w:val="clear" w:color="auto" w:fill="CCEEFF"/>
          </w:tcPr>
          <w:p>
            <w:pPr>
              <w:spacing w:after="0"/>
              <w:rPr>
                <w:rFonts w:ascii="Arial" w:cs="Arial" w:eastAsia="Arial" w:hAnsi="Arial"/>
                <w:sz w:val="12"/>
                <w:szCs w:val="12"/>
                <w:color w:val="0000FF"/>
              </w:rPr>
            </w:pPr>
            <w:hyperlink r:id="rId248">
              <w:r>
                <w:rPr>
                  <w:rFonts w:ascii="Arial" w:cs="Arial" w:eastAsia="Arial" w:hAnsi="Arial"/>
                  <w:sz w:val="12"/>
                  <w:szCs w:val="12"/>
                  <w:color w:val="0000FF"/>
                </w:rPr>
                <w:t>First Amendment to Agreement of Purchase and Sale, dated as of October 9, 2020, between the CLNY Seller Entities (as named therein) and Silverplate Capital Partners LLC</w:t>
              </w:r>
            </w:hyperlink>
          </w:p>
        </w:tc>
        <w:tc>
          <w:tcPr>
            <w:tcW w:w="40" w:type="dxa"/>
            <w:vAlign w:val="bottom"/>
          </w:tcPr>
          <w:p>
            <w:pPr>
              <w:spacing w:after="0"/>
              <w:rPr>
                <w:sz w:val="13"/>
                <w:szCs w:val="13"/>
                <w:color w:val="auto"/>
              </w:rPr>
            </w:pPr>
          </w:p>
        </w:tc>
      </w:tr>
      <w:tr>
        <w:trPr>
          <w:trHeight w:val="135"/>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8000" w:type="dxa"/>
            <w:vAlign w:val="bottom"/>
            <w:tcBorders>
              <w:top w:val="single" w:sz="8" w:color="0000FF"/>
              <w:bottom w:val="single" w:sz="8" w:color="0000FF"/>
            </w:tcBorders>
            <w:gridSpan w:val="11"/>
            <w:shd w:val="clear" w:color="auto" w:fill="CCEEFF"/>
          </w:tcPr>
          <w:p>
            <w:pPr>
              <w:spacing w:after="0" w:line="121" w:lineRule="exact"/>
              <w:rPr>
                <w:rFonts w:ascii="Arial" w:cs="Arial" w:eastAsia="Arial" w:hAnsi="Arial"/>
                <w:sz w:val="12"/>
                <w:szCs w:val="12"/>
                <w:color w:val="0000FF"/>
              </w:rPr>
            </w:pPr>
            <w:hyperlink r:id="rId248">
              <w:r>
                <w:rPr>
                  <w:rFonts w:ascii="Arial" w:cs="Arial" w:eastAsia="Arial" w:hAnsi="Arial"/>
                  <w:sz w:val="12"/>
                  <w:szCs w:val="12"/>
                  <w:color w:val="0000FF"/>
                </w:rPr>
                <w:t>(incorporated by reference to Exhibit 10.13 to the Company's Quarterly Report on Form 10-Q for the quarterly period ended September 30, 2020)</w:t>
              </w:r>
            </w:hyperlink>
          </w:p>
        </w:tc>
        <w:tc>
          <w:tcPr>
            <w:tcW w:w="1540" w:type="dxa"/>
            <w:vAlign w:val="bottom"/>
            <w:tcBorders>
              <w:top w:val="single" w:sz="8" w:color="0000FF"/>
              <w:bottom w:val="single" w:sz="8" w:color="CCEEFF"/>
            </w:tcBorders>
            <w:gridSpan w:val="4"/>
            <w:shd w:val="clear" w:color="auto" w:fill="CCEEFF"/>
          </w:tcPr>
          <w:p>
            <w:pPr>
              <w:spacing w:after="0"/>
              <w:rPr>
                <w:sz w:val="11"/>
                <w:szCs w:val="11"/>
                <w:color w:val="auto"/>
              </w:rPr>
            </w:pPr>
          </w:p>
        </w:tc>
        <w:tc>
          <w:tcPr>
            <w:tcW w:w="580" w:type="dxa"/>
            <w:vAlign w:val="bottom"/>
            <w:tcBorders>
              <w:top w:val="single" w:sz="8" w:color="CCEEFF"/>
              <w:bottom w:val="single" w:sz="8" w:color="CCEEFF"/>
              <w:right w:val="single" w:sz="8" w:color="CCEEFF"/>
            </w:tcBorders>
            <w:gridSpan w:val="12"/>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10.17</w:t>
            </w:r>
          </w:p>
        </w:tc>
        <w:tc>
          <w:tcPr>
            <w:tcW w:w="320" w:type="dxa"/>
            <w:vAlign w:val="bottom"/>
          </w:tcPr>
          <w:p>
            <w:pPr>
              <w:spacing w:after="0"/>
              <w:rPr>
                <w:sz w:val="13"/>
                <w:szCs w:val="13"/>
                <w:color w:val="auto"/>
              </w:rPr>
            </w:pPr>
          </w:p>
        </w:tc>
        <w:tc>
          <w:tcPr>
            <w:tcW w:w="10240" w:type="dxa"/>
            <w:vAlign w:val="bottom"/>
            <w:gridSpan w:val="29"/>
          </w:tcPr>
          <w:p>
            <w:pPr>
              <w:spacing w:after="0"/>
              <w:rPr>
                <w:rFonts w:ascii="Arial" w:cs="Arial" w:eastAsia="Arial" w:hAnsi="Arial"/>
                <w:sz w:val="12"/>
                <w:szCs w:val="12"/>
                <w:color w:val="0000FF"/>
              </w:rPr>
            </w:pPr>
            <w:hyperlink r:id="rId249">
              <w:r>
                <w:rPr>
                  <w:rFonts w:ascii="Arial" w:cs="Arial" w:eastAsia="Arial" w:hAnsi="Arial"/>
                  <w:sz w:val="12"/>
                  <w:szCs w:val="12"/>
                  <w:color w:val="0000FF"/>
                </w:rPr>
                <w:t>Second Amendment to Agreement of Purchase and Sale, dated as of February 28, 2021, between the CLNY Seller Entities (as named therein) and Silverplate Capital Partners LLC</w:t>
              </w:r>
            </w:hyperlink>
          </w:p>
        </w:tc>
      </w:tr>
      <w:tr>
        <w:trPr>
          <w:trHeight w:val="120"/>
        </w:trPr>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840" w:type="dxa"/>
            <w:vAlign w:val="bottom"/>
            <w:tcBorders>
              <w:top w:val="single" w:sz="8" w:color="0000FF"/>
            </w:tcBorders>
            <w:gridSpan w:val="20"/>
          </w:tcPr>
          <w:p>
            <w:pPr>
              <w:spacing w:after="0" w:line="121" w:lineRule="exact"/>
              <w:rPr>
                <w:rFonts w:ascii="Arial" w:cs="Arial" w:eastAsia="Arial" w:hAnsi="Arial"/>
                <w:sz w:val="12"/>
                <w:szCs w:val="12"/>
                <w:color w:val="0000FF"/>
              </w:rPr>
            </w:pPr>
            <w:hyperlink r:id="rId249">
              <w:r>
                <w:rPr>
                  <w:rFonts w:ascii="Arial" w:cs="Arial" w:eastAsia="Arial" w:hAnsi="Arial"/>
                  <w:sz w:val="12"/>
                  <w:szCs w:val="12"/>
                  <w:color w:val="0000FF"/>
                </w:rPr>
                <w:t>(incorporated by reference to Exhibit 10.55 to the Company's Annual Report on Form 10-K filed on March 1, 2021)</w:t>
              </w:r>
            </w:hyperlink>
          </w:p>
        </w:tc>
        <w:tc>
          <w:tcPr>
            <w:tcW w:w="320" w:type="dxa"/>
            <w:vAlign w:val="bottom"/>
            <w:gridSpan w:val="8"/>
          </w:tcPr>
          <w:p>
            <w:pPr>
              <w:spacing w:after="0"/>
              <w:rPr>
                <w:sz w:val="10"/>
                <w:szCs w:val="10"/>
                <w:color w:val="auto"/>
              </w:rPr>
            </w:pPr>
          </w:p>
        </w:tc>
      </w:tr>
      <w:tr>
        <w:trPr>
          <w:trHeight w:val="28"/>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8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10.18</w:t>
            </w:r>
          </w:p>
        </w:tc>
        <w:tc>
          <w:tcPr>
            <w:tcW w:w="10520" w:type="dxa"/>
            <w:vAlign w:val="bottom"/>
            <w:tcBorders>
              <w:right w:val="single" w:sz="8" w:color="CCEEFF"/>
            </w:tcBorders>
            <w:gridSpan w:val="29"/>
            <w:shd w:val="clear" w:color="auto" w:fill="CCEEFF"/>
          </w:tcPr>
          <w:p>
            <w:pPr>
              <w:ind w:left="320"/>
              <w:spacing w:after="0"/>
              <w:rPr>
                <w:rFonts w:ascii="Arial" w:cs="Arial" w:eastAsia="Arial" w:hAnsi="Arial"/>
                <w:sz w:val="12"/>
                <w:szCs w:val="12"/>
                <w:color w:val="0000FF"/>
              </w:rPr>
            </w:pPr>
            <w:hyperlink r:id="rId250">
              <w:r>
                <w:rPr>
                  <w:rFonts w:ascii="Arial" w:cs="Arial" w:eastAsia="Arial" w:hAnsi="Arial"/>
                  <w:sz w:val="12"/>
                  <w:szCs w:val="12"/>
                  <w:color w:val="0000FF"/>
                </w:rPr>
                <w:t>Third Amendment to Agreement of Purchase and Sale, dated March 11, 2021, among the CLNY Seller Entities (as named therein) and Silverplate Capital Partners LLC (incorporated by</w:t>
              </w:r>
            </w:hyperlink>
          </w:p>
        </w:tc>
        <w:tc>
          <w:tcPr>
            <w:tcW w:w="40" w:type="dxa"/>
            <w:vAlign w:val="bottom"/>
          </w:tcPr>
          <w:p>
            <w:pPr>
              <w:spacing w:after="0"/>
              <w:rPr>
                <w:sz w:val="13"/>
                <w:szCs w:val="13"/>
                <w:color w:val="auto"/>
              </w:rPr>
            </w:pPr>
          </w:p>
        </w:tc>
      </w:tr>
      <w:tr>
        <w:trPr>
          <w:trHeight w:val="135"/>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5320" w:type="dxa"/>
            <w:vAlign w:val="bottom"/>
            <w:tcBorders>
              <w:top w:val="single" w:sz="8" w:color="0000FF"/>
              <w:bottom w:val="single" w:sz="8" w:color="0000FF"/>
            </w:tcBorders>
            <w:gridSpan w:val="6"/>
            <w:shd w:val="clear" w:color="auto" w:fill="CCEEFF"/>
          </w:tcPr>
          <w:p>
            <w:pPr>
              <w:spacing w:after="0" w:line="121" w:lineRule="exact"/>
              <w:rPr>
                <w:rFonts w:ascii="Arial" w:cs="Arial" w:eastAsia="Arial" w:hAnsi="Arial"/>
                <w:sz w:val="12"/>
                <w:szCs w:val="12"/>
                <w:color w:val="0000FF"/>
              </w:rPr>
            </w:pPr>
            <w:hyperlink r:id="rId250">
              <w:r>
                <w:rPr>
                  <w:rFonts w:ascii="Arial" w:cs="Arial" w:eastAsia="Arial" w:hAnsi="Arial"/>
                  <w:sz w:val="12"/>
                  <w:szCs w:val="12"/>
                  <w:color w:val="0000FF"/>
                </w:rPr>
                <w:t>reference to Exhibit 10.1 to the Company’s Current Report on Form 8-K filed on March 17, 2021)</w:t>
              </w:r>
            </w:hyperlink>
          </w:p>
        </w:tc>
        <w:tc>
          <w:tcPr>
            <w:tcW w:w="4800" w:type="dxa"/>
            <w:vAlign w:val="bottom"/>
            <w:tcBorders>
              <w:top w:val="single" w:sz="8" w:color="0000FF"/>
              <w:bottom w:val="single" w:sz="8" w:color="CCEEFF"/>
              <w:right w:val="single" w:sz="8" w:color="CCEEFF"/>
            </w:tcBorders>
            <w:gridSpan w:val="21"/>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10.19</w:t>
            </w:r>
          </w:p>
        </w:tc>
        <w:tc>
          <w:tcPr>
            <w:tcW w:w="320" w:type="dxa"/>
            <w:vAlign w:val="bottom"/>
          </w:tcPr>
          <w:p>
            <w:pPr>
              <w:spacing w:after="0"/>
              <w:rPr>
                <w:sz w:val="13"/>
                <w:szCs w:val="13"/>
                <w:color w:val="auto"/>
              </w:rPr>
            </w:pPr>
          </w:p>
        </w:tc>
        <w:tc>
          <w:tcPr>
            <w:tcW w:w="9840" w:type="dxa"/>
            <w:vAlign w:val="bottom"/>
            <w:tcBorders>
              <w:bottom w:val="single" w:sz="8" w:color="0000FF"/>
            </w:tcBorders>
            <w:gridSpan w:val="20"/>
          </w:tcPr>
          <w:p>
            <w:pPr>
              <w:spacing w:after="0"/>
              <w:rPr>
                <w:rFonts w:ascii="Arial" w:cs="Arial" w:eastAsia="Arial" w:hAnsi="Arial"/>
                <w:sz w:val="12"/>
                <w:szCs w:val="12"/>
                <w:color w:val="0000FF"/>
              </w:rPr>
            </w:pPr>
            <w:hyperlink r:id="rId251">
              <w:r>
                <w:rPr>
                  <w:rFonts w:ascii="Arial" w:cs="Arial" w:eastAsia="Arial" w:hAnsi="Arial"/>
                  <w:sz w:val="12"/>
                  <w:szCs w:val="12"/>
                  <w:color w:val="0000FF"/>
                </w:rPr>
                <w:t>Investment Agreement, dated as of March 30, 2021, by and among Barrack Colony Partners, LLC, Thomas J. Barrack, Jr., Colony Capital, Inc. and Colony OED Investments, LLC</w:t>
              </w:r>
            </w:hyperlink>
          </w:p>
        </w:tc>
        <w:tc>
          <w:tcPr>
            <w:tcW w:w="400" w:type="dxa"/>
            <w:vAlign w:val="bottom"/>
            <w:gridSpan w:val="9"/>
          </w:tcPr>
          <w:p>
            <w:pPr>
              <w:spacing w:after="0"/>
              <w:rPr>
                <w:sz w:val="13"/>
                <w:szCs w:val="13"/>
                <w:color w:val="auto"/>
              </w:rPr>
            </w:pPr>
          </w:p>
        </w:tc>
      </w:tr>
      <w:tr>
        <w:trPr>
          <w:trHeight w:val="128"/>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320" w:type="dxa"/>
            <w:vAlign w:val="bottom"/>
            <w:tcBorders>
              <w:bottom w:val="single" w:sz="8" w:color="0000FF"/>
            </w:tcBorders>
            <w:gridSpan w:val="8"/>
          </w:tcPr>
          <w:p>
            <w:pPr>
              <w:spacing w:after="0" w:line="121" w:lineRule="exact"/>
              <w:rPr>
                <w:rFonts w:ascii="Arial" w:cs="Arial" w:eastAsia="Arial" w:hAnsi="Arial"/>
                <w:sz w:val="12"/>
                <w:szCs w:val="12"/>
                <w:color w:val="0000FF"/>
              </w:rPr>
            </w:pPr>
            <w:hyperlink r:id="rId251">
              <w:r>
                <w:rPr>
                  <w:rFonts w:ascii="Arial" w:cs="Arial" w:eastAsia="Arial" w:hAnsi="Arial"/>
                  <w:sz w:val="12"/>
                  <w:szCs w:val="12"/>
                  <w:color w:val="0000FF"/>
                </w:rPr>
                <w:t>(incorporated by reference to Exhibit 10.4 to the Company’s Quarterly Report on Form 10-Q filed on May 10, 2021)</w:t>
              </w:r>
            </w:hyperlink>
          </w:p>
        </w:tc>
        <w:tc>
          <w:tcPr>
            <w:tcW w:w="3840" w:type="dxa"/>
            <w:vAlign w:val="bottom"/>
            <w:gridSpan w:val="20"/>
          </w:tcPr>
          <w:p>
            <w:pPr>
              <w:spacing w:after="0"/>
              <w:rPr>
                <w:sz w:val="11"/>
                <w:szCs w:val="11"/>
                <w:color w:val="auto"/>
              </w:rPr>
            </w:pPr>
          </w:p>
        </w:tc>
      </w:tr>
      <w:tr>
        <w:trPr>
          <w:trHeight w:val="160"/>
        </w:trPr>
        <w:tc>
          <w:tcPr>
            <w:tcW w:w="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10.20†</w:t>
            </w:r>
          </w:p>
        </w:tc>
        <w:tc>
          <w:tcPr>
            <w:tcW w:w="3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FF"/>
            </w:tcBorders>
            <w:gridSpan w:val="24"/>
            <w:shd w:val="clear" w:color="auto" w:fill="CCEEFF"/>
          </w:tcPr>
          <w:p>
            <w:pPr>
              <w:spacing w:after="0"/>
              <w:rPr>
                <w:rFonts w:ascii="Arial" w:cs="Arial" w:eastAsia="Arial" w:hAnsi="Arial"/>
                <w:sz w:val="12"/>
                <w:szCs w:val="12"/>
                <w:color w:val="0000FF"/>
              </w:rPr>
            </w:pPr>
            <w:hyperlink r:id="rId252">
              <w:r>
                <w:rPr>
                  <w:rFonts w:ascii="Arial" w:cs="Arial" w:eastAsia="Arial" w:hAnsi="Arial"/>
                  <w:sz w:val="12"/>
                  <w:szCs w:val="12"/>
                  <w:color w:val="0000FF"/>
                </w:rPr>
                <w:t>Employment Agreement, dated as of March 16, 2015, by and between Colony Capital, Inc. and Ronald M. Sanders (incorporated by reference to Exhibit 10.3 to Colony Capital, Inc.’s</w:t>
              </w:r>
            </w:hyperlink>
          </w:p>
        </w:tc>
        <w:tc>
          <w:tcPr>
            <w:tcW w:w="180" w:type="dxa"/>
            <w:vAlign w:val="bottom"/>
            <w:tcBorders>
              <w:bottom w:val="single" w:sz="8" w:color="CCEEFF"/>
              <w:right w:val="single" w:sz="8" w:color="CCEEFF"/>
            </w:tcBorders>
            <w:gridSpan w:val="4"/>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7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760" w:type="dxa"/>
            <w:vAlign w:val="bottom"/>
            <w:tcBorders>
              <w:bottom w:val="single" w:sz="8" w:color="0000FF"/>
            </w:tcBorders>
            <w:gridSpan w:val="3"/>
            <w:shd w:val="clear" w:color="auto" w:fill="CCEEFF"/>
          </w:tcPr>
          <w:p>
            <w:pPr>
              <w:spacing w:after="0" w:line="121" w:lineRule="exact"/>
              <w:rPr>
                <w:rFonts w:ascii="Arial" w:cs="Arial" w:eastAsia="Arial" w:hAnsi="Arial"/>
                <w:sz w:val="12"/>
                <w:szCs w:val="12"/>
                <w:color w:val="0000FF"/>
              </w:rPr>
            </w:pPr>
            <w:hyperlink r:id="rId252">
              <w:r>
                <w:rPr>
                  <w:rFonts w:ascii="Arial" w:cs="Arial" w:eastAsia="Arial" w:hAnsi="Arial"/>
                  <w:sz w:val="12"/>
                  <w:szCs w:val="12"/>
                  <w:color w:val="0000FF"/>
                </w:rPr>
                <w:t>Current Report on Form 8-K filed on April 2, 2015)</w:t>
              </w:r>
            </w:hyperlink>
          </w:p>
        </w:tc>
        <w:tc>
          <w:tcPr>
            <w:tcW w:w="7360" w:type="dxa"/>
            <w:vAlign w:val="bottom"/>
            <w:tcBorders>
              <w:bottom w:val="single" w:sz="8" w:color="CCEEFF"/>
              <w:right w:val="single" w:sz="8" w:color="CCEEFF"/>
            </w:tcBorders>
            <w:gridSpan w:val="24"/>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10.21†</w:t>
            </w:r>
          </w:p>
        </w:tc>
        <w:tc>
          <w:tcPr>
            <w:tcW w:w="320" w:type="dxa"/>
            <w:vAlign w:val="bottom"/>
          </w:tcPr>
          <w:p>
            <w:pPr>
              <w:spacing w:after="0"/>
              <w:rPr>
                <w:sz w:val="13"/>
                <w:szCs w:val="13"/>
                <w:color w:val="auto"/>
              </w:rPr>
            </w:pPr>
          </w:p>
        </w:tc>
        <w:tc>
          <w:tcPr>
            <w:tcW w:w="10060" w:type="dxa"/>
            <w:vAlign w:val="bottom"/>
            <w:tcBorders>
              <w:bottom w:val="single" w:sz="8" w:color="0000FF"/>
            </w:tcBorders>
            <w:gridSpan w:val="25"/>
          </w:tcPr>
          <w:p>
            <w:pPr>
              <w:spacing w:after="0"/>
              <w:rPr>
                <w:rFonts w:ascii="Arial" w:cs="Arial" w:eastAsia="Arial" w:hAnsi="Arial"/>
                <w:sz w:val="12"/>
                <w:szCs w:val="12"/>
                <w:color w:val="0000FF"/>
              </w:rPr>
            </w:pPr>
            <w:hyperlink r:id="rId253">
              <w:r>
                <w:rPr>
                  <w:rFonts w:ascii="Arial" w:cs="Arial" w:eastAsia="Arial" w:hAnsi="Arial"/>
                  <w:sz w:val="12"/>
                  <w:szCs w:val="12"/>
                  <w:color w:val="0000FF"/>
                </w:rPr>
                <w:t>Employment Agreement, dated as of July 25, 2019, between Colony Capital, Inc. and Marc Ganzi (incorporated by reference to Exhibit 10.1 to the Company's Current Report on Form</w:t>
              </w:r>
            </w:hyperlink>
          </w:p>
        </w:tc>
        <w:tc>
          <w:tcPr>
            <w:tcW w:w="180" w:type="dxa"/>
            <w:vAlign w:val="bottom"/>
            <w:gridSpan w:val="4"/>
          </w:tcPr>
          <w:p>
            <w:pPr>
              <w:spacing w:after="0"/>
              <w:rPr>
                <w:sz w:val="13"/>
                <w:szCs w:val="13"/>
                <w:color w:val="auto"/>
              </w:rPr>
            </w:pPr>
          </w:p>
        </w:tc>
      </w:tr>
      <w:tr>
        <w:trPr>
          <w:trHeight w:val="120"/>
        </w:trPr>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60" w:type="dxa"/>
            <w:vAlign w:val="bottom"/>
            <w:gridSpan w:val="28"/>
          </w:tcPr>
          <w:p>
            <w:pPr>
              <w:spacing w:after="0" w:line="121" w:lineRule="exact"/>
              <w:rPr>
                <w:rFonts w:ascii="Arial" w:cs="Arial" w:eastAsia="Arial" w:hAnsi="Arial"/>
                <w:sz w:val="12"/>
                <w:szCs w:val="12"/>
                <w:color w:val="0000FF"/>
              </w:rPr>
            </w:pPr>
            <w:hyperlink r:id="rId253">
              <w:r>
                <w:rPr>
                  <w:rFonts w:ascii="Arial" w:cs="Arial" w:eastAsia="Arial" w:hAnsi="Arial"/>
                  <w:sz w:val="12"/>
                  <w:szCs w:val="12"/>
                  <w:color w:val="0000FF"/>
                </w:rPr>
                <w:t>8-K filed on July 30, 2019)</w:t>
              </w:r>
            </w:hyperlink>
          </w:p>
        </w:tc>
      </w:tr>
      <w:tr>
        <w:trPr>
          <w:trHeight w:val="28"/>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8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10.22†</w:t>
            </w:r>
          </w:p>
        </w:tc>
        <w:tc>
          <w:tcPr>
            <w:tcW w:w="320" w:type="dxa"/>
            <w:vAlign w:val="bottom"/>
            <w:shd w:val="clear" w:color="auto" w:fill="CCEEFF"/>
          </w:tcPr>
          <w:p>
            <w:pPr>
              <w:spacing w:after="0"/>
              <w:rPr>
                <w:sz w:val="13"/>
                <w:szCs w:val="13"/>
                <w:color w:val="auto"/>
              </w:rPr>
            </w:pPr>
          </w:p>
        </w:tc>
        <w:tc>
          <w:tcPr>
            <w:tcW w:w="10200" w:type="dxa"/>
            <w:vAlign w:val="bottom"/>
            <w:tcBorders>
              <w:right w:val="single" w:sz="8" w:color="CCEEFF"/>
            </w:tcBorders>
            <w:gridSpan w:val="28"/>
            <w:shd w:val="clear" w:color="auto" w:fill="CCEEFF"/>
          </w:tcPr>
          <w:p>
            <w:pPr>
              <w:spacing w:after="0"/>
              <w:rPr>
                <w:rFonts w:ascii="Arial" w:cs="Arial" w:eastAsia="Arial" w:hAnsi="Arial"/>
                <w:sz w:val="12"/>
                <w:szCs w:val="12"/>
                <w:color w:val="0000FF"/>
              </w:rPr>
            </w:pPr>
            <w:hyperlink r:id="rId254">
              <w:r>
                <w:rPr>
                  <w:rFonts w:ascii="Arial" w:cs="Arial" w:eastAsia="Arial" w:hAnsi="Arial"/>
                  <w:sz w:val="12"/>
                  <w:szCs w:val="12"/>
                  <w:color w:val="0000FF"/>
                </w:rPr>
                <w:t>Form of Restricted Stock Agreement (incorporated by reference to Exhibit 10.30 to the Company's Annual Report on Form 10-K filed on March 1, 2019)</w:t>
              </w:r>
            </w:hyperlink>
          </w:p>
        </w:tc>
        <w:tc>
          <w:tcPr>
            <w:tcW w:w="40" w:type="dxa"/>
            <w:vAlign w:val="bottom"/>
          </w:tcPr>
          <w:p>
            <w:pPr>
              <w:spacing w:after="0"/>
              <w:rPr>
                <w:sz w:val="13"/>
                <w:szCs w:val="13"/>
                <w:color w:val="auto"/>
              </w:rPr>
            </w:pPr>
          </w:p>
        </w:tc>
      </w:tr>
      <w:tr>
        <w:trPr>
          <w:trHeight w:val="35"/>
        </w:trPr>
        <w:tc>
          <w:tcPr>
            <w:tcW w:w="7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8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r>
      <w:tr>
        <w:trPr>
          <w:trHeight w:val="160"/>
        </w:trPr>
        <w:tc>
          <w:tcPr>
            <w:tcW w:w="700" w:type="dxa"/>
            <w:vAlign w:val="bottom"/>
          </w:tcPr>
          <w:p>
            <w:pPr>
              <w:spacing w:after="0"/>
              <w:rPr>
                <w:sz w:val="20"/>
                <w:szCs w:val="20"/>
                <w:color w:val="auto"/>
              </w:rPr>
            </w:pPr>
            <w:r>
              <w:rPr>
                <w:rFonts w:ascii="Arial" w:cs="Arial" w:eastAsia="Arial" w:hAnsi="Arial"/>
                <w:sz w:val="12"/>
                <w:szCs w:val="12"/>
                <w:color w:val="auto"/>
              </w:rPr>
              <w:t>10.23†</w:t>
            </w:r>
          </w:p>
        </w:tc>
        <w:tc>
          <w:tcPr>
            <w:tcW w:w="320" w:type="dxa"/>
            <w:vAlign w:val="bottom"/>
          </w:tcPr>
          <w:p>
            <w:pPr>
              <w:spacing w:after="0"/>
              <w:rPr>
                <w:sz w:val="13"/>
                <w:szCs w:val="13"/>
                <w:color w:val="auto"/>
              </w:rPr>
            </w:pPr>
          </w:p>
        </w:tc>
        <w:tc>
          <w:tcPr>
            <w:tcW w:w="9360" w:type="dxa"/>
            <w:vAlign w:val="bottom"/>
            <w:tcBorders>
              <w:bottom w:val="single" w:sz="8" w:color="0000FF"/>
            </w:tcBorders>
            <w:gridSpan w:val="15"/>
          </w:tcPr>
          <w:p>
            <w:pPr>
              <w:spacing w:after="0"/>
              <w:rPr>
                <w:rFonts w:ascii="Arial" w:cs="Arial" w:eastAsia="Arial" w:hAnsi="Arial"/>
                <w:sz w:val="12"/>
                <w:szCs w:val="12"/>
                <w:color w:val="0000FF"/>
              </w:rPr>
            </w:pPr>
            <w:hyperlink r:id="rId255">
              <w:r>
                <w:rPr>
                  <w:rFonts w:ascii="Arial" w:cs="Arial" w:eastAsia="Arial" w:hAnsi="Arial"/>
                  <w:sz w:val="12"/>
                  <w:szCs w:val="12"/>
                  <w:color w:val="0000FF"/>
                </w:rPr>
                <w:t>Form of Performance Restricted Stock Unit Agreement (incorporated by reference to Exhibit 10.31 to the Company's Annual Report on Form 10-K filed on March 1, 2019)</w:t>
              </w:r>
            </w:hyperlink>
          </w:p>
        </w:tc>
        <w:tc>
          <w:tcPr>
            <w:tcW w:w="880" w:type="dxa"/>
            <w:vAlign w:val="bottom"/>
            <w:gridSpan w:val="14"/>
          </w:tcPr>
          <w:p>
            <w:pPr>
              <w:spacing w:after="0"/>
              <w:rPr>
                <w:sz w:val="13"/>
                <w:szCs w:val="13"/>
                <w:color w:val="auto"/>
              </w:rPr>
            </w:pPr>
          </w:p>
        </w:tc>
      </w:tr>
      <w:tr>
        <w:trPr>
          <w:trHeight w:val="160"/>
        </w:trPr>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10.24</w:t>
            </w:r>
          </w:p>
        </w:tc>
        <w:tc>
          <w:tcPr>
            <w:tcW w:w="320" w:type="dxa"/>
            <w:vAlign w:val="bottom"/>
            <w:shd w:val="clear" w:color="auto" w:fill="CCEEFF"/>
          </w:tcPr>
          <w:p>
            <w:pPr>
              <w:spacing w:after="0"/>
              <w:rPr>
                <w:sz w:val="13"/>
                <w:szCs w:val="13"/>
                <w:color w:val="auto"/>
              </w:rPr>
            </w:pPr>
          </w:p>
        </w:tc>
        <w:tc>
          <w:tcPr>
            <w:tcW w:w="10200" w:type="dxa"/>
            <w:vAlign w:val="bottom"/>
            <w:tcBorders>
              <w:right w:val="single" w:sz="8" w:color="CCEEFF"/>
            </w:tcBorders>
            <w:gridSpan w:val="28"/>
            <w:shd w:val="clear" w:color="auto" w:fill="CCEEFF"/>
          </w:tcPr>
          <w:p>
            <w:pPr>
              <w:spacing w:after="0"/>
              <w:rPr>
                <w:rFonts w:ascii="Arial" w:cs="Arial" w:eastAsia="Arial" w:hAnsi="Arial"/>
                <w:sz w:val="12"/>
                <w:szCs w:val="12"/>
                <w:color w:val="0000FF"/>
              </w:rPr>
            </w:pPr>
            <w:hyperlink r:id="rId256">
              <w:r>
                <w:rPr>
                  <w:rFonts w:ascii="Arial" w:cs="Arial" w:eastAsia="Arial" w:hAnsi="Arial"/>
                  <w:sz w:val="12"/>
                  <w:szCs w:val="12"/>
                  <w:color w:val="0000FF"/>
                </w:rPr>
                <w:t>Investment Agreement, dated as of July 7, 2020, by and among Colony Valhalla Partners I-A Holdings, L.P., a Delaware limited partnership, Colony Valhalla Partners I-B Holdings, L.P.,</w:t>
              </w:r>
            </w:hyperlink>
          </w:p>
        </w:tc>
        <w:tc>
          <w:tcPr>
            <w:tcW w:w="40" w:type="dxa"/>
            <w:vAlign w:val="bottom"/>
          </w:tcPr>
          <w:p>
            <w:pPr>
              <w:spacing w:after="0"/>
              <w:rPr>
                <w:sz w:val="13"/>
                <w:szCs w:val="13"/>
                <w:color w:val="auto"/>
              </w:rPr>
            </w:pPr>
          </w:p>
        </w:tc>
      </w:tr>
      <w:tr>
        <w:trPr>
          <w:trHeight w:val="120"/>
        </w:trPr>
        <w:tc>
          <w:tcPr>
            <w:tcW w:w="7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0020" w:type="dxa"/>
            <w:vAlign w:val="bottom"/>
            <w:tcBorders>
              <w:top w:val="single" w:sz="8" w:color="0000FF"/>
            </w:tcBorders>
            <w:gridSpan w:val="26"/>
            <w:shd w:val="clear" w:color="auto" w:fill="CCEEFF"/>
          </w:tcPr>
          <w:p>
            <w:pPr>
              <w:spacing w:after="0" w:line="121" w:lineRule="exact"/>
              <w:rPr>
                <w:rFonts w:ascii="Arial" w:cs="Arial" w:eastAsia="Arial" w:hAnsi="Arial"/>
                <w:sz w:val="12"/>
                <w:szCs w:val="12"/>
                <w:color w:val="0000FF"/>
              </w:rPr>
            </w:pPr>
            <w:hyperlink r:id="rId256">
              <w:r>
                <w:rPr>
                  <w:rFonts w:ascii="Arial" w:cs="Arial" w:eastAsia="Arial" w:hAnsi="Arial"/>
                  <w:sz w:val="12"/>
                  <w:szCs w:val="12"/>
                  <w:color w:val="0000FF"/>
                </w:rPr>
                <w:t>a Delaware limited partnership, Colony Valhalla Partners II Holdings, L.P., a Delaware limited partnership, CBRE Caledon Valhalla Aggregator Holdings LP, a Delaware limited</w:t>
              </w:r>
            </w:hyperlink>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80" w:type="dxa"/>
            <w:vAlign w:val="bottom"/>
            <w:tcBorders>
              <w:left w:val="single" w:sz="8" w:color="0000FF"/>
            </w:tcBorders>
            <w:gridSpan w:val="11"/>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gridSpan w:val="5"/>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4"/>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120" w:type="dxa"/>
            <w:vAlign w:val="bottom"/>
            <w:tcBorders>
              <w:right w:val="single" w:sz="8" w:color="CCEEFF"/>
            </w:tcBorders>
            <w:gridSpan w:val="27"/>
            <w:shd w:val="clear" w:color="auto" w:fill="CCEEFF"/>
          </w:tcPr>
          <w:p>
            <w:pPr>
              <w:spacing w:after="0" w:line="121" w:lineRule="exact"/>
              <w:rPr>
                <w:rFonts w:ascii="Arial" w:cs="Arial" w:eastAsia="Arial" w:hAnsi="Arial"/>
                <w:sz w:val="12"/>
                <w:szCs w:val="12"/>
                <w:color w:val="0000FF"/>
              </w:rPr>
            </w:pPr>
            <w:hyperlink r:id="rId256">
              <w:r>
                <w:rPr>
                  <w:rFonts w:ascii="Arial" w:cs="Arial" w:eastAsia="Arial" w:hAnsi="Arial"/>
                  <w:sz w:val="12"/>
                  <w:szCs w:val="12"/>
                  <w:color w:val="0000FF"/>
                </w:rPr>
                <w:t>partnership and Vantage Data Centers Holdings, LLC, a Delaware limited liability company (incorporated by reference to Exhibit 10.1 to the Company's Current Report on Form 8-K</w:t>
              </w:r>
            </w:hyperlink>
          </w:p>
        </w:tc>
        <w:tc>
          <w:tcPr>
            <w:tcW w:w="40" w:type="dxa"/>
            <w:vAlign w:val="bottom"/>
          </w:tcPr>
          <w:p>
            <w:pPr>
              <w:spacing w:after="0"/>
              <w:rPr>
                <w:sz w:val="10"/>
                <w:szCs w:val="10"/>
                <w:color w:val="auto"/>
              </w:rPr>
            </w:pPr>
          </w:p>
        </w:tc>
      </w:tr>
      <w:tr>
        <w:trPr>
          <w:trHeight w:val="135"/>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0000FF"/>
              <w:bottom w:val="single" w:sz="8" w:color="0000FF"/>
            </w:tcBorders>
            <w:shd w:val="clear" w:color="auto" w:fill="CCEEFF"/>
          </w:tcPr>
          <w:p>
            <w:pPr>
              <w:spacing w:after="0" w:line="121" w:lineRule="exact"/>
              <w:rPr>
                <w:rFonts w:ascii="Arial" w:cs="Arial" w:eastAsia="Arial" w:hAnsi="Arial"/>
                <w:sz w:val="12"/>
                <w:szCs w:val="12"/>
                <w:color w:val="0000FF"/>
              </w:rPr>
            </w:pPr>
            <w:hyperlink r:id="rId256">
              <w:r>
                <w:rPr>
                  <w:rFonts w:ascii="Arial" w:cs="Arial" w:eastAsia="Arial" w:hAnsi="Arial"/>
                  <w:sz w:val="12"/>
                  <w:szCs w:val="12"/>
                  <w:color w:val="0000FF"/>
                </w:rPr>
                <w:t>filed on July 13, 2020)</w:t>
              </w:r>
            </w:hyperlink>
          </w:p>
        </w:tc>
        <w:tc>
          <w:tcPr>
            <w:tcW w:w="8660" w:type="dxa"/>
            <w:vAlign w:val="bottom"/>
            <w:tcBorders>
              <w:top w:val="single" w:sz="8" w:color="0000FF"/>
              <w:bottom w:val="single" w:sz="8" w:color="CCEEFF"/>
            </w:tcBorders>
            <w:gridSpan w:val="20"/>
            <w:shd w:val="clear" w:color="auto" w:fill="CCEEFF"/>
          </w:tcPr>
          <w:p>
            <w:pPr>
              <w:spacing w:after="0"/>
              <w:rPr>
                <w:sz w:val="11"/>
                <w:szCs w:val="11"/>
                <w:color w:val="auto"/>
              </w:rPr>
            </w:pPr>
          </w:p>
        </w:tc>
        <w:tc>
          <w:tcPr>
            <w:tcW w:w="240" w:type="dxa"/>
            <w:vAlign w:val="bottom"/>
            <w:tcBorders>
              <w:top w:val="single" w:sz="8" w:color="CCEEFF"/>
              <w:bottom w:val="single" w:sz="8" w:color="CCEEFF"/>
              <w:right w:val="single" w:sz="8" w:color="CCEEFF"/>
            </w:tcBorders>
            <w:gridSpan w:val="6"/>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700" w:type="dxa"/>
            <w:vAlign w:val="bottom"/>
          </w:tcPr>
          <w:p>
            <w:pPr>
              <w:spacing w:after="0"/>
              <w:rPr>
                <w:sz w:val="20"/>
                <w:szCs w:val="20"/>
                <w:color w:val="auto"/>
              </w:rPr>
            </w:pPr>
            <w:r>
              <w:rPr>
                <w:rFonts w:ascii="Arial" w:cs="Arial" w:eastAsia="Arial" w:hAnsi="Arial"/>
                <w:sz w:val="12"/>
                <w:szCs w:val="12"/>
                <w:color w:val="auto"/>
              </w:rPr>
              <w:t>10.25</w:t>
            </w:r>
          </w:p>
        </w:tc>
        <w:tc>
          <w:tcPr>
            <w:tcW w:w="320" w:type="dxa"/>
            <w:vAlign w:val="bottom"/>
          </w:tcPr>
          <w:p>
            <w:pPr>
              <w:spacing w:after="0"/>
              <w:rPr>
                <w:sz w:val="13"/>
                <w:szCs w:val="13"/>
                <w:color w:val="auto"/>
              </w:rPr>
            </w:pPr>
          </w:p>
        </w:tc>
        <w:tc>
          <w:tcPr>
            <w:tcW w:w="10020" w:type="dxa"/>
            <w:vAlign w:val="bottom"/>
            <w:tcBorders>
              <w:bottom w:val="single" w:sz="8" w:color="0000FF"/>
            </w:tcBorders>
            <w:gridSpan w:val="24"/>
          </w:tcPr>
          <w:p>
            <w:pPr>
              <w:spacing w:after="0"/>
              <w:rPr>
                <w:rFonts w:ascii="Arial" w:cs="Arial" w:eastAsia="Arial" w:hAnsi="Arial"/>
                <w:sz w:val="12"/>
                <w:szCs w:val="12"/>
                <w:color w:val="0000FF"/>
              </w:rPr>
            </w:pPr>
            <w:hyperlink r:id="rId257">
              <w:r>
                <w:rPr>
                  <w:rFonts w:ascii="Arial" w:cs="Arial" w:eastAsia="Arial" w:hAnsi="Arial"/>
                  <w:sz w:val="12"/>
                  <w:szCs w:val="12"/>
                  <w:color w:val="0000FF"/>
                </w:rPr>
                <w:t>Investment Agreement, dated as of July 17, 2020, by and among W-Catalina (S) LLC, Colony Capital Operating Company, LLC, Colony Capital, Inc. (for the limited purposes set forth</w:t>
              </w:r>
            </w:hyperlink>
          </w:p>
        </w:tc>
        <w:tc>
          <w:tcPr>
            <w:tcW w:w="220" w:type="dxa"/>
            <w:vAlign w:val="bottom"/>
            <w:gridSpan w:val="5"/>
          </w:tcPr>
          <w:p>
            <w:pPr>
              <w:spacing w:after="0"/>
              <w:rPr>
                <w:sz w:val="13"/>
                <w:szCs w:val="13"/>
                <w:color w:val="auto"/>
              </w:rPr>
            </w:pPr>
          </w:p>
        </w:tc>
      </w:tr>
      <w:tr>
        <w:trPr>
          <w:trHeight w:val="120"/>
        </w:trPr>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920" w:type="dxa"/>
            <w:vAlign w:val="bottom"/>
            <w:tcBorders>
              <w:bottom w:val="single" w:sz="8" w:color="0000FF"/>
            </w:tcBorders>
            <w:gridSpan w:val="22"/>
          </w:tcPr>
          <w:p>
            <w:pPr>
              <w:spacing w:after="0" w:line="121" w:lineRule="exact"/>
              <w:rPr>
                <w:rFonts w:ascii="Arial" w:cs="Arial" w:eastAsia="Arial" w:hAnsi="Arial"/>
                <w:sz w:val="12"/>
                <w:szCs w:val="12"/>
                <w:color w:val="0000FF"/>
              </w:rPr>
            </w:pPr>
            <w:hyperlink r:id="rId257">
              <w:r>
                <w:rPr>
                  <w:rFonts w:ascii="Arial" w:cs="Arial" w:eastAsia="Arial" w:hAnsi="Arial"/>
                  <w:sz w:val="12"/>
                  <w:szCs w:val="12"/>
                  <w:color w:val="0000FF"/>
                </w:rPr>
                <w:t>therein) and the Initial Wafra Representative (as defined therein) (incorporated by reference to Exhibit 10.4 to the Company's Quarterly Report on Form 10-Q for the quarterly period</w:t>
              </w:r>
            </w:hyperlink>
          </w:p>
        </w:tc>
        <w:tc>
          <w:tcPr>
            <w:tcW w:w="240" w:type="dxa"/>
            <w:vAlign w:val="bottom"/>
            <w:gridSpan w:val="6"/>
          </w:tcPr>
          <w:p>
            <w:pPr>
              <w:spacing w:after="0"/>
              <w:rPr>
                <w:sz w:val="10"/>
                <w:szCs w:val="10"/>
                <w:color w:val="auto"/>
              </w:rPr>
            </w:pPr>
          </w:p>
        </w:tc>
      </w:tr>
      <w:tr>
        <w:trPr>
          <w:trHeight w:val="120"/>
        </w:trPr>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60" w:type="dxa"/>
            <w:vAlign w:val="bottom"/>
            <w:gridSpan w:val="28"/>
          </w:tcPr>
          <w:p>
            <w:pPr>
              <w:spacing w:after="0" w:line="121" w:lineRule="exact"/>
              <w:rPr>
                <w:rFonts w:ascii="Arial" w:cs="Arial" w:eastAsia="Arial" w:hAnsi="Arial"/>
                <w:sz w:val="12"/>
                <w:szCs w:val="12"/>
                <w:color w:val="0000FF"/>
              </w:rPr>
            </w:pPr>
            <w:hyperlink r:id="rId257">
              <w:r>
                <w:rPr>
                  <w:rFonts w:ascii="Arial" w:cs="Arial" w:eastAsia="Arial" w:hAnsi="Arial"/>
                  <w:sz w:val="12"/>
                  <w:szCs w:val="12"/>
                  <w:color w:val="0000FF"/>
                </w:rPr>
                <w:t>ended June 30, 2020) ***</w:t>
              </w:r>
            </w:hyperlink>
          </w:p>
        </w:tc>
      </w:tr>
      <w:tr>
        <w:trPr>
          <w:trHeight w:val="28"/>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10.26</w:t>
            </w:r>
          </w:p>
        </w:tc>
        <w:tc>
          <w:tcPr>
            <w:tcW w:w="320" w:type="dxa"/>
            <w:vAlign w:val="bottom"/>
            <w:tcBorders>
              <w:bottom w:val="single" w:sz="8" w:color="CCEEFF"/>
            </w:tcBorders>
            <w:shd w:val="clear" w:color="auto" w:fill="CCEEFF"/>
          </w:tcPr>
          <w:p>
            <w:pPr>
              <w:spacing w:after="0"/>
              <w:rPr>
                <w:sz w:val="13"/>
                <w:szCs w:val="13"/>
                <w:color w:val="auto"/>
              </w:rPr>
            </w:pPr>
          </w:p>
        </w:tc>
        <w:tc>
          <w:tcPr>
            <w:tcW w:w="10200" w:type="dxa"/>
            <w:vAlign w:val="bottom"/>
            <w:tcBorders>
              <w:bottom w:val="single" w:sz="8" w:color="0000FF"/>
              <w:right w:val="single" w:sz="8" w:color="CCEEFF"/>
            </w:tcBorders>
            <w:gridSpan w:val="28"/>
            <w:shd w:val="clear" w:color="auto" w:fill="CCEEFF"/>
          </w:tcPr>
          <w:p>
            <w:pPr>
              <w:spacing w:after="0"/>
              <w:rPr>
                <w:rFonts w:ascii="Arial" w:cs="Arial" w:eastAsia="Arial" w:hAnsi="Arial"/>
                <w:sz w:val="12"/>
                <w:szCs w:val="12"/>
                <w:color w:val="0000FF"/>
              </w:rPr>
            </w:pPr>
            <w:hyperlink r:id="rId258">
              <w:r>
                <w:rPr>
                  <w:rFonts w:ascii="Arial" w:cs="Arial" w:eastAsia="Arial" w:hAnsi="Arial"/>
                  <w:sz w:val="12"/>
                  <w:szCs w:val="12"/>
                  <w:color w:val="0000FF"/>
                </w:rPr>
                <w:t>Carry Investment Agreement, dated as of July 17, 2020, by and among W-Catalina (C) LLC, Colony Capital Operating Company, LLC, Colony DCP (CI) Bermuda, LP, a Bermuda limited</w:t>
              </w:r>
            </w:hyperlink>
          </w:p>
        </w:tc>
        <w:tc>
          <w:tcPr>
            <w:tcW w:w="40" w:type="dxa"/>
            <w:vAlign w:val="bottom"/>
          </w:tcPr>
          <w:p>
            <w:pPr>
              <w:spacing w:after="0"/>
              <w:rPr>
                <w:sz w:val="13"/>
                <w:szCs w:val="13"/>
                <w:color w:val="auto"/>
              </w:rPr>
            </w:pPr>
          </w:p>
        </w:tc>
      </w:tr>
      <w:tr>
        <w:trPr>
          <w:trHeight w:val="135"/>
        </w:trPr>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120" w:type="dxa"/>
            <w:vAlign w:val="bottom"/>
            <w:tcBorders>
              <w:right w:val="single" w:sz="8" w:color="CCEEFF"/>
            </w:tcBorders>
            <w:gridSpan w:val="27"/>
            <w:shd w:val="clear" w:color="auto" w:fill="CCEEFF"/>
          </w:tcPr>
          <w:p>
            <w:pPr>
              <w:spacing w:after="0" w:line="121" w:lineRule="exact"/>
              <w:rPr>
                <w:rFonts w:ascii="Arial" w:cs="Arial" w:eastAsia="Arial" w:hAnsi="Arial"/>
                <w:sz w:val="12"/>
                <w:szCs w:val="12"/>
                <w:color w:val="0000FF"/>
              </w:rPr>
            </w:pPr>
            <w:hyperlink r:id="rId258">
              <w:r>
                <w:rPr>
                  <w:rFonts w:ascii="Arial" w:cs="Arial" w:eastAsia="Arial" w:hAnsi="Arial"/>
                  <w:sz w:val="12"/>
                  <w:szCs w:val="12"/>
                  <w:color w:val="0000FF"/>
                </w:rPr>
                <w:t>partnership, Colony DCP (CI) GP, LLC (incorporated by reference to Exhibit 10.2 to the Company's Current Report on Form 8-K filed on July 23, 2020) ***</w:t>
              </w:r>
            </w:hyperlink>
          </w:p>
        </w:tc>
        <w:tc>
          <w:tcPr>
            <w:tcW w:w="40" w:type="dxa"/>
            <w:vAlign w:val="bottom"/>
          </w:tcPr>
          <w:p>
            <w:pPr>
              <w:spacing w:after="0"/>
              <w:rPr>
                <w:sz w:val="11"/>
                <w:szCs w:val="11"/>
                <w:color w:val="auto"/>
              </w:rPr>
            </w:pPr>
          </w:p>
        </w:tc>
      </w:tr>
      <w:tr>
        <w:trPr>
          <w:trHeight w:val="880"/>
        </w:trPr>
        <w:tc>
          <w:tcPr>
            <w:tcW w:w="7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2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560" w:type="dxa"/>
            <w:vAlign w:val="bottom"/>
            <w:tcBorders>
              <w:top w:val="single" w:sz="8" w:color="0000FF"/>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181" w:name="page182"/>
    <w:bookmarkEnd w:id="1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8674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10.27</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10.28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48208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6482080" cy="7620"/>
                    </a:xfrm>
                    <a:prstGeom prst="rect">
                      <a:avLst/>
                    </a:prstGeom>
                    <a:noFill/>
                  </pic:spPr>
                </pic:pic>
              </a:graphicData>
            </a:graphic>
          </wp:anchor>
        </w:drawing>
      </w:r>
    </w:p>
    <w:p>
      <w:pPr>
        <w:spacing w:after="0" w:line="78" w:lineRule="exact"/>
        <w:rPr>
          <w:sz w:val="20"/>
          <w:szCs w:val="20"/>
          <w:color w:val="auto"/>
        </w:rPr>
      </w:pPr>
    </w:p>
    <w:p>
      <w:pPr>
        <w:ind w:left="80" w:right="360" w:hanging="69"/>
        <w:spacing w:after="0" w:line="262" w:lineRule="auto"/>
        <w:rPr>
          <w:rFonts w:ascii="Arial" w:cs="Arial" w:eastAsia="Arial" w:hAnsi="Arial"/>
          <w:sz w:val="12"/>
          <w:szCs w:val="12"/>
          <w:u w:val="single" w:color="auto"/>
          <w:color w:val="0000FF"/>
        </w:rPr>
      </w:pPr>
      <w:hyperlink r:id="rId263">
        <w:r>
          <w:rPr>
            <w:rFonts w:ascii="Arial" w:cs="Arial" w:eastAsia="Arial" w:hAnsi="Arial"/>
            <w:sz w:val="12"/>
            <w:szCs w:val="12"/>
            <w:u w:val="single" w:color="auto"/>
            <w:color w:val="0000FF"/>
          </w:rPr>
          <w:t>Investor Rights Agreement, dated as of July 17, 2020, by and among Colony Capital, Inc., Colony Capital Operating Company, LLC, Colony Capital Digital Holdco, LLC, Colony DC</w:t>
        </w:r>
      </w:hyperlink>
      <w:r>
        <w:rPr>
          <w:rFonts w:ascii="Arial" w:cs="Arial" w:eastAsia="Arial" w:hAnsi="Arial"/>
          <w:sz w:val="12"/>
          <w:szCs w:val="12"/>
          <w:u w:val="single" w:color="auto"/>
          <w:color w:val="0000FF"/>
        </w:rPr>
        <w:t xml:space="preserve"> </w:t>
      </w:r>
      <w:hyperlink r:id="rId263">
        <w:r>
          <w:rPr>
            <w:rFonts w:ascii="Arial" w:cs="Arial" w:eastAsia="Arial" w:hAnsi="Arial"/>
            <w:sz w:val="12"/>
            <w:szCs w:val="12"/>
            <w:u w:val="single" w:color="auto"/>
            <w:color w:val="0000FF"/>
          </w:rPr>
          <w:t>Manager, LLC and W-Catalina (S) LLC (incorporated by reference to Exhibit 10.3 to the Company's Current Report on Form 8-K filed on July 23, 2020)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0</wp:posOffset>
            </wp:positionV>
            <wp:extent cx="7128510" cy="297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128510" cy="297180"/>
                    </a:xfrm>
                    <a:prstGeom prst="rect">
                      <a:avLst/>
                    </a:prstGeom>
                    <a:noFill/>
                  </pic:spPr>
                </pic:pic>
              </a:graphicData>
            </a:graphic>
          </wp:anchor>
        </w:drawing>
      </w:r>
    </w:p>
    <w:p>
      <w:pPr>
        <w:spacing w:after="0" w:line="6" w:lineRule="exact"/>
        <w:rPr>
          <w:sz w:val="20"/>
          <w:szCs w:val="20"/>
          <w:color w:val="auto"/>
        </w:rPr>
      </w:pPr>
    </w:p>
    <w:p>
      <w:pPr>
        <w:ind w:left="80" w:right="80" w:hanging="69"/>
        <w:spacing w:after="0" w:line="244" w:lineRule="auto"/>
        <w:rPr>
          <w:rFonts w:ascii="Arial" w:cs="Arial" w:eastAsia="Arial" w:hAnsi="Arial"/>
          <w:sz w:val="12"/>
          <w:szCs w:val="12"/>
          <w:u w:val="single" w:color="auto"/>
          <w:color w:val="0000FF"/>
        </w:rPr>
      </w:pPr>
      <w:hyperlink r:id="rId265">
        <w:r>
          <w:rPr>
            <w:rFonts w:ascii="Arial" w:cs="Arial" w:eastAsia="Arial" w:hAnsi="Arial"/>
            <w:sz w:val="12"/>
            <w:szCs w:val="12"/>
            <w:u w:val="single" w:color="auto"/>
            <w:color w:val="0000FF"/>
          </w:rPr>
          <w:t>Carried Interest Participation Agreement, dated as of July 17, 2020, by and among Colony DCP (CI) Bermuda, LP, Colony DCP (CI) GP, LLC, Colony Capital, Inc., Colony Capital</w:t>
        </w:r>
      </w:hyperlink>
      <w:r>
        <w:rPr>
          <w:rFonts w:ascii="Arial" w:cs="Arial" w:eastAsia="Arial" w:hAnsi="Arial"/>
          <w:sz w:val="12"/>
          <w:szCs w:val="12"/>
          <w:u w:val="single" w:color="auto"/>
          <w:color w:val="0000FF"/>
        </w:rPr>
        <w:t xml:space="preserve"> </w:t>
      </w:r>
      <w:hyperlink r:id="rId265">
        <w:r>
          <w:rPr>
            <w:rFonts w:ascii="Arial" w:cs="Arial" w:eastAsia="Arial" w:hAnsi="Arial"/>
            <w:sz w:val="12"/>
            <w:szCs w:val="12"/>
            <w:u w:val="single" w:color="auto"/>
            <w:color w:val="0000FF"/>
          </w:rPr>
          <w:t>Operating Company, LLC, W-Catalina (S) LLC and W-Catalina (C) LLC (incorporated by reference to Exhibit 10.4 to the Company's Current Report on Form 8-K filed on July 23, 2020)</w:t>
        </w:r>
      </w:hyperlink>
    </w:p>
    <w:p>
      <w:pPr>
        <w:ind w:left="80"/>
        <w:spacing w:after="0"/>
        <w:rPr>
          <w:rFonts w:ascii="Arial" w:cs="Arial" w:eastAsia="Arial" w:hAnsi="Arial"/>
          <w:sz w:val="12"/>
          <w:szCs w:val="12"/>
          <w:u w:val="single" w:color="auto"/>
          <w:color w:val="0000FF"/>
        </w:rPr>
      </w:pPr>
      <w:hyperlink r:id="rId265">
        <w:r>
          <w:rPr>
            <w:rFonts w:ascii="Arial" w:cs="Arial" w:eastAsia="Arial" w:hAnsi="Arial"/>
            <w:sz w:val="12"/>
            <w:szCs w:val="12"/>
            <w:u w:val="single" w:color="auto"/>
            <w:color w:val="0000FF"/>
          </w:rPr>
          <w:t>***</w:t>
        </w:r>
      </w:hyperlink>
    </w:p>
    <w:p>
      <w:pPr>
        <w:spacing w:after="0" w:line="36" w:lineRule="exact"/>
        <w:rPr>
          <w:sz w:val="20"/>
          <w:szCs w:val="20"/>
          <w:color w:val="auto"/>
        </w:rPr>
      </w:pPr>
    </w:p>
    <w:p>
      <w:pPr>
        <w:sectPr>
          <w:pgSz w:w="11900" w:h="16838" w:orient="portrait"/>
          <w:cols w:equalWidth="0" w:num="2">
            <w:col w:w="480" w:space="540"/>
            <w:col w:w="10240"/>
          </w:cols>
          <w:pgMar w:left="320" w:top="140" w:right="3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Arial" w:cs="Arial" w:eastAsia="Arial" w:hAnsi="Arial"/>
                <w:sz w:val="12"/>
                <w:szCs w:val="12"/>
                <w:color w:val="auto"/>
              </w:rPr>
              <w:t>10.29†</w:t>
            </w:r>
          </w:p>
        </w:tc>
        <w:tc>
          <w:tcPr>
            <w:tcW w:w="220" w:type="dxa"/>
            <w:vAlign w:val="bottom"/>
          </w:tcPr>
          <w:p>
            <w:pPr>
              <w:spacing w:after="0"/>
              <w:rPr>
                <w:sz w:val="12"/>
                <w:szCs w:val="12"/>
                <w:color w:val="auto"/>
              </w:rPr>
            </w:pPr>
          </w:p>
        </w:tc>
        <w:tc>
          <w:tcPr>
            <w:tcW w:w="10240" w:type="dxa"/>
            <w:vAlign w:val="bottom"/>
            <w:gridSpan w:val="38"/>
          </w:tcPr>
          <w:p>
            <w:pPr>
              <w:spacing w:after="0"/>
              <w:rPr>
                <w:rFonts w:ascii="Arial" w:cs="Arial" w:eastAsia="Arial" w:hAnsi="Arial"/>
                <w:sz w:val="12"/>
                <w:szCs w:val="12"/>
                <w:color w:val="0000FF"/>
              </w:rPr>
            </w:pPr>
            <w:hyperlink r:id="rId266">
              <w:r>
                <w:rPr>
                  <w:rFonts w:ascii="Arial" w:cs="Arial" w:eastAsia="Arial" w:hAnsi="Arial"/>
                  <w:sz w:val="12"/>
                  <w:szCs w:val="12"/>
                  <w:color w:val="0000FF"/>
                </w:rPr>
                <w:t>Amended and Restated Restrictive Covenant Agreement, dated as of July 17, 2020, by and between Colony Capital, Inc. and Marc Ganzi (incorporated by reference to Exhibit 10.5 to</w:t>
              </w:r>
            </w:hyperlink>
          </w:p>
        </w:tc>
      </w:tr>
      <w:tr>
        <w:trPr>
          <w:trHeight w:val="120"/>
        </w:trPr>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960" w:type="dxa"/>
            <w:vAlign w:val="bottom"/>
            <w:tcBorders>
              <w:top w:val="single" w:sz="8" w:color="0000FF"/>
            </w:tcBorders>
            <w:gridSpan w:val="32"/>
          </w:tcPr>
          <w:p>
            <w:pPr>
              <w:spacing w:after="0" w:line="121" w:lineRule="exact"/>
              <w:rPr>
                <w:rFonts w:ascii="Arial" w:cs="Arial" w:eastAsia="Arial" w:hAnsi="Arial"/>
                <w:sz w:val="12"/>
                <w:szCs w:val="12"/>
                <w:color w:val="0000FF"/>
              </w:rPr>
            </w:pPr>
            <w:hyperlink r:id="rId266">
              <w:r>
                <w:rPr>
                  <w:rFonts w:ascii="Arial" w:cs="Arial" w:eastAsia="Arial" w:hAnsi="Arial"/>
                  <w:sz w:val="12"/>
                  <w:szCs w:val="12"/>
                  <w:color w:val="0000FF"/>
                </w:rPr>
                <w:t>the Company's Current Report on Form 8-K filed on July 23, 2020)</w:t>
              </w:r>
            </w:hyperlink>
          </w:p>
        </w:tc>
        <w:tc>
          <w:tcPr>
            <w:tcW w:w="200" w:type="dxa"/>
            <w:vAlign w:val="bottom"/>
            <w:gridSpan w:val="5"/>
          </w:tcPr>
          <w:p>
            <w:pPr>
              <w:spacing w:after="0"/>
              <w:rPr>
                <w:sz w:val="10"/>
                <w:szCs w:val="10"/>
                <w:color w:val="auto"/>
              </w:rPr>
            </w:pPr>
          </w:p>
        </w:tc>
      </w:tr>
      <w:tr>
        <w:trPr>
          <w:trHeight w:val="28"/>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10.30†</w:t>
            </w:r>
          </w:p>
        </w:tc>
        <w:tc>
          <w:tcPr>
            <w:tcW w:w="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FF"/>
            </w:tcBorders>
            <w:gridSpan w:val="32"/>
            <w:shd w:val="clear" w:color="auto" w:fill="CCEEFF"/>
          </w:tcPr>
          <w:p>
            <w:pPr>
              <w:spacing w:after="0"/>
              <w:rPr>
                <w:rFonts w:ascii="Arial" w:cs="Arial" w:eastAsia="Arial" w:hAnsi="Arial"/>
                <w:sz w:val="12"/>
                <w:szCs w:val="12"/>
                <w:color w:val="0000FF"/>
              </w:rPr>
            </w:pPr>
            <w:hyperlink r:id="rId267">
              <w:r>
                <w:rPr>
                  <w:rFonts w:ascii="Arial" w:cs="Arial" w:eastAsia="Arial" w:hAnsi="Arial"/>
                  <w:sz w:val="12"/>
                  <w:szCs w:val="12"/>
                  <w:color w:val="0000FF"/>
                </w:rPr>
                <w:t>Acknowledgment Letter, dated as of July 17, 2020, by and among Marc Ganzi, W-Catalina (S) LLC, W-Catalina (C) LLC and Colony Capital, Inc. (incorporated by reference to Exhibit</w:t>
              </w:r>
            </w:hyperlink>
          </w:p>
        </w:tc>
        <w:tc>
          <w:tcPr>
            <w:tcW w:w="180" w:type="dxa"/>
            <w:vAlign w:val="bottom"/>
            <w:tcBorders>
              <w:bottom w:val="single" w:sz="8" w:color="CCEEFF"/>
              <w:right w:val="single" w:sz="8" w:color="CCEEFF"/>
            </w:tcBorders>
            <w:gridSpan w:val="5"/>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80" w:type="dxa"/>
            <w:vAlign w:val="bottom"/>
            <w:tcBorders>
              <w:bottom w:val="single" w:sz="8" w:color="0000FF"/>
            </w:tcBorders>
            <w:gridSpan w:val="10"/>
            <w:shd w:val="clear" w:color="auto" w:fill="CCEEFF"/>
          </w:tcPr>
          <w:p>
            <w:pPr>
              <w:spacing w:after="0" w:line="121" w:lineRule="exact"/>
              <w:rPr>
                <w:rFonts w:ascii="Arial" w:cs="Arial" w:eastAsia="Arial" w:hAnsi="Arial"/>
                <w:sz w:val="12"/>
                <w:szCs w:val="12"/>
                <w:color w:val="0000FF"/>
              </w:rPr>
            </w:pPr>
            <w:hyperlink r:id="rId267">
              <w:r>
                <w:rPr>
                  <w:rFonts w:ascii="Arial" w:cs="Arial" w:eastAsia="Arial" w:hAnsi="Arial"/>
                  <w:sz w:val="12"/>
                  <w:szCs w:val="12"/>
                  <w:color w:val="0000FF"/>
                </w:rPr>
                <w:t>10.</w:t>
              </w:r>
              <w:r>
                <w:rPr>
                  <w:rFonts w:ascii="Arial" w:cs="Arial" w:eastAsia="Arial" w:hAnsi="Arial"/>
                  <w:sz w:val="12"/>
                  <w:szCs w:val="12"/>
                  <w:u w:val="single" w:color="auto"/>
                  <w:color w:val="0000FF"/>
                </w:rPr>
                <w:t>6</w:t>
              </w:r>
              <w:r>
                <w:rPr>
                  <w:rFonts w:ascii="Arial" w:cs="Arial" w:eastAsia="Arial" w:hAnsi="Arial"/>
                  <w:sz w:val="12"/>
                  <w:szCs w:val="12"/>
                  <w:color w:val="0000FF"/>
                </w:rPr>
                <w:t xml:space="preserve"> to the Company's Current Report on Form 8-K filed on July 23, 2020)</w:t>
              </w:r>
            </w:hyperlink>
          </w:p>
        </w:tc>
        <w:tc>
          <w:tcPr>
            <w:tcW w:w="6040" w:type="dxa"/>
            <w:vAlign w:val="bottom"/>
            <w:tcBorders>
              <w:bottom w:val="single" w:sz="8" w:color="CCEEFF"/>
              <w:right w:val="single" w:sz="8" w:color="CCEEFF"/>
            </w:tcBorders>
            <w:gridSpan w:val="26"/>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10.31</w:t>
            </w:r>
          </w:p>
        </w:tc>
        <w:tc>
          <w:tcPr>
            <w:tcW w:w="220" w:type="dxa"/>
            <w:vAlign w:val="bottom"/>
          </w:tcPr>
          <w:p>
            <w:pPr>
              <w:spacing w:after="0"/>
              <w:rPr>
                <w:sz w:val="13"/>
                <w:szCs w:val="13"/>
                <w:color w:val="auto"/>
              </w:rPr>
            </w:pPr>
          </w:p>
        </w:tc>
        <w:tc>
          <w:tcPr>
            <w:tcW w:w="10120" w:type="dxa"/>
            <w:vAlign w:val="bottom"/>
            <w:tcBorders>
              <w:bottom w:val="single" w:sz="8" w:color="0000FF"/>
            </w:tcBorders>
            <w:gridSpan w:val="35"/>
          </w:tcPr>
          <w:p>
            <w:pPr>
              <w:spacing w:after="0"/>
              <w:rPr>
                <w:rFonts w:ascii="Arial" w:cs="Arial" w:eastAsia="Arial" w:hAnsi="Arial"/>
                <w:sz w:val="12"/>
                <w:szCs w:val="12"/>
                <w:color w:val="0000FF"/>
              </w:rPr>
            </w:pPr>
            <w:hyperlink r:id="rId268">
              <w:r>
                <w:rPr>
                  <w:rFonts w:ascii="Arial" w:cs="Arial" w:eastAsia="Arial" w:hAnsi="Arial"/>
                  <w:sz w:val="12"/>
                  <w:szCs w:val="12"/>
                  <w:color w:val="0000FF"/>
                </w:rPr>
                <w:t>Joinder and Amendment to Letter Agreement, dated as of July 22, 2020, by and among Digital Bridge Holdings, LLC, CC Valhalla Investor, LLC, Marc Ganzi, Benjamin Jenkins and the</w:t>
              </w:r>
            </w:hyperlink>
          </w:p>
        </w:tc>
        <w:tc>
          <w:tcPr>
            <w:tcW w:w="120" w:type="dxa"/>
            <w:vAlign w:val="bottom"/>
            <w:gridSpan w:val="3"/>
          </w:tcPr>
          <w:p>
            <w:pPr>
              <w:spacing w:after="0"/>
              <w:rPr>
                <w:sz w:val="13"/>
                <w:szCs w:val="13"/>
                <w:color w:val="auto"/>
              </w:rPr>
            </w:pPr>
          </w:p>
        </w:tc>
      </w:tr>
      <w:tr>
        <w:trPr>
          <w:trHeight w:val="128"/>
        </w:trPr>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20" w:type="dxa"/>
            <w:vAlign w:val="bottom"/>
            <w:tcBorders>
              <w:bottom w:val="single" w:sz="8" w:color="0000FF"/>
            </w:tcBorders>
            <w:gridSpan w:val="21"/>
          </w:tcPr>
          <w:p>
            <w:pPr>
              <w:spacing w:after="0" w:line="121" w:lineRule="exact"/>
              <w:rPr>
                <w:rFonts w:ascii="Arial" w:cs="Arial" w:eastAsia="Arial" w:hAnsi="Arial"/>
                <w:sz w:val="12"/>
                <w:szCs w:val="12"/>
                <w:color w:val="0000FF"/>
              </w:rPr>
            </w:pPr>
            <w:hyperlink r:id="rId268">
              <w:r>
                <w:rPr>
                  <w:rFonts w:ascii="Arial" w:cs="Arial" w:eastAsia="Arial" w:hAnsi="Arial"/>
                  <w:sz w:val="12"/>
                  <w:szCs w:val="12"/>
                  <w:color w:val="0000FF"/>
                </w:rPr>
                <w:t>other parties named therein (incorporated by reference to Exhibit 10.11 to the Company's Quarterly Report on Form 10-Q for the quarterly period ended June 30, 2020)</w:t>
              </w:r>
            </w:hyperlink>
          </w:p>
        </w:tc>
        <w:tc>
          <w:tcPr>
            <w:tcW w:w="940" w:type="dxa"/>
            <w:vAlign w:val="bottom"/>
            <w:gridSpan w:val="16"/>
          </w:tcPr>
          <w:p>
            <w:pPr>
              <w:spacing w:after="0"/>
              <w:rPr>
                <w:sz w:val="11"/>
                <w:szCs w:val="11"/>
                <w:color w:val="auto"/>
              </w:rPr>
            </w:pPr>
          </w:p>
        </w:tc>
      </w:tr>
      <w:tr>
        <w:trPr>
          <w:trHeight w:val="160"/>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10.32</w:t>
            </w:r>
          </w:p>
        </w:tc>
        <w:tc>
          <w:tcPr>
            <w:tcW w:w="220" w:type="dxa"/>
            <w:vAlign w:val="bottom"/>
            <w:shd w:val="clear" w:color="auto" w:fill="CCEEFF"/>
          </w:tcPr>
          <w:p>
            <w:pPr>
              <w:spacing w:after="0"/>
              <w:rPr>
                <w:sz w:val="13"/>
                <w:szCs w:val="13"/>
                <w:color w:val="auto"/>
              </w:rPr>
            </w:pPr>
          </w:p>
        </w:tc>
        <w:tc>
          <w:tcPr>
            <w:tcW w:w="10200" w:type="dxa"/>
            <w:vAlign w:val="bottom"/>
            <w:tcBorders>
              <w:right w:val="single" w:sz="8" w:color="CCEEFF"/>
            </w:tcBorders>
            <w:gridSpan w:val="37"/>
            <w:shd w:val="clear" w:color="auto" w:fill="CCEEFF"/>
          </w:tcPr>
          <w:p>
            <w:pPr>
              <w:spacing w:after="0"/>
              <w:rPr>
                <w:rFonts w:ascii="Arial" w:cs="Arial" w:eastAsia="Arial" w:hAnsi="Arial"/>
                <w:sz w:val="12"/>
                <w:szCs w:val="12"/>
                <w:color w:val="0000FF"/>
              </w:rPr>
            </w:pPr>
            <w:hyperlink r:id="rId269">
              <w:r>
                <w:rPr>
                  <w:rFonts w:ascii="Arial" w:cs="Arial" w:eastAsia="Arial" w:hAnsi="Arial"/>
                  <w:sz w:val="12"/>
                  <w:szCs w:val="12"/>
                  <w:color w:val="0000FF"/>
                </w:rPr>
                <w:t>Assignment and Contribution Agreement, dated as of July 22, 2020, by and among Marc Ganzi, Benjamin Jenkins, MCG Analog, LLC, the Ganzi Extended Family Trust, BJJ Analog,</w:t>
              </w:r>
            </w:hyperlink>
          </w:p>
        </w:tc>
        <w:tc>
          <w:tcPr>
            <w:tcW w:w="40" w:type="dxa"/>
            <w:vAlign w:val="bottom"/>
          </w:tcPr>
          <w:p>
            <w:pPr>
              <w:spacing w:after="0"/>
              <w:rPr>
                <w:sz w:val="13"/>
                <w:szCs w:val="13"/>
                <w:color w:val="auto"/>
              </w:rPr>
            </w:pPr>
          </w:p>
        </w:tc>
      </w:tr>
      <w:tr>
        <w:trPr>
          <w:trHeight w:val="120"/>
        </w:trPr>
        <w:tc>
          <w:tcPr>
            <w:tcW w:w="8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900" w:type="dxa"/>
            <w:vAlign w:val="bottom"/>
            <w:tcBorders>
              <w:top w:val="single" w:sz="8" w:color="0000FF"/>
            </w:tcBorders>
            <w:gridSpan w:val="29"/>
            <w:shd w:val="clear" w:color="auto" w:fill="CCEEFF"/>
          </w:tcPr>
          <w:p>
            <w:pPr>
              <w:spacing w:after="0" w:line="121" w:lineRule="exact"/>
              <w:rPr>
                <w:rFonts w:ascii="Arial" w:cs="Arial" w:eastAsia="Arial" w:hAnsi="Arial"/>
                <w:sz w:val="12"/>
                <w:szCs w:val="12"/>
                <w:color w:val="0000FF"/>
              </w:rPr>
            </w:pPr>
            <w:hyperlink r:id="rId269">
              <w:r>
                <w:rPr>
                  <w:rFonts w:ascii="Arial" w:cs="Arial" w:eastAsia="Arial" w:hAnsi="Arial"/>
                  <w:sz w:val="12"/>
                  <w:szCs w:val="12"/>
                  <w:color w:val="0000FF"/>
                </w:rPr>
                <w:t>LLC, DB Aviator Manager Rollover Holdings, L.P., DCR YieldCo Holdings, LP and DCR and Aviator Holdings GP, LLC (incorporated by reference to Exhibit 10.12 to the Company's</w:t>
              </w:r>
            </w:hyperlink>
          </w:p>
        </w:tc>
        <w:tc>
          <w:tcPr>
            <w:tcW w:w="220" w:type="dxa"/>
            <w:vAlign w:val="bottom"/>
            <w:tcBorders>
              <w:top w:val="single" w:sz="8" w:color="CCEEFF"/>
              <w:right w:val="single" w:sz="8" w:color="CCEEFF"/>
            </w:tcBorders>
            <w:gridSpan w:val="7"/>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8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60" w:type="dxa"/>
            <w:vAlign w:val="bottom"/>
            <w:tcBorders>
              <w:top w:val="single" w:sz="8" w:color="0000FF"/>
            </w:tcBorders>
            <w:gridSpan w:val="27"/>
            <w:shd w:val="clear" w:color="auto" w:fill="CCEEFF"/>
          </w:tcPr>
          <w:p>
            <w:pPr>
              <w:spacing w:after="0" w:line="121" w:lineRule="exact"/>
              <w:rPr>
                <w:rFonts w:ascii="Arial" w:cs="Arial" w:eastAsia="Arial" w:hAnsi="Arial"/>
                <w:sz w:val="12"/>
                <w:szCs w:val="12"/>
                <w:color w:val="0000FF"/>
              </w:rPr>
            </w:pPr>
            <w:hyperlink r:id="rId269">
              <w:r>
                <w:rPr>
                  <w:rFonts w:ascii="Arial" w:cs="Arial" w:eastAsia="Arial" w:hAnsi="Arial"/>
                  <w:sz w:val="12"/>
                  <w:szCs w:val="12"/>
                  <w:color w:val="0000FF"/>
                </w:rPr>
                <w:t>Quarterly Report on Form 10-Q for the quarterly period ended June 30, 2020)</w:t>
              </w:r>
            </w:hyperlink>
          </w:p>
        </w:tc>
        <w:tc>
          <w:tcPr>
            <w:tcW w:w="260" w:type="dxa"/>
            <w:vAlign w:val="bottom"/>
            <w:tcBorders>
              <w:top w:val="single" w:sz="8" w:color="CCEEFF"/>
              <w:right w:val="single" w:sz="8" w:color="CCEEFF"/>
            </w:tcBorders>
            <w:gridSpan w:val="9"/>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35"/>
        </w:trPr>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10.33</w:t>
            </w:r>
          </w:p>
        </w:tc>
        <w:tc>
          <w:tcPr>
            <w:tcW w:w="220" w:type="dxa"/>
            <w:vAlign w:val="bottom"/>
          </w:tcPr>
          <w:p>
            <w:pPr>
              <w:spacing w:after="0"/>
              <w:rPr>
                <w:sz w:val="13"/>
                <w:szCs w:val="13"/>
                <w:color w:val="auto"/>
              </w:rPr>
            </w:pPr>
          </w:p>
        </w:tc>
        <w:tc>
          <w:tcPr>
            <w:tcW w:w="9800" w:type="dxa"/>
            <w:vAlign w:val="bottom"/>
            <w:tcBorders>
              <w:bottom w:val="single" w:sz="8" w:color="0000FF"/>
            </w:tcBorders>
            <w:gridSpan w:val="26"/>
          </w:tcPr>
          <w:p>
            <w:pPr>
              <w:spacing w:after="0"/>
              <w:rPr>
                <w:rFonts w:ascii="Arial" w:cs="Arial" w:eastAsia="Arial" w:hAnsi="Arial"/>
                <w:sz w:val="12"/>
                <w:szCs w:val="12"/>
                <w:color w:val="0000FF"/>
              </w:rPr>
            </w:pPr>
            <w:hyperlink r:id="rId270">
              <w:r>
                <w:rPr>
                  <w:rFonts w:ascii="Arial" w:cs="Arial" w:eastAsia="Arial" w:hAnsi="Arial"/>
                  <w:sz w:val="12"/>
                  <w:szCs w:val="12"/>
                  <w:color w:val="0000FF"/>
                </w:rPr>
                <w:t>Amended and Restated Partnership Agreement of DB Aviator Manager Rollover Holdings, L.P., dated as of July 22, 2020, by and among Colony Valhalla GP, LLC, Colony Capital</w:t>
              </w:r>
            </w:hyperlink>
          </w:p>
        </w:tc>
        <w:tc>
          <w:tcPr>
            <w:tcW w:w="440" w:type="dxa"/>
            <w:vAlign w:val="bottom"/>
            <w:gridSpan w:val="12"/>
          </w:tcPr>
          <w:p>
            <w:pPr>
              <w:spacing w:after="0"/>
              <w:rPr>
                <w:sz w:val="13"/>
                <w:szCs w:val="13"/>
                <w:color w:val="auto"/>
              </w:rPr>
            </w:pPr>
          </w:p>
        </w:tc>
      </w:tr>
      <w:tr>
        <w:trPr>
          <w:trHeight w:val="120"/>
        </w:trPr>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740" w:type="dxa"/>
            <w:vAlign w:val="bottom"/>
            <w:tcBorders>
              <w:bottom w:val="single" w:sz="8" w:color="0000FF"/>
            </w:tcBorders>
            <w:gridSpan w:val="26"/>
          </w:tcPr>
          <w:p>
            <w:pPr>
              <w:spacing w:after="0" w:line="121" w:lineRule="exact"/>
              <w:rPr>
                <w:rFonts w:ascii="Arial" w:cs="Arial" w:eastAsia="Arial" w:hAnsi="Arial"/>
                <w:sz w:val="12"/>
                <w:szCs w:val="12"/>
                <w:color w:val="0000FF"/>
              </w:rPr>
            </w:pPr>
            <w:hyperlink r:id="rId270">
              <w:r>
                <w:rPr>
                  <w:rFonts w:ascii="Arial" w:cs="Arial" w:eastAsia="Arial" w:hAnsi="Arial"/>
                  <w:sz w:val="12"/>
                  <w:szCs w:val="12"/>
                  <w:color w:val="0000FF"/>
                </w:rPr>
                <w:t>Acquisitions, LLC, MCG Analog, LLC, Ganzi Extended Family Trust, BJJ Analog, LLC and Valhalla Management Holdings, LLC (incorporated by reference to Exhibit 10.13 to the</w:t>
              </w:r>
            </w:hyperlink>
          </w:p>
        </w:tc>
        <w:tc>
          <w:tcPr>
            <w:tcW w:w="420" w:type="dxa"/>
            <w:vAlign w:val="bottom"/>
            <w:gridSpan w:val="11"/>
          </w:tcPr>
          <w:p>
            <w:pPr>
              <w:spacing w:after="0"/>
              <w:rPr>
                <w:sz w:val="10"/>
                <w:szCs w:val="10"/>
                <w:color w:val="auto"/>
              </w:rPr>
            </w:pPr>
          </w:p>
        </w:tc>
      </w:tr>
      <w:tr>
        <w:trPr>
          <w:trHeight w:val="128"/>
        </w:trPr>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920" w:type="dxa"/>
            <w:vAlign w:val="bottom"/>
            <w:tcBorders>
              <w:bottom w:val="single" w:sz="8" w:color="0000FF"/>
            </w:tcBorders>
            <w:gridSpan w:val="12"/>
          </w:tcPr>
          <w:p>
            <w:pPr>
              <w:spacing w:after="0" w:line="121" w:lineRule="exact"/>
              <w:rPr>
                <w:rFonts w:ascii="Arial" w:cs="Arial" w:eastAsia="Arial" w:hAnsi="Arial"/>
                <w:sz w:val="12"/>
                <w:szCs w:val="12"/>
                <w:color w:val="0000FF"/>
              </w:rPr>
            </w:pPr>
            <w:hyperlink r:id="rId270">
              <w:r>
                <w:rPr>
                  <w:rFonts w:ascii="Arial" w:cs="Arial" w:eastAsia="Arial" w:hAnsi="Arial"/>
                  <w:sz w:val="12"/>
                  <w:szCs w:val="12"/>
                  <w:color w:val="0000FF"/>
                </w:rPr>
                <w:t>Company's Quarterly Report on Form 10-Q for the quarterly period ended June 30, 2020)</w:t>
              </w:r>
            </w:hyperlink>
          </w:p>
        </w:tc>
        <w:tc>
          <w:tcPr>
            <w:tcW w:w="5240" w:type="dxa"/>
            <w:vAlign w:val="bottom"/>
            <w:gridSpan w:val="25"/>
          </w:tcPr>
          <w:p>
            <w:pPr>
              <w:spacing w:after="0"/>
              <w:rPr>
                <w:sz w:val="11"/>
                <w:szCs w:val="11"/>
                <w:color w:val="auto"/>
              </w:rPr>
            </w:pPr>
          </w:p>
        </w:tc>
      </w:tr>
      <w:tr>
        <w:trPr>
          <w:trHeight w:val="160"/>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10.34†</w:t>
            </w:r>
          </w:p>
        </w:tc>
        <w:tc>
          <w:tcPr>
            <w:tcW w:w="220" w:type="dxa"/>
            <w:vAlign w:val="bottom"/>
            <w:shd w:val="clear" w:color="auto" w:fill="CCEEFF"/>
          </w:tcPr>
          <w:p>
            <w:pPr>
              <w:spacing w:after="0"/>
              <w:rPr>
                <w:sz w:val="13"/>
                <w:szCs w:val="13"/>
                <w:color w:val="auto"/>
              </w:rPr>
            </w:pPr>
          </w:p>
        </w:tc>
        <w:tc>
          <w:tcPr>
            <w:tcW w:w="10200" w:type="dxa"/>
            <w:vAlign w:val="bottom"/>
            <w:tcBorders>
              <w:right w:val="single" w:sz="8" w:color="CCEEFF"/>
            </w:tcBorders>
            <w:gridSpan w:val="37"/>
            <w:shd w:val="clear" w:color="auto" w:fill="CCEEFF"/>
          </w:tcPr>
          <w:p>
            <w:pPr>
              <w:spacing w:after="0"/>
              <w:rPr>
                <w:rFonts w:ascii="Arial" w:cs="Arial" w:eastAsia="Arial" w:hAnsi="Arial"/>
                <w:sz w:val="12"/>
                <w:szCs w:val="12"/>
                <w:color w:val="0000FF"/>
              </w:rPr>
            </w:pPr>
            <w:hyperlink r:id="rId271">
              <w:r>
                <w:rPr>
                  <w:rFonts w:ascii="Arial" w:cs="Arial" w:eastAsia="Arial" w:hAnsi="Arial"/>
                  <w:sz w:val="12"/>
                  <w:szCs w:val="12"/>
                  <w:color w:val="0000FF"/>
                </w:rPr>
                <w:t>Employment Agreement, dated as of March 11, 2020, by and between Colony Capital, Inc. and Jacky Wu (incorporated by reference to Exhibit 10.1 to the Company’s Current Report on</w:t>
              </w:r>
            </w:hyperlink>
          </w:p>
        </w:tc>
        <w:tc>
          <w:tcPr>
            <w:tcW w:w="40" w:type="dxa"/>
            <w:vAlign w:val="bottom"/>
          </w:tcPr>
          <w:p>
            <w:pPr>
              <w:spacing w:after="0"/>
              <w:rPr>
                <w:sz w:val="13"/>
                <w:szCs w:val="13"/>
                <w:color w:val="auto"/>
              </w:rPr>
            </w:pPr>
          </w:p>
        </w:tc>
      </w:tr>
      <w:tr>
        <w:trPr>
          <w:trHeight w:val="135"/>
        </w:trPr>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1900" w:type="dxa"/>
            <w:vAlign w:val="bottom"/>
            <w:tcBorders>
              <w:top w:val="single" w:sz="8" w:color="0000FF"/>
              <w:bottom w:val="single" w:sz="8" w:color="0000FF"/>
            </w:tcBorders>
            <w:gridSpan w:val="3"/>
            <w:shd w:val="clear" w:color="auto" w:fill="CCEEFF"/>
          </w:tcPr>
          <w:p>
            <w:pPr>
              <w:spacing w:after="0" w:line="121" w:lineRule="exact"/>
              <w:rPr>
                <w:rFonts w:ascii="Arial" w:cs="Arial" w:eastAsia="Arial" w:hAnsi="Arial"/>
                <w:sz w:val="12"/>
                <w:szCs w:val="12"/>
                <w:color w:val="0000FF"/>
              </w:rPr>
            </w:pPr>
            <w:hyperlink r:id="rId271">
              <w:r>
                <w:rPr>
                  <w:rFonts w:ascii="Arial" w:cs="Arial" w:eastAsia="Arial" w:hAnsi="Arial"/>
                  <w:sz w:val="12"/>
                  <w:szCs w:val="12"/>
                  <w:color w:val="0000FF"/>
                </w:rPr>
                <w:t>Form 8-K filed on March 16, 2020)</w:t>
              </w:r>
            </w:hyperlink>
          </w:p>
        </w:tc>
        <w:tc>
          <w:tcPr>
            <w:tcW w:w="8220" w:type="dxa"/>
            <w:vAlign w:val="bottom"/>
            <w:tcBorders>
              <w:top w:val="single" w:sz="8" w:color="0000FF"/>
              <w:bottom w:val="single" w:sz="8" w:color="CCEEFF"/>
              <w:right w:val="single" w:sz="8" w:color="CCEEFF"/>
            </w:tcBorders>
            <w:gridSpan w:val="33"/>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10.35†</w:t>
            </w:r>
          </w:p>
        </w:tc>
        <w:tc>
          <w:tcPr>
            <w:tcW w:w="220" w:type="dxa"/>
            <w:vAlign w:val="bottom"/>
          </w:tcPr>
          <w:p>
            <w:pPr>
              <w:spacing w:after="0"/>
              <w:rPr>
                <w:sz w:val="13"/>
                <w:szCs w:val="13"/>
                <w:color w:val="auto"/>
              </w:rPr>
            </w:pPr>
          </w:p>
        </w:tc>
        <w:tc>
          <w:tcPr>
            <w:tcW w:w="10000" w:type="dxa"/>
            <w:vAlign w:val="bottom"/>
            <w:tcBorders>
              <w:bottom w:val="single" w:sz="8" w:color="0000FF"/>
            </w:tcBorders>
            <w:gridSpan w:val="31"/>
          </w:tcPr>
          <w:p>
            <w:pPr>
              <w:spacing w:after="0"/>
              <w:rPr>
                <w:rFonts w:ascii="Arial" w:cs="Arial" w:eastAsia="Arial" w:hAnsi="Arial"/>
                <w:sz w:val="12"/>
                <w:szCs w:val="12"/>
                <w:color w:val="0000FF"/>
              </w:rPr>
            </w:pPr>
            <w:hyperlink r:id="rId272">
              <w:r>
                <w:rPr>
                  <w:rFonts w:ascii="Arial" w:cs="Arial" w:eastAsia="Arial" w:hAnsi="Arial"/>
                  <w:sz w:val="12"/>
                  <w:szCs w:val="12"/>
                  <w:color w:val="0000FF"/>
                </w:rPr>
                <w:t>Employment Agreement, dated as of May 5, 2021 between Colony Capital, Inc. and Sonia Kim (incorporated by reference to Exhibit 10.8 to the Company's Quarterly Report on Form</w:t>
              </w:r>
            </w:hyperlink>
          </w:p>
        </w:tc>
        <w:tc>
          <w:tcPr>
            <w:tcW w:w="240" w:type="dxa"/>
            <w:vAlign w:val="bottom"/>
            <w:gridSpan w:val="7"/>
          </w:tcPr>
          <w:p>
            <w:pPr>
              <w:spacing w:after="0"/>
              <w:rPr>
                <w:sz w:val="13"/>
                <w:szCs w:val="13"/>
                <w:color w:val="auto"/>
              </w:rPr>
            </w:pPr>
          </w:p>
        </w:tc>
      </w:tr>
      <w:tr>
        <w:trPr>
          <w:trHeight w:val="120"/>
        </w:trPr>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60" w:type="dxa"/>
            <w:vAlign w:val="bottom"/>
            <w:gridSpan w:val="37"/>
          </w:tcPr>
          <w:p>
            <w:pPr>
              <w:spacing w:after="0" w:line="121" w:lineRule="exact"/>
              <w:rPr>
                <w:rFonts w:ascii="Arial" w:cs="Arial" w:eastAsia="Arial" w:hAnsi="Arial"/>
                <w:sz w:val="12"/>
                <w:szCs w:val="12"/>
                <w:color w:val="0000FF"/>
              </w:rPr>
            </w:pPr>
            <w:hyperlink r:id="rId272">
              <w:r>
                <w:rPr>
                  <w:rFonts w:ascii="Arial" w:cs="Arial" w:eastAsia="Arial" w:hAnsi="Arial"/>
                  <w:sz w:val="12"/>
                  <w:szCs w:val="12"/>
                  <w:color w:val="0000FF"/>
                </w:rPr>
                <w:t>10-Q filed on May 10, 2021)</w:t>
              </w:r>
            </w:hyperlink>
          </w:p>
        </w:tc>
      </w:tr>
      <w:tr>
        <w:trPr>
          <w:trHeight w:val="28"/>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10.36</w:t>
            </w:r>
          </w:p>
        </w:tc>
        <w:tc>
          <w:tcPr>
            <w:tcW w:w="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FF"/>
            </w:tcBorders>
            <w:gridSpan w:val="32"/>
            <w:shd w:val="clear" w:color="auto" w:fill="CCEEFF"/>
          </w:tcPr>
          <w:p>
            <w:pPr>
              <w:spacing w:after="0"/>
              <w:rPr>
                <w:rFonts w:ascii="Arial" w:cs="Arial" w:eastAsia="Arial" w:hAnsi="Arial"/>
                <w:sz w:val="12"/>
                <w:szCs w:val="12"/>
                <w:color w:val="0000FF"/>
              </w:rPr>
            </w:pPr>
            <w:hyperlink r:id="rId273">
              <w:r>
                <w:rPr>
                  <w:rFonts w:ascii="Arial" w:cs="Arial" w:eastAsia="Arial" w:hAnsi="Arial"/>
                  <w:sz w:val="12"/>
                  <w:szCs w:val="12"/>
                  <w:color w:val="0000FF"/>
                </w:rPr>
                <w:t>Registration Rights Agreement, dated as of January 31, 2018, by and among Colony NorthStar Credit Real Estate, Inc., Colony Capital Operating Company, LLC and NRF RED REIT</w:t>
              </w:r>
            </w:hyperlink>
          </w:p>
        </w:tc>
        <w:tc>
          <w:tcPr>
            <w:tcW w:w="180" w:type="dxa"/>
            <w:vAlign w:val="bottom"/>
            <w:tcBorders>
              <w:bottom w:val="single" w:sz="8" w:color="CCEEFF"/>
              <w:right w:val="single" w:sz="8" w:color="CCEEFF"/>
            </w:tcBorders>
            <w:gridSpan w:val="5"/>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80" w:type="dxa"/>
            <w:vAlign w:val="bottom"/>
            <w:tcBorders>
              <w:bottom w:val="single" w:sz="8" w:color="0000FF"/>
            </w:tcBorders>
            <w:gridSpan w:val="14"/>
            <w:shd w:val="clear" w:color="auto" w:fill="CCEEFF"/>
          </w:tcPr>
          <w:p>
            <w:pPr>
              <w:spacing w:after="0" w:line="121" w:lineRule="exact"/>
              <w:rPr>
                <w:rFonts w:ascii="Arial" w:cs="Arial" w:eastAsia="Arial" w:hAnsi="Arial"/>
                <w:sz w:val="12"/>
                <w:szCs w:val="12"/>
                <w:color w:val="0000FF"/>
              </w:rPr>
            </w:pPr>
            <w:hyperlink r:id="rId273">
              <w:r>
                <w:rPr>
                  <w:rFonts w:ascii="Arial" w:cs="Arial" w:eastAsia="Arial" w:hAnsi="Arial"/>
                  <w:sz w:val="12"/>
                  <w:szCs w:val="12"/>
                  <w:color w:val="0000FF"/>
                </w:rPr>
                <w:t>Corp. (incorporated by reference to Exhibit 10.3 to the Company’s Current Report on Form 8-K filed on February 1, 2018)</w:t>
              </w:r>
            </w:hyperlink>
          </w:p>
        </w:tc>
        <w:tc>
          <w:tcPr>
            <w:tcW w:w="3440" w:type="dxa"/>
            <w:vAlign w:val="bottom"/>
            <w:tcBorders>
              <w:bottom w:val="single" w:sz="8" w:color="CCEEFF"/>
              <w:right w:val="single" w:sz="8" w:color="CCEEFF"/>
            </w:tcBorders>
            <w:gridSpan w:val="22"/>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10.37</w:t>
            </w:r>
          </w:p>
        </w:tc>
        <w:tc>
          <w:tcPr>
            <w:tcW w:w="220" w:type="dxa"/>
            <w:vAlign w:val="bottom"/>
          </w:tcPr>
          <w:p>
            <w:pPr>
              <w:spacing w:after="0"/>
              <w:rPr>
                <w:sz w:val="13"/>
                <w:szCs w:val="13"/>
                <w:color w:val="auto"/>
              </w:rPr>
            </w:pPr>
          </w:p>
        </w:tc>
        <w:tc>
          <w:tcPr>
            <w:tcW w:w="10240" w:type="dxa"/>
            <w:vAlign w:val="bottom"/>
            <w:gridSpan w:val="38"/>
          </w:tcPr>
          <w:p>
            <w:pPr>
              <w:spacing w:after="0"/>
              <w:rPr>
                <w:rFonts w:ascii="Arial" w:cs="Arial" w:eastAsia="Arial" w:hAnsi="Arial"/>
                <w:sz w:val="12"/>
                <w:szCs w:val="12"/>
                <w:color w:val="0000FF"/>
              </w:rPr>
            </w:pPr>
            <w:hyperlink r:id="rId274">
              <w:r>
                <w:rPr>
                  <w:rFonts w:ascii="Arial" w:cs="Arial" w:eastAsia="Arial" w:hAnsi="Arial"/>
                  <w:sz w:val="12"/>
                  <w:szCs w:val="12"/>
                  <w:color w:val="0000FF"/>
                </w:rPr>
                <w:t>Termination Agreement, dated April 4, 2021, by and among Colony Credit Real Estate, Inc., Credit RE Operating Company, LLC, CLNC Manager, LLC, and solely for the purposes of</w:t>
              </w:r>
            </w:hyperlink>
          </w:p>
        </w:tc>
      </w:tr>
      <w:tr>
        <w:trPr>
          <w:trHeight w:val="120"/>
        </w:trPr>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900" w:type="dxa"/>
            <w:vAlign w:val="bottom"/>
            <w:tcBorders>
              <w:top w:val="single" w:sz="8" w:color="0000FF"/>
            </w:tcBorders>
            <w:gridSpan w:val="29"/>
          </w:tcPr>
          <w:p>
            <w:pPr>
              <w:spacing w:after="0" w:line="121" w:lineRule="exact"/>
              <w:rPr>
                <w:rFonts w:ascii="Arial" w:cs="Arial" w:eastAsia="Arial" w:hAnsi="Arial"/>
                <w:sz w:val="12"/>
                <w:szCs w:val="12"/>
                <w:color w:val="0000FF"/>
              </w:rPr>
            </w:pPr>
            <w:hyperlink r:id="rId274">
              <w:r>
                <w:rPr>
                  <w:rFonts w:ascii="Arial" w:cs="Arial" w:eastAsia="Arial" w:hAnsi="Arial"/>
                  <w:sz w:val="12"/>
                  <w:szCs w:val="12"/>
                  <w:color w:val="0000FF"/>
                </w:rPr>
                <w:t>Section 8.15 thereof, Colony Capital Investment Advisors, LLC (incorporated by reference to Exhibit 10.1 to the Company's Current Report on Form 8-K filed on April 7, 2021)</w:t>
              </w:r>
            </w:hyperlink>
          </w:p>
        </w:tc>
        <w:tc>
          <w:tcPr>
            <w:tcW w:w="260" w:type="dxa"/>
            <w:vAlign w:val="bottom"/>
            <w:gridSpan w:val="8"/>
          </w:tcPr>
          <w:p>
            <w:pPr>
              <w:spacing w:after="0"/>
              <w:rPr>
                <w:sz w:val="10"/>
                <w:szCs w:val="10"/>
                <w:color w:val="auto"/>
              </w:rPr>
            </w:pPr>
          </w:p>
        </w:tc>
      </w:tr>
      <w:tr>
        <w:trPr>
          <w:trHeight w:val="28"/>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10.38</w:t>
            </w:r>
          </w:p>
        </w:tc>
        <w:tc>
          <w:tcPr>
            <w:tcW w:w="220" w:type="dxa"/>
            <w:vAlign w:val="bottom"/>
            <w:tcBorders>
              <w:bottom w:val="single" w:sz="8" w:color="CCEEFF"/>
            </w:tcBorders>
            <w:shd w:val="clear" w:color="auto" w:fill="CCEEFF"/>
          </w:tcPr>
          <w:p>
            <w:pPr>
              <w:spacing w:after="0"/>
              <w:rPr>
                <w:sz w:val="13"/>
                <w:szCs w:val="13"/>
                <w:color w:val="auto"/>
              </w:rPr>
            </w:pPr>
          </w:p>
        </w:tc>
        <w:tc>
          <w:tcPr>
            <w:tcW w:w="9420" w:type="dxa"/>
            <w:vAlign w:val="bottom"/>
            <w:tcBorders>
              <w:bottom w:val="single" w:sz="8" w:color="0000FF"/>
            </w:tcBorders>
            <w:gridSpan w:val="23"/>
            <w:shd w:val="clear" w:color="auto" w:fill="CCEEFF"/>
          </w:tcPr>
          <w:p>
            <w:pPr>
              <w:spacing w:after="0"/>
              <w:rPr>
                <w:rFonts w:ascii="Arial" w:cs="Arial" w:eastAsia="Arial" w:hAnsi="Arial"/>
                <w:sz w:val="12"/>
                <w:szCs w:val="12"/>
                <w:color w:val="0000FF"/>
              </w:rPr>
            </w:pPr>
            <w:hyperlink r:id="rId275">
              <w:r>
                <w:rPr>
                  <w:rFonts w:ascii="Arial" w:cs="Arial" w:eastAsia="Arial" w:hAnsi="Arial"/>
                  <w:sz w:val="12"/>
                  <w:szCs w:val="12"/>
                  <w:color w:val="0000FF"/>
                </w:rPr>
                <w:t>Amended and Restated Stockholders Agreement, dated as of April 30, 2021, by and between Colony Credit Real Estate, Inc. and Colony Capital Operating Company, LLC</w:t>
              </w:r>
            </w:hyperlink>
          </w:p>
        </w:tc>
        <w:tc>
          <w:tcPr>
            <w:tcW w:w="780" w:type="dxa"/>
            <w:vAlign w:val="bottom"/>
            <w:tcBorders>
              <w:bottom w:val="single" w:sz="8" w:color="CCEEFF"/>
              <w:right w:val="single" w:sz="8" w:color="CCEEFF"/>
            </w:tcBorders>
            <w:gridSpan w:val="14"/>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120" w:type="dxa"/>
            <w:vAlign w:val="bottom"/>
            <w:tcBorders>
              <w:right w:val="single" w:sz="8" w:color="CCEEFF"/>
            </w:tcBorders>
            <w:gridSpan w:val="36"/>
            <w:shd w:val="clear" w:color="auto" w:fill="CCEEFF"/>
          </w:tcPr>
          <w:p>
            <w:pPr>
              <w:spacing w:after="0" w:line="121" w:lineRule="exact"/>
              <w:rPr>
                <w:rFonts w:ascii="Arial" w:cs="Arial" w:eastAsia="Arial" w:hAnsi="Arial"/>
                <w:sz w:val="12"/>
                <w:szCs w:val="12"/>
                <w:color w:val="0000FF"/>
              </w:rPr>
            </w:pPr>
            <w:hyperlink r:id="rId275">
              <w:r>
                <w:rPr>
                  <w:rFonts w:ascii="Arial" w:cs="Arial" w:eastAsia="Arial" w:hAnsi="Arial"/>
                  <w:sz w:val="12"/>
                  <w:szCs w:val="12"/>
                  <w:color w:val="0000FF"/>
                </w:rPr>
                <w:t>(incorporated by reference to Exhibit 10.1 to the Company’s Current Report on Form 8-K filed on May 4, 2021)</w:t>
              </w:r>
            </w:hyperlink>
          </w:p>
        </w:tc>
        <w:tc>
          <w:tcPr>
            <w:tcW w:w="40" w:type="dxa"/>
            <w:vAlign w:val="bottom"/>
          </w:tcPr>
          <w:p>
            <w:pPr>
              <w:spacing w:after="0"/>
              <w:rPr>
                <w:sz w:val="10"/>
                <w:szCs w:val="10"/>
                <w:color w:val="auto"/>
              </w:rPr>
            </w:pPr>
          </w:p>
        </w:tc>
      </w:tr>
      <w:tr>
        <w:trPr>
          <w:trHeight w:val="35"/>
        </w:trPr>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10.39</w:t>
            </w:r>
          </w:p>
        </w:tc>
        <w:tc>
          <w:tcPr>
            <w:tcW w:w="220" w:type="dxa"/>
            <w:vAlign w:val="bottom"/>
          </w:tcPr>
          <w:p>
            <w:pPr>
              <w:spacing w:after="0"/>
              <w:rPr>
                <w:sz w:val="13"/>
                <w:szCs w:val="13"/>
                <w:color w:val="auto"/>
              </w:rPr>
            </w:pPr>
          </w:p>
        </w:tc>
        <w:tc>
          <w:tcPr>
            <w:tcW w:w="10240" w:type="dxa"/>
            <w:vAlign w:val="bottom"/>
            <w:gridSpan w:val="38"/>
          </w:tcPr>
          <w:p>
            <w:pPr>
              <w:spacing w:after="0"/>
              <w:rPr>
                <w:rFonts w:ascii="Arial" w:cs="Arial" w:eastAsia="Arial" w:hAnsi="Arial"/>
                <w:sz w:val="12"/>
                <w:szCs w:val="12"/>
                <w:color w:val="0000FF"/>
              </w:rPr>
            </w:pPr>
            <w:hyperlink r:id="rId276">
              <w:r>
                <w:rPr>
                  <w:rFonts w:ascii="Arial" w:cs="Arial" w:eastAsia="Arial" w:hAnsi="Arial"/>
                  <w:sz w:val="12"/>
                  <w:szCs w:val="12"/>
                  <w:color w:val="0000FF"/>
                </w:rPr>
                <w:t>Purchase Agreement, dated June 5, 2021, between Colony Capital Operating Company, LLC and CF Troy Holdings LLC (incorporated by reference to Exhibit 10.1 to the Company’s</w:t>
              </w:r>
            </w:hyperlink>
          </w:p>
        </w:tc>
      </w:tr>
      <w:tr>
        <w:trPr>
          <w:trHeight w:val="128"/>
        </w:trPr>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860" w:type="dxa"/>
            <w:vAlign w:val="bottom"/>
            <w:tcBorders>
              <w:top w:val="single" w:sz="8" w:color="0000FF"/>
              <w:bottom w:val="single" w:sz="8" w:color="0000FF"/>
            </w:tcBorders>
            <w:gridSpan w:val="5"/>
          </w:tcPr>
          <w:p>
            <w:pPr>
              <w:spacing w:after="0" w:line="121" w:lineRule="exact"/>
              <w:rPr>
                <w:rFonts w:ascii="Arial" w:cs="Arial" w:eastAsia="Arial" w:hAnsi="Arial"/>
                <w:sz w:val="12"/>
                <w:szCs w:val="12"/>
                <w:color w:val="0000FF"/>
              </w:rPr>
            </w:pPr>
            <w:hyperlink r:id="rId276">
              <w:r>
                <w:rPr>
                  <w:rFonts w:ascii="Arial" w:cs="Arial" w:eastAsia="Arial" w:hAnsi="Arial"/>
                  <w:sz w:val="12"/>
                  <w:szCs w:val="12"/>
                  <w:color w:val="0000FF"/>
                </w:rPr>
                <w:t>Current Report on Form 8-K filed on June 10, 2021)</w:t>
              </w:r>
            </w:hyperlink>
          </w:p>
        </w:tc>
        <w:tc>
          <w:tcPr>
            <w:tcW w:w="7020" w:type="dxa"/>
            <w:vAlign w:val="bottom"/>
            <w:tcBorders>
              <w:top w:val="single" w:sz="8" w:color="0000FF"/>
            </w:tcBorders>
            <w:gridSpan w:val="23"/>
          </w:tcPr>
          <w:p>
            <w:pPr>
              <w:spacing w:after="0"/>
              <w:rPr>
                <w:sz w:val="11"/>
                <w:szCs w:val="11"/>
                <w:color w:val="auto"/>
              </w:rPr>
            </w:pPr>
          </w:p>
        </w:tc>
        <w:tc>
          <w:tcPr>
            <w:tcW w:w="280" w:type="dxa"/>
            <w:vAlign w:val="bottom"/>
            <w:gridSpan w:val="9"/>
          </w:tcPr>
          <w:p>
            <w:pPr>
              <w:spacing w:after="0"/>
              <w:rPr>
                <w:sz w:val="11"/>
                <w:szCs w:val="11"/>
                <w:color w:val="auto"/>
              </w:rPr>
            </w:pPr>
          </w:p>
        </w:tc>
      </w:tr>
      <w:tr>
        <w:trPr>
          <w:trHeight w:val="16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10.40</w:t>
            </w:r>
          </w:p>
        </w:tc>
        <w:tc>
          <w:tcPr>
            <w:tcW w:w="220" w:type="dxa"/>
            <w:vAlign w:val="bottom"/>
            <w:tcBorders>
              <w:bottom w:val="single" w:sz="8" w:color="CCEEFF"/>
            </w:tcBorders>
            <w:shd w:val="clear" w:color="auto" w:fill="CCEEFF"/>
          </w:tcPr>
          <w:p>
            <w:pPr>
              <w:spacing w:after="0"/>
              <w:rPr>
                <w:sz w:val="13"/>
                <w:szCs w:val="13"/>
                <w:color w:val="auto"/>
              </w:rPr>
            </w:pPr>
          </w:p>
        </w:tc>
        <w:tc>
          <w:tcPr>
            <w:tcW w:w="10120" w:type="dxa"/>
            <w:vAlign w:val="bottom"/>
            <w:tcBorders>
              <w:bottom w:val="single" w:sz="8" w:color="0000FF"/>
            </w:tcBorders>
            <w:gridSpan w:val="35"/>
            <w:shd w:val="clear" w:color="auto" w:fill="CCEEFF"/>
          </w:tcPr>
          <w:p>
            <w:pPr>
              <w:spacing w:after="0"/>
              <w:rPr>
                <w:rFonts w:ascii="Arial" w:cs="Arial" w:eastAsia="Arial" w:hAnsi="Arial"/>
                <w:sz w:val="12"/>
                <w:szCs w:val="12"/>
                <w:color w:val="0000FF"/>
              </w:rPr>
            </w:pPr>
            <w:hyperlink r:id="rId277">
              <w:r>
                <w:rPr>
                  <w:rFonts w:ascii="Arial" w:cs="Arial" w:eastAsia="Arial" w:hAnsi="Arial"/>
                  <w:sz w:val="12"/>
                  <w:szCs w:val="12"/>
                  <w:color w:val="0000FF"/>
                </w:rPr>
                <w:t>Class A-1 Note Purchase Agreement, dated as of July 9, 2021, by and among DigitalBridge Issuer, LLC and DigitalBridge Co-Issuer, LLC, together as Co-Issuers, each of DigitalBridge</w:t>
              </w:r>
            </w:hyperlink>
          </w:p>
        </w:tc>
        <w:tc>
          <w:tcPr>
            <w:tcW w:w="8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8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740" w:type="dxa"/>
            <w:vAlign w:val="bottom"/>
            <w:tcBorders>
              <w:bottom w:val="single" w:sz="8" w:color="0000FF"/>
            </w:tcBorders>
            <w:gridSpan w:val="26"/>
            <w:shd w:val="clear" w:color="auto" w:fill="CCEEFF"/>
          </w:tcPr>
          <w:p>
            <w:pPr>
              <w:spacing w:after="0" w:line="121" w:lineRule="exact"/>
              <w:rPr>
                <w:rFonts w:ascii="Arial" w:cs="Arial" w:eastAsia="Arial" w:hAnsi="Arial"/>
                <w:sz w:val="12"/>
                <w:szCs w:val="12"/>
                <w:color w:val="0000FF"/>
              </w:rPr>
            </w:pPr>
            <w:hyperlink r:id="rId277">
              <w:r>
                <w:rPr>
                  <w:rFonts w:ascii="Arial" w:cs="Arial" w:eastAsia="Arial" w:hAnsi="Arial"/>
                  <w:sz w:val="12"/>
                  <w:szCs w:val="12"/>
                  <w:color w:val="0000FF"/>
                </w:rPr>
                <w:t>Holdings 1, LLC, DigitalBridge Holdings 2, LLC and DigitalBridge Holdings 3, LLC, DigitalBridge Guarantor, LLC and DigitalBridge Co-Guarantor, LLC, as Co-Guarantors, Colony</w:t>
              </w:r>
            </w:hyperlink>
          </w:p>
        </w:tc>
        <w:tc>
          <w:tcPr>
            <w:tcW w:w="380" w:type="dxa"/>
            <w:vAlign w:val="bottom"/>
            <w:tcBorders>
              <w:bottom w:val="single" w:sz="8" w:color="CCEEFF"/>
              <w:right w:val="single" w:sz="8" w:color="CCEEFF"/>
            </w:tcBorders>
            <w:gridSpan w:val="10"/>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8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620" w:type="dxa"/>
            <w:vAlign w:val="bottom"/>
            <w:tcBorders>
              <w:bottom w:val="single" w:sz="8" w:color="0000FF"/>
            </w:tcBorders>
            <w:gridSpan w:val="24"/>
            <w:shd w:val="clear" w:color="auto" w:fill="CCEEFF"/>
          </w:tcPr>
          <w:p>
            <w:pPr>
              <w:spacing w:after="0" w:line="121" w:lineRule="exact"/>
              <w:rPr>
                <w:rFonts w:ascii="Arial" w:cs="Arial" w:eastAsia="Arial" w:hAnsi="Arial"/>
                <w:sz w:val="12"/>
                <w:szCs w:val="12"/>
                <w:color w:val="0000FF"/>
              </w:rPr>
            </w:pPr>
            <w:hyperlink r:id="rId277">
              <w:r>
                <w:rPr>
                  <w:rFonts w:ascii="Arial" w:cs="Arial" w:eastAsia="Arial" w:hAnsi="Arial"/>
                  <w:sz w:val="12"/>
                  <w:szCs w:val="12"/>
                  <w:color w:val="0000FF"/>
                </w:rPr>
                <w:t>Capital Investment Holdco, LLC, as Manager, the conduit investors party thereto, the financial institutions party thereto, certain funding agents, and Barclays Bank PLC, as L/C</w:t>
              </w:r>
            </w:hyperlink>
          </w:p>
        </w:tc>
        <w:tc>
          <w:tcPr>
            <w:tcW w:w="500" w:type="dxa"/>
            <w:vAlign w:val="bottom"/>
            <w:tcBorders>
              <w:bottom w:val="single" w:sz="8" w:color="CCEEFF"/>
              <w:right w:val="single" w:sz="8" w:color="CCEEFF"/>
            </w:tcBorders>
            <w:gridSpan w:val="12"/>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80" w:type="dxa"/>
            <w:vAlign w:val="bottom"/>
            <w:tcBorders>
              <w:bottom w:val="single" w:sz="8" w:color="0000FF"/>
            </w:tcBorders>
            <w:gridSpan w:val="15"/>
            <w:shd w:val="clear" w:color="auto" w:fill="CCEEFF"/>
          </w:tcPr>
          <w:p>
            <w:pPr>
              <w:spacing w:after="0" w:line="121" w:lineRule="exact"/>
              <w:rPr>
                <w:rFonts w:ascii="Arial" w:cs="Arial" w:eastAsia="Arial" w:hAnsi="Arial"/>
                <w:sz w:val="12"/>
                <w:szCs w:val="12"/>
                <w:color w:val="0000FF"/>
              </w:rPr>
            </w:pPr>
            <w:hyperlink r:id="rId277">
              <w:r>
                <w:rPr>
                  <w:rFonts w:ascii="Arial" w:cs="Arial" w:eastAsia="Arial" w:hAnsi="Arial"/>
                  <w:sz w:val="12"/>
                  <w:szCs w:val="12"/>
                  <w:color w:val="0000FF"/>
                </w:rPr>
                <w:t>Provider and Administrative Agent (incorporated by reference to Exhibit 10.1 to the Company's Current Report on Form 8-K filed on July 15, 2021).</w:t>
              </w:r>
            </w:hyperlink>
          </w:p>
        </w:tc>
        <w:tc>
          <w:tcPr>
            <w:tcW w:w="2040" w:type="dxa"/>
            <w:vAlign w:val="bottom"/>
            <w:tcBorders>
              <w:bottom w:val="single" w:sz="8" w:color="CCEEFF"/>
              <w:right w:val="single" w:sz="8" w:color="CCEEFF"/>
            </w:tcBorders>
            <w:gridSpan w:val="21"/>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10.41</w:t>
            </w:r>
          </w:p>
        </w:tc>
        <w:tc>
          <w:tcPr>
            <w:tcW w:w="220" w:type="dxa"/>
            <w:vAlign w:val="bottom"/>
          </w:tcPr>
          <w:p>
            <w:pPr>
              <w:spacing w:after="0"/>
              <w:rPr>
                <w:sz w:val="13"/>
                <w:szCs w:val="13"/>
                <w:color w:val="auto"/>
              </w:rPr>
            </w:pPr>
          </w:p>
        </w:tc>
        <w:tc>
          <w:tcPr>
            <w:tcW w:w="10140" w:type="dxa"/>
            <w:vAlign w:val="bottom"/>
            <w:tcBorders>
              <w:bottom w:val="single" w:sz="8" w:color="0000FF"/>
            </w:tcBorders>
            <w:gridSpan w:val="36"/>
          </w:tcPr>
          <w:p>
            <w:pPr>
              <w:spacing w:after="0"/>
              <w:rPr>
                <w:rFonts w:ascii="Arial" w:cs="Arial" w:eastAsia="Arial" w:hAnsi="Arial"/>
                <w:sz w:val="12"/>
                <w:szCs w:val="12"/>
                <w:color w:val="0000FF"/>
              </w:rPr>
            </w:pPr>
            <w:hyperlink r:id="rId278">
              <w:r>
                <w:rPr>
                  <w:rFonts w:ascii="Arial" w:cs="Arial" w:eastAsia="Arial" w:hAnsi="Arial"/>
                  <w:sz w:val="12"/>
                  <w:szCs w:val="12"/>
                  <w:color w:val="0000FF"/>
                </w:rPr>
                <w:t>The Guarantee and Security Agreement, dated as of July 9, 2021, between DigitalBridge Guarantor, LLC and Citibank, N.A., as Trustee (incorporated by reference to Exhibit 10.2 to the</w:t>
              </w:r>
            </w:hyperlink>
          </w:p>
        </w:tc>
        <w:tc>
          <w:tcPr>
            <w:tcW w:w="100" w:type="dxa"/>
            <w:vAlign w:val="bottom"/>
            <w:gridSpan w:val="2"/>
          </w:tcPr>
          <w:p>
            <w:pPr>
              <w:spacing w:after="0"/>
              <w:rPr>
                <w:sz w:val="13"/>
                <w:szCs w:val="13"/>
                <w:color w:val="auto"/>
              </w:rPr>
            </w:pPr>
          </w:p>
        </w:tc>
      </w:tr>
      <w:tr>
        <w:trPr>
          <w:trHeight w:val="128"/>
        </w:trPr>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tcBorders>
              <w:bottom w:val="single" w:sz="8" w:color="0000FF"/>
            </w:tcBorders>
            <w:gridSpan w:val="6"/>
          </w:tcPr>
          <w:p>
            <w:pPr>
              <w:spacing w:after="0" w:line="121" w:lineRule="exact"/>
              <w:rPr>
                <w:rFonts w:ascii="Arial" w:cs="Arial" w:eastAsia="Arial" w:hAnsi="Arial"/>
                <w:sz w:val="12"/>
                <w:szCs w:val="12"/>
                <w:color w:val="0000FF"/>
              </w:rPr>
            </w:pPr>
            <w:hyperlink r:id="rId278">
              <w:r>
                <w:rPr>
                  <w:rFonts w:ascii="Arial" w:cs="Arial" w:eastAsia="Arial" w:hAnsi="Arial"/>
                  <w:sz w:val="12"/>
                  <w:szCs w:val="12"/>
                  <w:color w:val="0000FF"/>
                </w:rPr>
                <w:t>Company's Current Report on Form 8-K filed on July 15, 2021).</w:t>
              </w:r>
            </w:hyperlink>
          </w:p>
        </w:tc>
        <w:tc>
          <w:tcPr>
            <w:tcW w:w="6660" w:type="dxa"/>
            <w:vAlign w:val="bottom"/>
            <w:gridSpan w:val="31"/>
          </w:tcPr>
          <w:p>
            <w:pPr>
              <w:spacing w:after="0"/>
              <w:rPr>
                <w:sz w:val="11"/>
                <w:szCs w:val="11"/>
                <w:color w:val="auto"/>
              </w:rPr>
            </w:pPr>
          </w:p>
        </w:tc>
      </w:tr>
      <w:tr>
        <w:trPr>
          <w:trHeight w:val="160"/>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10.42</w:t>
            </w:r>
          </w:p>
        </w:tc>
        <w:tc>
          <w:tcPr>
            <w:tcW w:w="220" w:type="dxa"/>
            <w:vAlign w:val="bottom"/>
            <w:shd w:val="clear" w:color="auto" w:fill="CCEEFF"/>
          </w:tcPr>
          <w:p>
            <w:pPr>
              <w:spacing w:after="0"/>
              <w:rPr>
                <w:sz w:val="13"/>
                <w:szCs w:val="13"/>
                <w:color w:val="auto"/>
              </w:rPr>
            </w:pPr>
          </w:p>
        </w:tc>
        <w:tc>
          <w:tcPr>
            <w:tcW w:w="10200" w:type="dxa"/>
            <w:vAlign w:val="bottom"/>
            <w:tcBorders>
              <w:right w:val="single" w:sz="8" w:color="CCEEFF"/>
            </w:tcBorders>
            <w:gridSpan w:val="37"/>
            <w:shd w:val="clear" w:color="auto" w:fill="CCEEFF"/>
          </w:tcPr>
          <w:p>
            <w:pPr>
              <w:spacing w:after="0"/>
              <w:rPr>
                <w:rFonts w:ascii="Arial" w:cs="Arial" w:eastAsia="Arial" w:hAnsi="Arial"/>
                <w:sz w:val="12"/>
                <w:szCs w:val="12"/>
                <w:color w:val="0000FF"/>
              </w:rPr>
            </w:pPr>
            <w:hyperlink r:id="rId279">
              <w:r>
                <w:rPr>
                  <w:rFonts w:ascii="Arial" w:cs="Arial" w:eastAsia="Arial" w:hAnsi="Arial"/>
                  <w:sz w:val="12"/>
                  <w:szCs w:val="12"/>
                  <w:color w:val="0000FF"/>
                </w:rPr>
                <w:t>The Guarantee and Security Agreement, dated as of July 9, 2021, between DigitalBridge Co-Guarantor, LLC and Citibank, N.A., as Trustee (incorporated by reference to Exhibit 10.3 to</w:t>
              </w:r>
            </w:hyperlink>
          </w:p>
        </w:tc>
        <w:tc>
          <w:tcPr>
            <w:tcW w:w="40" w:type="dxa"/>
            <w:vAlign w:val="bottom"/>
          </w:tcPr>
          <w:p>
            <w:pPr>
              <w:spacing w:after="0"/>
              <w:rPr>
                <w:sz w:val="13"/>
                <w:szCs w:val="13"/>
                <w:color w:val="auto"/>
              </w:rPr>
            </w:pPr>
          </w:p>
        </w:tc>
      </w:tr>
      <w:tr>
        <w:trPr>
          <w:trHeight w:val="135"/>
        </w:trPr>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3700" w:type="dxa"/>
            <w:vAlign w:val="bottom"/>
            <w:tcBorders>
              <w:top w:val="single" w:sz="8" w:color="0000FF"/>
              <w:bottom w:val="single" w:sz="8" w:color="0000FF"/>
            </w:tcBorders>
            <w:gridSpan w:val="8"/>
            <w:shd w:val="clear" w:color="auto" w:fill="CCEEFF"/>
          </w:tcPr>
          <w:p>
            <w:pPr>
              <w:spacing w:after="0" w:line="121" w:lineRule="exact"/>
              <w:rPr>
                <w:rFonts w:ascii="Arial" w:cs="Arial" w:eastAsia="Arial" w:hAnsi="Arial"/>
                <w:sz w:val="12"/>
                <w:szCs w:val="12"/>
                <w:color w:val="0000FF"/>
              </w:rPr>
            </w:pPr>
            <w:hyperlink r:id="rId279">
              <w:r>
                <w:rPr>
                  <w:rFonts w:ascii="Arial" w:cs="Arial" w:eastAsia="Arial" w:hAnsi="Arial"/>
                  <w:sz w:val="12"/>
                  <w:szCs w:val="12"/>
                  <w:color w:val="0000FF"/>
                </w:rPr>
                <w:t>the Company's Current Report on Form 8-K filed on July 15, 2021).</w:t>
              </w:r>
            </w:hyperlink>
          </w:p>
        </w:tc>
        <w:tc>
          <w:tcPr>
            <w:tcW w:w="6340" w:type="dxa"/>
            <w:vAlign w:val="bottom"/>
            <w:tcBorders>
              <w:top w:val="single" w:sz="8" w:color="0000FF"/>
              <w:bottom w:val="single" w:sz="8" w:color="CCEEFF"/>
            </w:tcBorders>
            <w:gridSpan w:val="26"/>
            <w:shd w:val="clear" w:color="auto" w:fill="CCEEFF"/>
          </w:tcPr>
          <w:p>
            <w:pPr>
              <w:spacing w:after="0"/>
              <w:rPr>
                <w:sz w:val="11"/>
                <w:szCs w:val="11"/>
                <w:color w:val="auto"/>
              </w:rPr>
            </w:pPr>
          </w:p>
        </w:tc>
        <w:tc>
          <w:tcPr>
            <w:tcW w:w="80" w:type="dxa"/>
            <w:vAlign w:val="bottom"/>
            <w:tcBorders>
              <w:top w:val="single" w:sz="8" w:color="CCEEFF"/>
              <w:bottom w:val="single" w:sz="8" w:color="CCEEFF"/>
              <w:right w:val="single" w:sz="8" w:color="CCEEFF"/>
            </w:tcBorders>
            <w:gridSpan w:val="2"/>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2"/>
                <w:szCs w:val="12"/>
                <w:color w:val="auto"/>
              </w:rPr>
              <w:t>10.43</w:t>
            </w:r>
          </w:p>
        </w:tc>
        <w:tc>
          <w:tcPr>
            <w:tcW w:w="220" w:type="dxa"/>
            <w:vAlign w:val="bottom"/>
          </w:tcPr>
          <w:p>
            <w:pPr>
              <w:spacing w:after="0"/>
              <w:rPr>
                <w:sz w:val="13"/>
                <w:szCs w:val="13"/>
                <w:color w:val="auto"/>
              </w:rPr>
            </w:pPr>
          </w:p>
        </w:tc>
        <w:tc>
          <w:tcPr>
            <w:tcW w:w="10100" w:type="dxa"/>
            <w:vAlign w:val="bottom"/>
            <w:tcBorders>
              <w:bottom w:val="single" w:sz="8" w:color="0000FF"/>
            </w:tcBorders>
            <w:gridSpan w:val="34"/>
          </w:tcPr>
          <w:p>
            <w:pPr>
              <w:spacing w:after="0"/>
              <w:rPr>
                <w:rFonts w:ascii="Arial" w:cs="Arial" w:eastAsia="Arial" w:hAnsi="Arial"/>
                <w:sz w:val="12"/>
                <w:szCs w:val="12"/>
                <w:color w:val="0000FF"/>
              </w:rPr>
            </w:pPr>
            <w:hyperlink r:id="rId280">
              <w:r>
                <w:rPr>
                  <w:rFonts w:ascii="Arial" w:cs="Arial" w:eastAsia="Arial" w:hAnsi="Arial"/>
                  <w:sz w:val="12"/>
                  <w:szCs w:val="12"/>
                  <w:color w:val="0000FF"/>
                </w:rPr>
                <w:t>Management Agreement, dated as of July 9, 2021, by and among DigitalBridge Issuer, LLC and DigitalBridge Co-Issuer, LLC, together as Co-Issuers, each of DigitalBridge Holdings 1,</w:t>
              </w:r>
            </w:hyperlink>
          </w:p>
        </w:tc>
        <w:tc>
          <w:tcPr>
            <w:tcW w:w="140" w:type="dxa"/>
            <w:vAlign w:val="bottom"/>
            <w:gridSpan w:val="4"/>
          </w:tcPr>
          <w:p>
            <w:pPr>
              <w:spacing w:after="0"/>
              <w:rPr>
                <w:sz w:val="13"/>
                <w:szCs w:val="13"/>
                <w:color w:val="auto"/>
              </w:rPr>
            </w:pPr>
          </w:p>
        </w:tc>
      </w:tr>
      <w:tr>
        <w:trPr>
          <w:trHeight w:val="120"/>
        </w:trPr>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60" w:type="dxa"/>
            <w:vAlign w:val="bottom"/>
            <w:gridSpan w:val="37"/>
          </w:tcPr>
          <w:p>
            <w:pPr>
              <w:spacing w:after="0" w:line="121" w:lineRule="exact"/>
              <w:rPr>
                <w:rFonts w:ascii="Arial" w:cs="Arial" w:eastAsia="Arial" w:hAnsi="Arial"/>
                <w:sz w:val="12"/>
                <w:szCs w:val="12"/>
                <w:color w:val="0000FF"/>
              </w:rPr>
            </w:pPr>
            <w:hyperlink r:id="rId280">
              <w:r>
                <w:rPr>
                  <w:rFonts w:ascii="Arial" w:cs="Arial" w:eastAsia="Arial" w:hAnsi="Arial"/>
                  <w:sz w:val="12"/>
                  <w:szCs w:val="12"/>
                  <w:color w:val="0000FF"/>
                </w:rPr>
                <w:t>LLC, DigitalBridge Holdings 2, LLC and DigitalBridge Holdings 3, LLC, DigitalBridge Guarantor, LLC and DigitalBridge Co-Guarantor, LLC, as Co-Guarantors, and Colony Capital</w:t>
              </w:r>
            </w:hyperlink>
          </w:p>
        </w:tc>
      </w:tr>
      <w:tr>
        <w:trPr>
          <w:trHeight w:val="120"/>
        </w:trPr>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740" w:type="dxa"/>
            <w:vAlign w:val="bottom"/>
            <w:tcBorders>
              <w:top w:val="single" w:sz="8" w:color="0000FF"/>
            </w:tcBorders>
            <w:gridSpan w:val="26"/>
          </w:tcPr>
          <w:p>
            <w:pPr>
              <w:spacing w:after="0" w:line="121" w:lineRule="exact"/>
              <w:rPr>
                <w:rFonts w:ascii="Arial" w:cs="Arial" w:eastAsia="Arial" w:hAnsi="Arial"/>
                <w:sz w:val="12"/>
                <w:szCs w:val="12"/>
                <w:color w:val="0000FF"/>
              </w:rPr>
            </w:pPr>
            <w:hyperlink r:id="rId280">
              <w:r>
                <w:rPr>
                  <w:rFonts w:ascii="Arial" w:cs="Arial" w:eastAsia="Arial" w:hAnsi="Arial"/>
                  <w:sz w:val="12"/>
                  <w:szCs w:val="12"/>
                  <w:color w:val="0000FF"/>
                </w:rPr>
                <w:t>Investment Holdco, LLC, as Manager (incorporated by reference to Exhibit 10.4 to the Company's Current Report on Form 8-K filed on July 15, 2021).</w:t>
              </w:r>
            </w:hyperlink>
          </w:p>
        </w:tc>
        <w:tc>
          <w:tcPr>
            <w:tcW w:w="420" w:type="dxa"/>
            <w:vAlign w:val="bottom"/>
            <w:gridSpan w:val="11"/>
          </w:tcPr>
          <w:p>
            <w:pPr>
              <w:spacing w:after="0"/>
              <w:rPr>
                <w:sz w:val="10"/>
                <w:szCs w:val="10"/>
                <w:color w:val="auto"/>
              </w:rPr>
            </w:pPr>
          </w:p>
        </w:tc>
      </w:tr>
      <w:tr>
        <w:trPr>
          <w:trHeight w:val="28"/>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10.44</w:t>
            </w:r>
          </w:p>
        </w:tc>
        <w:tc>
          <w:tcPr>
            <w:tcW w:w="22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FF"/>
              <w:right w:val="single" w:sz="8" w:color="CCEEFF"/>
            </w:tcBorders>
            <w:gridSpan w:val="24"/>
            <w:shd w:val="clear" w:color="auto" w:fill="CCEEFF"/>
          </w:tcPr>
          <w:p>
            <w:pPr>
              <w:spacing w:after="0"/>
              <w:rPr>
                <w:rFonts w:ascii="Arial" w:cs="Arial" w:eastAsia="Arial" w:hAnsi="Arial"/>
                <w:sz w:val="12"/>
                <w:szCs w:val="12"/>
                <w:color w:val="0000FF"/>
              </w:rPr>
            </w:pPr>
            <w:hyperlink r:id="rId281">
              <w:r>
                <w:rPr>
                  <w:rFonts w:ascii="Arial" w:cs="Arial" w:eastAsia="Arial" w:hAnsi="Arial"/>
                  <w:sz w:val="12"/>
                  <w:szCs w:val="12"/>
                  <w:color w:val="0000FF"/>
                </w:rPr>
                <w:t>Purchase and Sale Agreement, dated September 6, 2021, between DigitalBridge Operating Company, LLC and CWP Bidco LP (incorporated by reference to Exhibit 2.1 to the</w:t>
              </w:r>
            </w:hyperlink>
          </w:p>
        </w:tc>
        <w:tc>
          <w:tcPr>
            <w:tcW w:w="560" w:type="dxa"/>
            <w:vAlign w:val="bottom"/>
            <w:tcBorders>
              <w:bottom w:val="single" w:sz="8" w:color="CCEEFF"/>
              <w:right w:val="single" w:sz="8" w:color="CCEEFF"/>
            </w:tcBorders>
            <w:gridSpan w:val="13"/>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80" w:type="dxa"/>
            <w:vAlign w:val="bottom"/>
            <w:tcBorders>
              <w:bottom w:val="single" w:sz="8" w:color="0000FF"/>
            </w:tcBorders>
            <w:gridSpan w:val="9"/>
            <w:shd w:val="clear" w:color="auto" w:fill="CCEEFF"/>
          </w:tcPr>
          <w:p>
            <w:pPr>
              <w:spacing w:after="0" w:line="121" w:lineRule="exact"/>
              <w:rPr>
                <w:rFonts w:ascii="Arial" w:cs="Arial" w:eastAsia="Arial" w:hAnsi="Arial"/>
                <w:sz w:val="12"/>
                <w:szCs w:val="12"/>
                <w:color w:val="0000FF"/>
              </w:rPr>
            </w:pPr>
            <w:hyperlink r:id="rId281">
              <w:r>
                <w:rPr>
                  <w:rFonts w:ascii="Arial" w:cs="Arial" w:eastAsia="Arial" w:hAnsi="Arial"/>
                  <w:sz w:val="12"/>
                  <w:szCs w:val="12"/>
                  <w:color w:val="0000FF"/>
                </w:rPr>
                <w:t>Company's Current Report on Form 8-K filed on September 10, 2021).</w:t>
              </w:r>
            </w:hyperlink>
          </w:p>
        </w:tc>
        <w:tc>
          <w:tcPr>
            <w:tcW w:w="6240" w:type="dxa"/>
            <w:vAlign w:val="bottom"/>
            <w:tcBorders>
              <w:bottom w:val="single" w:sz="8" w:color="CCEEFF"/>
              <w:right w:val="single" w:sz="8" w:color="CCEEFF"/>
            </w:tcBorders>
            <w:gridSpan w:val="27"/>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2"/>
                <w:szCs w:val="12"/>
                <w:color w:val="auto"/>
              </w:rPr>
              <w:t>21.1*</w:t>
            </w:r>
          </w:p>
        </w:tc>
        <w:tc>
          <w:tcPr>
            <w:tcW w:w="220" w:type="dxa"/>
            <w:vAlign w:val="bottom"/>
          </w:tcPr>
          <w:p>
            <w:pPr>
              <w:spacing w:after="0"/>
              <w:rPr>
                <w:sz w:val="13"/>
                <w:szCs w:val="13"/>
                <w:color w:val="auto"/>
              </w:rPr>
            </w:pPr>
          </w:p>
        </w:tc>
        <w:tc>
          <w:tcPr>
            <w:tcW w:w="10240" w:type="dxa"/>
            <w:vAlign w:val="bottom"/>
            <w:gridSpan w:val="38"/>
          </w:tcPr>
          <w:p>
            <w:pPr>
              <w:spacing w:after="0"/>
              <w:rPr>
                <w:rFonts w:ascii="Arial" w:cs="Arial" w:eastAsia="Arial" w:hAnsi="Arial"/>
                <w:sz w:val="12"/>
                <w:szCs w:val="12"/>
                <w:color w:val="0000FF"/>
              </w:rPr>
            </w:pPr>
            <w:hyperlink w:anchor="page379">
              <w:r>
                <w:rPr>
                  <w:rFonts w:ascii="Arial" w:cs="Arial" w:eastAsia="Arial" w:hAnsi="Arial"/>
                  <w:sz w:val="12"/>
                  <w:szCs w:val="12"/>
                  <w:color w:val="0000FF"/>
                </w:rPr>
                <w:t>List of Subsidiaries of DigitalBridge Group, Inc.</w:t>
              </w:r>
            </w:hyperlink>
          </w:p>
        </w:tc>
      </w:tr>
      <w:tr>
        <w:trPr>
          <w:trHeight w:val="175"/>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23.1*</w:t>
            </w:r>
          </w:p>
        </w:tc>
        <w:tc>
          <w:tcPr>
            <w:tcW w:w="2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top w:val="single" w:sz="8" w:color="0000FF"/>
              <w:bottom w:val="single" w:sz="8" w:color="0000FF"/>
            </w:tcBorders>
            <w:gridSpan w:val="3"/>
            <w:shd w:val="clear" w:color="auto" w:fill="CCEEFF"/>
          </w:tcPr>
          <w:p>
            <w:pPr>
              <w:spacing w:after="0"/>
              <w:rPr>
                <w:rFonts w:ascii="Arial" w:cs="Arial" w:eastAsia="Arial" w:hAnsi="Arial"/>
                <w:sz w:val="12"/>
                <w:szCs w:val="12"/>
                <w:color w:val="0000FF"/>
              </w:rPr>
            </w:pPr>
            <w:hyperlink w:anchor="page381">
              <w:r>
                <w:rPr>
                  <w:rFonts w:ascii="Arial" w:cs="Arial" w:eastAsia="Arial" w:hAnsi="Arial"/>
                  <w:sz w:val="12"/>
                  <w:szCs w:val="12"/>
                  <w:color w:val="0000FF"/>
                </w:rPr>
                <w:t>Consent of Ernst &amp; Young LLP</w:t>
              </w:r>
            </w:hyperlink>
          </w:p>
        </w:tc>
        <w:tc>
          <w:tcPr>
            <w:tcW w:w="88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7620" w:type="dxa"/>
            <w:vAlign w:val="bottom"/>
            <w:tcBorders>
              <w:bottom w:val="single" w:sz="8" w:color="CCEEFF"/>
              <w:right w:val="single" w:sz="8" w:color="CCEEFF"/>
            </w:tcBorders>
            <w:gridSpan w:val="32"/>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2"/>
                <w:szCs w:val="12"/>
                <w:color w:val="auto"/>
              </w:rPr>
              <w:t>31.1*</w:t>
            </w:r>
          </w:p>
        </w:tc>
        <w:tc>
          <w:tcPr>
            <w:tcW w:w="220" w:type="dxa"/>
            <w:vAlign w:val="bottom"/>
          </w:tcPr>
          <w:p>
            <w:pPr>
              <w:spacing w:after="0"/>
              <w:rPr>
                <w:sz w:val="13"/>
                <w:szCs w:val="13"/>
                <w:color w:val="auto"/>
              </w:rPr>
            </w:pPr>
          </w:p>
        </w:tc>
        <w:tc>
          <w:tcPr>
            <w:tcW w:w="9080" w:type="dxa"/>
            <w:vAlign w:val="bottom"/>
            <w:tcBorders>
              <w:bottom w:val="single" w:sz="8" w:color="0000FF"/>
            </w:tcBorders>
            <w:gridSpan w:val="21"/>
          </w:tcPr>
          <w:p>
            <w:pPr>
              <w:spacing w:after="0"/>
              <w:rPr>
                <w:rFonts w:ascii="Arial" w:cs="Arial" w:eastAsia="Arial" w:hAnsi="Arial"/>
                <w:sz w:val="12"/>
                <w:szCs w:val="12"/>
                <w:color w:val="0000FF"/>
              </w:rPr>
            </w:pPr>
            <w:hyperlink w:anchor="page382">
              <w:r>
                <w:rPr>
                  <w:rFonts w:ascii="Arial" w:cs="Arial" w:eastAsia="Arial" w:hAnsi="Arial"/>
                  <w:sz w:val="12"/>
                  <w:szCs w:val="12"/>
                  <w:color w:val="0000FF"/>
                </w:rPr>
                <w:t>Certification of Marc C. Ganzi, Chief Executive Officer, pursuant to Rule 13a-14(a)/15d-14(a), as adopted pursuant to Section 302 of the Sarbanes-Oxley Act of 2002</w:t>
              </w:r>
            </w:hyperlink>
          </w:p>
        </w:tc>
        <w:tc>
          <w:tcPr>
            <w:tcW w:w="1160" w:type="dxa"/>
            <w:vAlign w:val="bottom"/>
            <w:gridSpan w:val="17"/>
          </w:tcPr>
          <w:p>
            <w:pPr>
              <w:spacing w:after="0"/>
              <w:rPr>
                <w:sz w:val="13"/>
                <w:szCs w:val="13"/>
                <w:color w:val="auto"/>
              </w:rPr>
            </w:pPr>
          </w:p>
        </w:tc>
      </w:tr>
      <w:tr>
        <w:trPr>
          <w:trHeight w:val="175"/>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31.2*</w:t>
            </w:r>
          </w:p>
        </w:tc>
        <w:tc>
          <w:tcPr>
            <w:tcW w:w="220" w:type="dxa"/>
            <w:vAlign w:val="bottom"/>
            <w:tcBorders>
              <w:bottom w:val="single" w:sz="8" w:color="CCEEFF"/>
            </w:tcBorders>
            <w:shd w:val="clear" w:color="auto" w:fill="CCEEFF"/>
          </w:tcPr>
          <w:p>
            <w:pPr>
              <w:spacing w:after="0"/>
              <w:rPr>
                <w:sz w:val="15"/>
                <w:szCs w:val="15"/>
                <w:color w:val="auto"/>
              </w:rPr>
            </w:pPr>
          </w:p>
        </w:tc>
        <w:tc>
          <w:tcPr>
            <w:tcW w:w="8780" w:type="dxa"/>
            <w:vAlign w:val="bottom"/>
            <w:tcBorders>
              <w:bottom w:val="single" w:sz="8" w:color="0000FF"/>
            </w:tcBorders>
            <w:gridSpan w:val="19"/>
            <w:shd w:val="clear" w:color="auto" w:fill="CCEEFF"/>
          </w:tcPr>
          <w:p>
            <w:pPr>
              <w:spacing w:after="0"/>
              <w:rPr>
                <w:rFonts w:ascii="Arial" w:cs="Arial" w:eastAsia="Arial" w:hAnsi="Arial"/>
                <w:sz w:val="12"/>
                <w:szCs w:val="12"/>
                <w:color w:val="0000FF"/>
              </w:rPr>
            </w:pPr>
            <w:hyperlink w:anchor="page383">
              <w:r>
                <w:rPr>
                  <w:rFonts w:ascii="Arial" w:cs="Arial" w:eastAsia="Arial" w:hAnsi="Arial"/>
                  <w:sz w:val="12"/>
                  <w:szCs w:val="12"/>
                  <w:color w:val="0000FF"/>
                </w:rPr>
                <w:t>Certification of Jacky Wu, Chief Financial Officer, pursuant to Rule 13a-14(a)/15d-14(a), as adopted pursuant to Section 302 of the Sarbanes-Oxley Act of 2002</w:t>
              </w:r>
            </w:hyperlink>
          </w:p>
        </w:tc>
        <w:tc>
          <w:tcPr>
            <w:tcW w:w="1420" w:type="dxa"/>
            <w:vAlign w:val="bottom"/>
            <w:tcBorders>
              <w:bottom w:val="single" w:sz="8" w:color="CCEEFF"/>
              <w:right w:val="single" w:sz="8" w:color="CCEEFF"/>
            </w:tcBorders>
            <w:gridSpan w:val="18"/>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2"/>
                <w:szCs w:val="12"/>
                <w:color w:val="auto"/>
              </w:rPr>
              <w:t>32.1*</w:t>
            </w:r>
          </w:p>
        </w:tc>
        <w:tc>
          <w:tcPr>
            <w:tcW w:w="220" w:type="dxa"/>
            <w:vAlign w:val="bottom"/>
          </w:tcPr>
          <w:p>
            <w:pPr>
              <w:spacing w:after="0"/>
              <w:rPr>
                <w:sz w:val="13"/>
                <w:szCs w:val="13"/>
                <w:color w:val="auto"/>
              </w:rPr>
            </w:pPr>
          </w:p>
        </w:tc>
        <w:tc>
          <w:tcPr>
            <w:tcW w:w="10240" w:type="dxa"/>
            <w:vAlign w:val="bottom"/>
            <w:gridSpan w:val="38"/>
          </w:tcPr>
          <w:p>
            <w:pPr>
              <w:spacing w:after="0"/>
              <w:rPr>
                <w:rFonts w:ascii="Arial" w:cs="Arial" w:eastAsia="Arial" w:hAnsi="Arial"/>
                <w:sz w:val="12"/>
                <w:szCs w:val="12"/>
                <w:color w:val="0000FF"/>
              </w:rPr>
            </w:pPr>
            <w:hyperlink w:anchor="page384">
              <w:r>
                <w:rPr>
                  <w:rFonts w:ascii="Arial" w:cs="Arial" w:eastAsia="Arial" w:hAnsi="Arial"/>
                  <w:sz w:val="12"/>
                  <w:szCs w:val="12"/>
                  <w:color w:val="0000FF"/>
                </w:rPr>
                <w:t>Certification of Marc C. Ganzi, Chief Executive Officer, pursuant to 18 U.S.C. Section 1350, as adopted pursuant to Section 906 of the Sarbanes-Oxley Act of 2002</w:t>
              </w:r>
            </w:hyperlink>
          </w:p>
        </w:tc>
      </w:tr>
      <w:tr>
        <w:trPr>
          <w:trHeight w:val="175"/>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32.2*</w:t>
            </w:r>
          </w:p>
        </w:tc>
        <w:tc>
          <w:tcPr>
            <w:tcW w:w="220" w:type="dxa"/>
            <w:vAlign w:val="bottom"/>
            <w:shd w:val="clear" w:color="auto" w:fill="CCEEFF"/>
          </w:tcPr>
          <w:p>
            <w:pPr>
              <w:spacing w:after="0"/>
              <w:rPr>
                <w:sz w:val="15"/>
                <w:szCs w:val="15"/>
                <w:color w:val="auto"/>
              </w:rPr>
            </w:pPr>
          </w:p>
        </w:tc>
        <w:tc>
          <w:tcPr>
            <w:tcW w:w="8960" w:type="dxa"/>
            <w:vAlign w:val="bottom"/>
            <w:tcBorders>
              <w:top w:val="single" w:sz="8" w:color="0000FF"/>
            </w:tcBorders>
            <w:gridSpan w:val="20"/>
            <w:shd w:val="clear" w:color="auto" w:fill="CCEEFF"/>
          </w:tcPr>
          <w:p>
            <w:pPr>
              <w:spacing w:after="0"/>
              <w:rPr>
                <w:rFonts w:ascii="Arial" w:cs="Arial" w:eastAsia="Arial" w:hAnsi="Arial"/>
                <w:sz w:val="12"/>
                <w:szCs w:val="12"/>
                <w:color w:val="0000FF"/>
              </w:rPr>
            </w:pPr>
            <w:hyperlink w:anchor="page385">
              <w:r>
                <w:rPr>
                  <w:rFonts w:ascii="Arial" w:cs="Arial" w:eastAsia="Arial" w:hAnsi="Arial"/>
                  <w:sz w:val="12"/>
                  <w:szCs w:val="12"/>
                  <w:color w:val="0000FF"/>
                </w:rPr>
                <w:t>Certification of Jacky Wu, Chief Financial Officer, pursuant to 18 U.S.C. Section 1350, as adopted pursuant to Section 906 of the Sarbanes-Oxley Act of 2002</w:t>
              </w:r>
            </w:hyperlink>
          </w:p>
        </w:tc>
        <w:tc>
          <w:tcPr>
            <w:tcW w:w="1240" w:type="dxa"/>
            <w:vAlign w:val="bottom"/>
            <w:tcBorders>
              <w:right w:val="single" w:sz="8" w:color="CCEEFF"/>
            </w:tcBorders>
            <w:gridSpan w:val="17"/>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8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101.INS**</w:t>
            </w:r>
          </w:p>
        </w:tc>
        <w:tc>
          <w:tcPr>
            <w:tcW w:w="220" w:type="dxa"/>
            <w:vAlign w:val="bottom"/>
            <w:tcBorders>
              <w:top w:val="single" w:sz="8" w:color="CCEEFF"/>
            </w:tcBorders>
          </w:tcPr>
          <w:p>
            <w:pPr>
              <w:spacing w:after="0"/>
              <w:rPr>
                <w:sz w:val="15"/>
                <w:szCs w:val="15"/>
                <w:color w:val="auto"/>
              </w:rPr>
            </w:pPr>
          </w:p>
        </w:tc>
        <w:tc>
          <w:tcPr>
            <w:tcW w:w="8660" w:type="dxa"/>
            <w:vAlign w:val="bottom"/>
            <w:tcBorders>
              <w:top w:val="single" w:sz="8" w:color="0000FF"/>
            </w:tcBorders>
            <w:gridSpan w:val="18"/>
          </w:tcPr>
          <w:p>
            <w:pPr>
              <w:spacing w:after="0"/>
              <w:rPr>
                <w:sz w:val="20"/>
                <w:szCs w:val="20"/>
                <w:color w:val="auto"/>
              </w:rPr>
            </w:pPr>
            <w:r>
              <w:rPr>
                <w:rFonts w:ascii="Arial" w:cs="Arial" w:eastAsia="Arial" w:hAnsi="Arial"/>
                <w:sz w:val="12"/>
                <w:szCs w:val="12"/>
                <w:color w:val="auto"/>
              </w:rPr>
              <w:t>XBRL Instance Document</w:t>
            </w:r>
          </w:p>
        </w:tc>
        <w:tc>
          <w:tcPr>
            <w:tcW w:w="1540" w:type="dxa"/>
            <w:vAlign w:val="bottom"/>
            <w:tcBorders>
              <w:top w:val="single" w:sz="8" w:color="CCEEFF"/>
            </w:tcBorders>
            <w:gridSpan w:val="19"/>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101.SCH</w:t>
            </w:r>
          </w:p>
        </w:tc>
        <w:tc>
          <w:tcPr>
            <w:tcW w:w="10420" w:type="dxa"/>
            <w:vAlign w:val="bottom"/>
            <w:tcBorders>
              <w:right w:val="single" w:sz="8" w:color="CCEEFF"/>
            </w:tcBorders>
            <w:gridSpan w:val="38"/>
            <w:shd w:val="clear" w:color="auto" w:fill="CCEEFF"/>
          </w:tcPr>
          <w:p>
            <w:pPr>
              <w:ind w:left="220"/>
              <w:spacing w:after="0"/>
              <w:rPr>
                <w:sz w:val="20"/>
                <w:szCs w:val="20"/>
                <w:color w:val="auto"/>
              </w:rPr>
            </w:pPr>
            <w:r>
              <w:rPr>
                <w:rFonts w:ascii="Arial" w:cs="Arial" w:eastAsia="Arial" w:hAnsi="Arial"/>
                <w:sz w:val="12"/>
                <w:szCs w:val="12"/>
                <w:color w:val="auto"/>
              </w:rPr>
              <w:t>Inline XBRL Taxonomy Extension Schema</w:t>
            </w:r>
          </w:p>
        </w:tc>
        <w:tc>
          <w:tcPr>
            <w:tcW w:w="40" w:type="dxa"/>
            <w:vAlign w:val="bottom"/>
          </w:tcPr>
          <w:p>
            <w:pPr>
              <w:spacing w:after="0"/>
              <w:rPr>
                <w:sz w:val="16"/>
                <w:szCs w:val="16"/>
                <w:color w:val="auto"/>
              </w:rPr>
            </w:pPr>
          </w:p>
        </w:tc>
      </w:tr>
      <w:tr>
        <w:trPr>
          <w:trHeight w:val="182"/>
        </w:trPr>
        <w:tc>
          <w:tcPr>
            <w:tcW w:w="800" w:type="dxa"/>
            <w:vAlign w:val="bottom"/>
          </w:tcPr>
          <w:p>
            <w:pPr>
              <w:spacing w:after="0"/>
              <w:rPr>
                <w:sz w:val="20"/>
                <w:szCs w:val="20"/>
                <w:color w:val="auto"/>
              </w:rPr>
            </w:pPr>
            <w:r>
              <w:rPr>
                <w:rFonts w:ascii="Arial" w:cs="Arial" w:eastAsia="Arial" w:hAnsi="Arial"/>
                <w:sz w:val="12"/>
                <w:szCs w:val="12"/>
                <w:color w:val="auto"/>
              </w:rPr>
              <w:t>101.CAL</w:t>
            </w:r>
          </w:p>
        </w:tc>
        <w:tc>
          <w:tcPr>
            <w:tcW w:w="10460" w:type="dxa"/>
            <w:vAlign w:val="bottom"/>
            <w:gridSpan w:val="39"/>
          </w:tcPr>
          <w:p>
            <w:pPr>
              <w:ind w:left="220"/>
              <w:spacing w:after="0"/>
              <w:rPr>
                <w:sz w:val="20"/>
                <w:szCs w:val="20"/>
                <w:color w:val="auto"/>
              </w:rPr>
            </w:pPr>
            <w:r>
              <w:rPr>
                <w:rFonts w:ascii="Arial" w:cs="Arial" w:eastAsia="Arial" w:hAnsi="Arial"/>
                <w:sz w:val="12"/>
                <w:szCs w:val="12"/>
                <w:color w:val="auto"/>
              </w:rPr>
              <w:t>Inline XBRL Taxonomy Extension Calculation Linkbase</w:t>
            </w:r>
          </w:p>
        </w:tc>
      </w:tr>
      <w:tr>
        <w:trPr>
          <w:trHeight w:val="192"/>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101.LAB</w:t>
            </w:r>
          </w:p>
        </w:tc>
        <w:tc>
          <w:tcPr>
            <w:tcW w:w="10420" w:type="dxa"/>
            <w:vAlign w:val="bottom"/>
            <w:tcBorders>
              <w:right w:val="single" w:sz="8" w:color="CCEEFF"/>
            </w:tcBorders>
            <w:gridSpan w:val="38"/>
            <w:shd w:val="clear" w:color="auto" w:fill="CCEEFF"/>
          </w:tcPr>
          <w:p>
            <w:pPr>
              <w:ind w:left="220"/>
              <w:spacing w:after="0"/>
              <w:rPr>
                <w:sz w:val="20"/>
                <w:szCs w:val="20"/>
                <w:color w:val="auto"/>
              </w:rPr>
            </w:pPr>
            <w:r>
              <w:rPr>
                <w:rFonts w:ascii="Arial" w:cs="Arial" w:eastAsia="Arial" w:hAnsi="Arial"/>
                <w:sz w:val="12"/>
                <w:szCs w:val="12"/>
                <w:color w:val="auto"/>
              </w:rPr>
              <w:t>Inline XBRL Taxonomy Extension Label Linkbase</w:t>
            </w:r>
          </w:p>
        </w:tc>
        <w:tc>
          <w:tcPr>
            <w:tcW w:w="40" w:type="dxa"/>
            <w:vAlign w:val="bottom"/>
          </w:tcPr>
          <w:p>
            <w:pPr>
              <w:spacing w:after="0"/>
              <w:rPr>
                <w:sz w:val="16"/>
                <w:szCs w:val="16"/>
                <w:color w:val="auto"/>
              </w:rPr>
            </w:pPr>
          </w:p>
        </w:tc>
      </w:tr>
      <w:tr>
        <w:trPr>
          <w:trHeight w:val="880"/>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182" w:name="page183"/>
    <w:bookmarkEnd w:id="182"/>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020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52"/>
        </w:trPr>
        <w:tc>
          <w:tcPr>
            <w:tcW w:w="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10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020" w:type="dxa"/>
            <w:vAlign w:val="bottom"/>
            <w:gridSpan w:val="2"/>
          </w:tcPr>
          <w:p>
            <w:pPr>
              <w:spacing w:after="0"/>
              <w:rPr>
                <w:sz w:val="20"/>
                <w:szCs w:val="20"/>
                <w:color w:val="auto"/>
              </w:rPr>
            </w:pPr>
            <w:r>
              <w:rPr>
                <w:rFonts w:ascii="Arial" w:cs="Arial" w:eastAsia="Arial" w:hAnsi="Arial"/>
                <w:sz w:val="12"/>
                <w:szCs w:val="12"/>
                <w:color w:val="auto"/>
              </w:rPr>
              <w:t>101.PRE</w:t>
            </w:r>
          </w:p>
        </w:tc>
        <w:tc>
          <w:tcPr>
            <w:tcW w:w="10200" w:type="dxa"/>
            <w:vAlign w:val="bottom"/>
          </w:tcPr>
          <w:p>
            <w:pPr>
              <w:spacing w:after="0"/>
              <w:rPr>
                <w:sz w:val="20"/>
                <w:szCs w:val="20"/>
                <w:color w:val="auto"/>
              </w:rPr>
            </w:pPr>
            <w:r>
              <w:rPr>
                <w:rFonts w:ascii="Arial" w:cs="Arial" w:eastAsia="Arial" w:hAnsi="Arial"/>
                <w:sz w:val="12"/>
                <w:szCs w:val="12"/>
                <w:color w:val="auto"/>
              </w:rPr>
              <w:t>Inline XBRL Taxonomy Extension Presentation Linkbase</w:t>
            </w:r>
          </w:p>
        </w:tc>
        <w:tc>
          <w:tcPr>
            <w:tcW w:w="0" w:type="dxa"/>
            <w:vAlign w:val="bottom"/>
          </w:tcPr>
          <w:p>
            <w:pPr>
              <w:spacing w:after="0"/>
              <w:rPr>
                <w:sz w:val="1"/>
                <w:szCs w:val="1"/>
                <w:color w:val="auto"/>
              </w:rPr>
            </w:pPr>
          </w:p>
        </w:tc>
      </w:tr>
      <w:tr>
        <w:trPr>
          <w:trHeight w:val="192"/>
        </w:trPr>
        <w:tc>
          <w:tcPr>
            <w:tcW w:w="1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101.DEF</w:t>
            </w:r>
          </w:p>
        </w:tc>
        <w:tc>
          <w:tcPr>
            <w:tcW w:w="10200" w:type="dxa"/>
            <w:vAlign w:val="bottom"/>
            <w:shd w:val="clear" w:color="auto" w:fill="CCEEFF"/>
          </w:tcPr>
          <w:p>
            <w:pPr>
              <w:spacing w:after="0"/>
              <w:rPr>
                <w:sz w:val="20"/>
                <w:szCs w:val="20"/>
                <w:color w:val="auto"/>
              </w:rPr>
            </w:pPr>
            <w:r>
              <w:rPr>
                <w:rFonts w:ascii="Arial" w:cs="Arial" w:eastAsia="Arial" w:hAnsi="Arial"/>
                <w:sz w:val="12"/>
                <w:szCs w:val="12"/>
                <w:color w:val="auto"/>
              </w:rPr>
              <w:t>Inline XBRL Taxonomy Extension Definition Linkbase</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5"/>
                <w:szCs w:val="15"/>
                <w:color w:val="auto"/>
              </w:rPr>
            </w:pPr>
          </w:p>
        </w:tc>
        <w:tc>
          <w:tcPr>
            <w:tcW w:w="10200" w:type="dxa"/>
            <w:vAlign w:val="bottom"/>
          </w:tcPr>
          <w:p>
            <w:pPr>
              <w:spacing w:after="0"/>
              <w:rPr>
                <w:sz w:val="20"/>
                <w:szCs w:val="20"/>
                <w:color w:val="auto"/>
              </w:rPr>
            </w:pPr>
            <w:r>
              <w:rPr>
                <w:rFonts w:ascii="Arial" w:cs="Arial" w:eastAsia="Arial" w:hAnsi="Arial"/>
                <w:sz w:val="12"/>
                <w:szCs w:val="12"/>
                <w:color w:val="auto"/>
              </w:rPr>
              <w:t>Cover Page Interactive Data File</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4"/>
                <w:szCs w:val="14"/>
                <w:color w:val="auto"/>
              </w:rPr>
              <w:t>__________</w:t>
            </w:r>
          </w:p>
        </w:tc>
        <w:tc>
          <w:tcPr>
            <w:tcW w:w="100" w:type="dxa"/>
            <w:vAlign w:val="bottom"/>
          </w:tcPr>
          <w:p>
            <w:pPr>
              <w:spacing w:after="0"/>
              <w:rPr>
                <w:sz w:val="22"/>
                <w:szCs w:val="22"/>
                <w:color w:val="auto"/>
              </w:rPr>
            </w:pPr>
          </w:p>
        </w:tc>
        <w:tc>
          <w:tcPr>
            <w:tcW w:w="10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 w:right="6680" w:hanging="6"/>
        <w:spacing w:after="0" w:line="325" w:lineRule="auto"/>
        <w:tabs>
          <w:tab w:leader="none" w:pos="11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Denotes a management contract or compensatory plan contract or arrangement. * Filed herewith.</w:t>
      </w:r>
    </w:p>
    <w:p>
      <w:pPr>
        <w:ind w:left="6"/>
        <w:spacing w:after="0"/>
        <w:rPr>
          <w:rFonts w:ascii="Arial" w:cs="Arial" w:eastAsia="Arial" w:hAnsi="Arial"/>
          <w:sz w:val="12"/>
          <w:szCs w:val="12"/>
          <w:color w:val="auto"/>
        </w:rPr>
      </w:pPr>
      <w:r>
        <w:rPr>
          <w:rFonts w:ascii="Arial" w:cs="Arial" w:eastAsia="Arial" w:hAnsi="Arial"/>
          <w:sz w:val="12"/>
          <w:szCs w:val="12"/>
          <w:color w:val="auto"/>
        </w:rPr>
        <w:t>**   The document does not appear in the Interactive Data File because its XBRL tags are embedded within the Inline XBRL document.</w:t>
      </w:r>
    </w:p>
    <w:p>
      <w:pPr>
        <w:spacing w:after="0" w:line="49" w:lineRule="exact"/>
        <w:rPr>
          <w:sz w:val="20"/>
          <w:szCs w:val="20"/>
          <w:color w:val="auto"/>
        </w:rPr>
      </w:pPr>
    </w:p>
    <w:p>
      <w:pPr>
        <w:ind w:left="206" w:right="220" w:hanging="206"/>
        <w:spacing w:after="0" w:line="262" w:lineRule="auto"/>
        <w:tabs>
          <w:tab w:leader="none" w:pos="315" w:val="left"/>
        </w:tabs>
        <w:numPr>
          <w:ilvl w:val="0"/>
          <w:numId w:val="122"/>
        </w:numPr>
        <w:rPr>
          <w:rFonts w:ascii="Arial" w:cs="Arial" w:eastAsia="Arial" w:hAnsi="Arial"/>
          <w:sz w:val="12"/>
          <w:szCs w:val="12"/>
          <w:color w:val="auto"/>
        </w:rPr>
      </w:pPr>
      <w:r>
        <w:rPr>
          <w:rFonts w:ascii="Arial" w:cs="Arial" w:eastAsia="Arial" w:hAnsi="Arial"/>
          <w:sz w:val="12"/>
          <w:szCs w:val="12"/>
          <w:color w:val="auto"/>
        </w:rPr>
        <w:t>Schedules and exhibits to such agreement have been omitted from this filing pursuant to Item 601(a)(5) of Regulation S-K. The Registrant will furnish copies of such schedules and exhibits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640080</wp:posOffset>
            </wp:positionV>
            <wp:extent cx="7176135"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6"/>
          </w:cols>
          <w:pgMar w:left="314" w:top="140" w:right="359" w:bottom="1440" w:gutter="0" w:footer="0" w:header="0"/>
        </w:sectPr>
      </w:pPr>
    </w:p>
    <w:bookmarkStart w:id="183" w:name="page184"/>
    <w:bookmarkEnd w:id="1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SIGNATURES</w:t>
      </w:r>
    </w:p>
    <w:p>
      <w:pPr>
        <w:spacing w:after="0" w:line="161" w:lineRule="exact"/>
        <w:rPr>
          <w:sz w:val="20"/>
          <w:szCs w:val="20"/>
          <w:color w:val="auto"/>
        </w:rPr>
      </w:pPr>
    </w:p>
    <w:p>
      <w:pPr>
        <w:ind w:firstLine="351"/>
        <w:spacing w:after="0" w:line="248"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28, 2022</w:t>
      </w:r>
    </w:p>
    <w:p>
      <w:pPr>
        <w:spacing w:after="0" w:line="15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DigitalBridge Group, Inc.</w:t>
      </w:r>
    </w:p>
    <w:p>
      <w:pPr>
        <w:spacing w:after="0" w:line="284" w:lineRule="exact"/>
        <w:rPr>
          <w:sz w:val="20"/>
          <w:szCs w:val="20"/>
          <w:color w:val="auto"/>
        </w:rPr>
      </w:pPr>
    </w:p>
    <w:p>
      <w:pPr>
        <w:ind w:left="3140"/>
        <w:spacing w:after="0"/>
        <w:tabs>
          <w:tab w:leader="none" w:pos="5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2540</wp:posOffset>
            </wp:positionV>
            <wp:extent cx="264350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2643505" cy="762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Marc C. Ganzi</w:t>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Chief Executive Officer and President</w:t>
      </w:r>
    </w:p>
    <w:p>
      <w:pPr>
        <w:ind w:left="5100"/>
        <w:spacing w:after="0"/>
        <w:rPr>
          <w:sz w:val="20"/>
          <w:szCs w:val="20"/>
          <w:color w:val="auto"/>
        </w:rPr>
      </w:pPr>
      <w:r>
        <w:rPr>
          <w:rFonts w:ascii="Arial" w:cs="Arial" w:eastAsia="Arial" w:hAnsi="Arial"/>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812165</wp:posOffset>
            </wp:positionV>
            <wp:extent cx="7176135"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860"/>
          </w:cols>
          <w:pgMar w:left="320" w:top="140" w:right="719" w:bottom="1440" w:gutter="0" w:footer="0" w:header="0"/>
        </w:sectPr>
      </w:pPr>
    </w:p>
    <w:bookmarkStart w:id="184" w:name="page185"/>
    <w:bookmarkEnd w:id="1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POWER OF ATTORNEY</w:t>
      </w:r>
    </w:p>
    <w:p>
      <w:pPr>
        <w:spacing w:after="0" w:line="37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Jacky Wu and Ronald M. Sanders and each of them severally, her or his true and lawful attorney-in-fact with power of substitution and re-substitution to sign in her or his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this Annual Report on Form 10-K and any and all amendments hereto, as fully for all intents and purposes as she or he might or could do in person, and hereby ratifies and confirms all said attorneys-in-fact and agents, each acting alone, and her or his substitute or substitutes, may lawfully do or cause to be done by virtue hereof. Pursuant to the requirements of Section 13 or 15(d) of the Securities Exchange Act of 1934, this report has been signed below on behalf of the Registrant in the capacities and on the dates indicated.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8"/>
              </w:rPr>
              <w:t>Signature</w:t>
            </w:r>
          </w:p>
        </w:tc>
        <w:tc>
          <w:tcPr>
            <w:tcW w:w="1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2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2640" w:type="dxa"/>
            <w:vAlign w:val="bottom"/>
            <w:gridSpan w:val="3"/>
          </w:tcPr>
          <w:p>
            <w:pPr>
              <w:jc w:val="center"/>
              <w:ind w:left="1284"/>
              <w:spacing w:after="0"/>
              <w:rPr>
                <w:sz w:val="20"/>
                <w:szCs w:val="20"/>
                <w:color w:val="auto"/>
              </w:rPr>
            </w:pPr>
            <w:r>
              <w:rPr>
                <w:rFonts w:ascii="Arial" w:cs="Arial" w:eastAsia="Arial" w:hAnsi="Arial"/>
                <w:sz w:val="11"/>
                <w:szCs w:val="11"/>
                <w:b w:val="1"/>
                <w:bCs w:val="1"/>
                <w:color w:val="auto"/>
              </w:rPr>
              <w:t>Date</w:t>
            </w:r>
          </w:p>
        </w:tc>
      </w:tr>
      <w:tr>
        <w:trPr>
          <w:trHeight w:val="20"/>
        </w:trPr>
        <w:tc>
          <w:tcPr>
            <w:tcW w:w="1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8"/>
        </w:trPr>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20" w:type="dxa"/>
            <w:vAlign w:val="bottom"/>
            <w:gridSpan w:val="3"/>
          </w:tcPr>
          <w:p>
            <w:pPr>
              <w:ind w:left="100"/>
              <w:spacing w:after="0" w:line="178" w:lineRule="exact"/>
              <w:rPr>
                <w:sz w:val="20"/>
                <w:szCs w:val="20"/>
                <w:color w:val="auto"/>
              </w:rPr>
            </w:pPr>
            <w:r>
              <w:rPr>
                <w:rFonts w:ascii="Arial" w:cs="Arial" w:eastAsia="Arial" w:hAnsi="Arial"/>
                <w:sz w:val="16"/>
                <w:szCs w:val="16"/>
                <w:color w:val="auto"/>
              </w:rPr>
              <w:t>Chief Executive Officer and President (Principal</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7"/>
        </w:trPr>
        <w:tc>
          <w:tcPr>
            <w:tcW w:w="2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7"/>
              </w:rPr>
              <w:t>/s/ Marc C. Ganzi</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Executive Officer)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 C. Ganzi</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6"/>
              </w:rPr>
              <w:t>/s/ Jacky Wu</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Officer)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9"/>
              </w:rPr>
              <w:t>Jacky Wu</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7"/>
              </w:rPr>
              <w:t>/s/ Sonia Kim</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Chief Accounting Officer (Principal Accounting Officer)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Sonia Kim</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/s/ Nancy A. Curtin</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Nancy A. Curtin</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color w:val="auto"/>
              </w:rPr>
              <w:t>/s/ J. Braxton Carter</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J. Braxton Carter</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/s/ Jeannie H. Diefenderfer</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Jeannie H. Diefenderfer</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/s/ Jon A. Fosheim</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9"/>
              </w:rPr>
              <w:t>Jon A. Fosheim</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7"/>
              </w:rPr>
              <w:t>/s/ Gregory J. McCray</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Gregory J. McCray</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7"/>
              </w:rPr>
              <w:t>/s/ Sháka Rasheed</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Sháka Rasheed</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/s/ Dale Anne Reiss</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Dale Anne Reiss</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/s/ John L. Steffens</w:t>
            </w:r>
          </w:p>
        </w:tc>
        <w:tc>
          <w:tcPr>
            <w:tcW w:w="522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84"/>
              <w:spacing w:after="0"/>
              <w:rPr>
                <w:sz w:val="20"/>
                <w:szCs w:val="20"/>
                <w:color w:val="auto"/>
              </w:rPr>
            </w:pPr>
            <w:r>
              <w:rPr>
                <w:rFonts w:ascii="Arial" w:cs="Arial" w:eastAsia="Arial" w:hAnsi="Arial"/>
                <w:sz w:val="16"/>
                <w:szCs w:val="16"/>
                <w:color w:val="auto"/>
                <w:w w:val="97"/>
              </w:rPr>
              <w:t>February 28, 2022</w:t>
            </w:r>
          </w:p>
        </w:tc>
      </w:tr>
      <w:tr>
        <w:trPr>
          <w:trHeight w:val="177"/>
        </w:trPr>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John L. Steffens</w:t>
            </w: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ectPr>
          <w:pgSz w:w="11900" w:h="16838" w:orient="portrait"/>
          <w:cols w:equalWidth="0" w:num="1">
            <w:col w:w="11200"/>
          </w:cols>
          <w:pgMar w:left="320" w:top="140" w:right="379" w:bottom="1440" w:gutter="0" w:footer="0" w:header="0"/>
        </w:sectPr>
      </w:pPr>
    </w:p>
    <w:bookmarkStart w:id="185" w:name="page186"/>
    <w:bookmarkEnd w:id="185"/>
    <w:p>
      <w:pPr>
        <w:ind w:left="8940"/>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333" w:lineRule="exact"/>
        <w:rPr>
          <w:sz w:val="20"/>
          <w:szCs w:val="20"/>
          <w:color w:val="auto"/>
        </w:rPr>
      </w:pPr>
    </w:p>
    <w:p>
      <w:pPr>
        <w:ind w:right="400"/>
        <w:spacing w:after="0" w:line="238" w:lineRule="auto"/>
        <w:rPr>
          <w:sz w:val="20"/>
          <w:szCs w:val="20"/>
          <w:color w:val="auto"/>
        </w:rPr>
      </w:pPr>
      <w:r>
        <w:rPr>
          <w:rFonts w:ascii="Arial" w:cs="Arial" w:eastAsia="Arial" w:hAnsi="Arial"/>
          <w:sz w:val="14"/>
          <w:szCs w:val="14"/>
          <w:color w:val="auto"/>
        </w:rPr>
        <w:t>This restated charter of DigitalBridge Group, Inc. is a composite charter that includes prior amendments to reflect the name change of the Corporation and has not been approved by the board of directors of the Corporation or filed with the Maryland Department of Assessments and Taxation.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COLONY CAPITAL,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ARTICLES OF AMENDMENT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THIS IS TO CERTIFY THAT</w:t>
      </w:r>
    </w:p>
    <w:p>
      <w:pPr>
        <w:spacing w:after="0" w:line="190" w:lineRule="exact"/>
        <w:rPr>
          <w:sz w:val="20"/>
          <w:szCs w:val="20"/>
          <w:color w:val="auto"/>
        </w:rPr>
      </w:pPr>
    </w:p>
    <w:p>
      <w:pPr>
        <w:ind w:right="100" w:firstLine="842"/>
        <w:spacing w:after="0" w:line="238" w:lineRule="auto"/>
        <w:rPr>
          <w:sz w:val="20"/>
          <w:szCs w:val="20"/>
          <w:color w:val="auto"/>
        </w:rPr>
      </w:pPr>
      <w:r>
        <w:rPr>
          <w:rFonts w:ascii="Arial" w:cs="Arial" w:eastAsia="Arial" w:hAnsi="Arial"/>
          <w:sz w:val="14"/>
          <w:szCs w:val="14"/>
          <w:u w:val="single" w:color="auto"/>
          <w:color w:val="auto"/>
        </w:rPr>
        <w:t>FIRST</w:t>
      </w:r>
      <w:r>
        <w:rPr>
          <w:rFonts w:ascii="Arial" w:cs="Arial" w:eastAsia="Arial" w:hAnsi="Arial"/>
          <w:sz w:val="14"/>
          <w:szCs w:val="14"/>
          <w:color w:val="auto"/>
        </w:rPr>
        <w:t xml:space="preserve"> The charter of Colony Capital, Inc., a Maryland corporation (the Corporation”), is hereby amended by deleting existing Article II in its entirety and substituting in lieu thereof a new article to read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name of the corporation (the “Corporation”) is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DigitalBridge Group, Inc.</w:t>
      </w:r>
    </w:p>
    <w:p>
      <w:pPr>
        <w:spacing w:after="0" w:line="190" w:lineRule="exact"/>
        <w:rPr>
          <w:sz w:val="20"/>
          <w:szCs w:val="20"/>
          <w:color w:val="auto"/>
        </w:rPr>
      </w:pPr>
    </w:p>
    <w:p>
      <w:pPr>
        <w:ind w:right="440" w:firstLine="842"/>
        <w:spacing w:after="0" w:line="315" w:lineRule="auto"/>
        <w:rPr>
          <w:sz w:val="20"/>
          <w:szCs w:val="20"/>
          <w:color w:val="auto"/>
        </w:rPr>
      </w:pP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The amendment to the charter of the Corporation as set forth above has been duly approved by at least a majority of the entire Board of Directors of the Corporation as required by law. The amendment set forth herein is made without action by the stockholders of the Corporation, pursuant to Section 2-605(a)(1) of the Maryland General Corporation Law.</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4"/>
          <w:szCs w:val="14"/>
          <w:u w:val="single" w:color="auto"/>
          <w:color w:val="auto"/>
        </w:rPr>
        <w:t>THIRD</w:t>
      </w:r>
      <w:r>
        <w:rPr>
          <w:rFonts w:ascii="Arial" w:cs="Arial" w:eastAsia="Arial" w:hAnsi="Arial"/>
          <w:sz w:val="14"/>
          <w:szCs w:val="14"/>
          <w:color w:val="auto"/>
        </w:rPr>
        <w:t xml:space="preserve"> These Articles of Amendment shall become effective as of 4:00 p.m. Eastern time on June 21, 2021.</w:t>
      </w:r>
    </w:p>
    <w:p>
      <w:pPr>
        <w:spacing w:after="0" w:line="190" w:lineRule="exact"/>
        <w:rPr>
          <w:sz w:val="20"/>
          <w:szCs w:val="20"/>
          <w:color w:val="auto"/>
        </w:rPr>
      </w:pPr>
    </w:p>
    <w:p>
      <w:pPr>
        <w:ind w:right="240" w:firstLine="842"/>
        <w:spacing w:after="0" w:line="228" w:lineRule="auto"/>
        <w:rPr>
          <w:sz w:val="20"/>
          <w:szCs w:val="20"/>
          <w:color w:val="auto"/>
        </w:rPr>
      </w:pPr>
      <w:r>
        <w:rPr>
          <w:rFonts w:ascii="Arial" w:cs="Arial" w:eastAsia="Arial" w:hAnsi="Arial"/>
          <w:sz w:val="14"/>
          <w:szCs w:val="14"/>
          <w:color w:val="auto"/>
        </w:rPr>
        <w:t>FOURTH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firstLine="842"/>
        <w:spacing w:after="0" w:line="238" w:lineRule="auto"/>
        <w:rPr>
          <w:sz w:val="20"/>
          <w:szCs w:val="20"/>
          <w:color w:val="auto"/>
        </w:rPr>
      </w:pPr>
      <w:r>
        <w:rPr>
          <w:rFonts w:ascii="Arial" w:cs="Arial" w:eastAsia="Arial" w:hAnsi="Arial"/>
          <w:sz w:val="14"/>
          <w:szCs w:val="14"/>
          <w:color w:val="auto"/>
        </w:rPr>
        <w:t>IN WITNESS WHEREOF, the Corporation has caused these Articles of Amendment to be signed in its name and on its behalf by its Chief Financial Officer and President and attested to by its Secretary on this 21st day of June, 2021.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80" w:type="dxa"/>
            <w:vAlign w:val="bottom"/>
            <w:gridSpan w:val="2"/>
          </w:tcPr>
          <w:p>
            <w:pPr>
              <w:ind w:left="20"/>
              <w:spacing w:after="0"/>
              <w:rPr>
                <w:sz w:val="20"/>
                <w:szCs w:val="20"/>
                <w:color w:val="auto"/>
              </w:rPr>
            </w:pPr>
            <w:r>
              <w:rPr>
                <w:rFonts w:ascii="Arial" w:cs="Arial" w:eastAsia="Arial" w:hAnsi="Arial"/>
                <w:sz w:val="14"/>
                <w:szCs w:val="14"/>
                <w:color w:val="auto"/>
              </w:rPr>
              <w:t>COLONY CAPITAL, INC.</w:t>
            </w:r>
          </w:p>
        </w:tc>
      </w:tr>
      <w:tr>
        <w:trPr>
          <w:trHeight w:val="669"/>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Ronald M. Sanders</w:t>
            </w:r>
          </w:p>
        </w:tc>
        <w:tc>
          <w:tcPr>
            <w:tcW w:w="600" w:type="dxa"/>
            <w:vAlign w:val="bottom"/>
          </w:tcPr>
          <w:p>
            <w:pPr>
              <w:spacing w:after="0"/>
              <w:rPr>
                <w:sz w:val="24"/>
                <w:szCs w:val="2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Jacky Wu</w:t>
            </w:r>
          </w:p>
        </w:tc>
        <w:tc>
          <w:tcPr>
            <w:tcW w:w="4380" w:type="dxa"/>
            <w:vAlign w:val="bottom"/>
            <w:tcBorders>
              <w:bottom w:val="single" w:sz="8" w:color="auto"/>
            </w:tcBorders>
          </w:tcPr>
          <w:p>
            <w:pPr>
              <w:spacing w:after="0"/>
              <w:rPr>
                <w:sz w:val="24"/>
                <w:szCs w:val="24"/>
                <w:color w:val="auto"/>
              </w:rPr>
            </w:pPr>
          </w:p>
        </w:tc>
      </w:tr>
      <w:tr>
        <w:trPr>
          <w:trHeight w:val="176"/>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5180" w:type="dxa"/>
            <w:vAlign w:val="bottom"/>
            <w:gridSpan w:val="2"/>
          </w:tcPr>
          <w:p>
            <w:pPr>
              <w:ind w:left="240"/>
              <w:spacing w:after="0"/>
              <w:rPr>
                <w:sz w:val="20"/>
                <w:szCs w:val="20"/>
                <w:color w:val="auto"/>
              </w:rPr>
            </w:pPr>
            <w:r>
              <w:rPr>
                <w:rFonts w:ascii="Arial" w:cs="Arial" w:eastAsia="Arial" w:hAnsi="Arial"/>
                <w:sz w:val="14"/>
                <w:szCs w:val="14"/>
                <w:color w:val="auto"/>
              </w:rPr>
              <w:t>Ronald M. Sanders</w:t>
            </w:r>
          </w:p>
        </w:tc>
        <w:tc>
          <w:tcPr>
            <w:tcW w:w="900" w:type="dxa"/>
            <w:vAlign w:val="bottom"/>
          </w:tcPr>
          <w:p>
            <w:pPr>
              <w:ind w:left="20"/>
              <w:spacing w:after="0"/>
              <w:rPr>
                <w:sz w:val="20"/>
                <w:szCs w:val="20"/>
                <w:color w:val="auto"/>
              </w:rPr>
            </w:pPr>
            <w:r>
              <w:rPr>
                <w:rFonts w:ascii="Arial" w:cs="Arial" w:eastAsia="Arial" w:hAnsi="Arial"/>
                <w:sz w:val="14"/>
                <w:szCs w:val="14"/>
                <w:color w:val="auto"/>
              </w:rPr>
              <w:t>Name:</w:t>
            </w:r>
          </w:p>
        </w:tc>
        <w:tc>
          <w:tcPr>
            <w:tcW w:w="4380" w:type="dxa"/>
            <w:vAlign w:val="bottom"/>
          </w:tcPr>
          <w:p>
            <w:pPr>
              <w:ind w:left="140"/>
              <w:spacing w:after="0"/>
              <w:rPr>
                <w:sz w:val="20"/>
                <w:szCs w:val="20"/>
                <w:color w:val="auto"/>
              </w:rPr>
            </w:pPr>
            <w:r>
              <w:rPr>
                <w:rFonts w:ascii="Arial" w:cs="Arial" w:eastAsia="Arial" w:hAnsi="Arial"/>
                <w:sz w:val="14"/>
                <w:szCs w:val="14"/>
                <w:color w:val="auto"/>
              </w:rPr>
              <w:t>Jacky Wu</w:t>
            </w: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5180" w:type="dxa"/>
            <w:vAlign w:val="bottom"/>
            <w:gridSpan w:val="2"/>
          </w:tcPr>
          <w:p>
            <w:pPr>
              <w:ind w:left="240"/>
              <w:spacing w:after="0"/>
              <w:rPr>
                <w:sz w:val="20"/>
                <w:szCs w:val="20"/>
                <w:color w:val="auto"/>
              </w:rPr>
            </w:pPr>
            <w:r>
              <w:rPr>
                <w:rFonts w:ascii="Arial" w:cs="Arial" w:eastAsia="Arial" w:hAnsi="Arial"/>
                <w:sz w:val="14"/>
                <w:szCs w:val="14"/>
                <w:color w:val="auto"/>
              </w:rPr>
              <w:t>Executive Vice President, Chief Legal Officer &amp; Secretary</w:t>
            </w:r>
          </w:p>
        </w:tc>
        <w:tc>
          <w:tcPr>
            <w:tcW w:w="900" w:type="dxa"/>
            <w:vAlign w:val="bottom"/>
          </w:tcPr>
          <w:p>
            <w:pPr>
              <w:ind w:left="20"/>
              <w:spacing w:after="0"/>
              <w:rPr>
                <w:sz w:val="20"/>
                <w:szCs w:val="20"/>
                <w:color w:val="auto"/>
              </w:rPr>
            </w:pPr>
            <w:r>
              <w:rPr>
                <w:rFonts w:ascii="Arial" w:cs="Arial" w:eastAsia="Arial" w:hAnsi="Arial"/>
                <w:sz w:val="14"/>
                <w:szCs w:val="14"/>
                <w:color w:val="auto"/>
              </w:rPr>
              <w:t>Title:</w:t>
            </w:r>
          </w:p>
        </w:tc>
        <w:tc>
          <w:tcPr>
            <w:tcW w:w="4380" w:type="dxa"/>
            <w:vAlign w:val="bottom"/>
          </w:tcPr>
          <w:p>
            <w:pPr>
              <w:ind w:left="140"/>
              <w:spacing w:after="0"/>
              <w:rPr>
                <w:sz w:val="20"/>
                <w:szCs w:val="20"/>
                <w:color w:val="auto"/>
              </w:rPr>
            </w:pPr>
            <w:r>
              <w:rPr>
                <w:rFonts w:ascii="Arial" w:cs="Arial" w:eastAsia="Arial" w:hAnsi="Arial"/>
                <w:sz w:val="14"/>
                <w:szCs w:val="14"/>
                <w:color w:val="auto"/>
              </w:rPr>
              <w:t>Executive Vice President &amp; Chief Financial Officer</w:t>
            </w: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Articles of Amendment</w:t>
      </w:r>
    </w:p>
    <w:p>
      <w:pPr>
        <w:sectPr>
          <w:pgSz w:w="11900" w:h="16838" w:orient="portrait"/>
          <w:cols w:equalWidth="0" w:num="1">
            <w:col w:w="11240"/>
          </w:cols>
          <w:pgMar w:left="320" w:top="677" w:right="339" w:bottom="1440" w:gutter="0" w:footer="0" w:header="0"/>
        </w:sectPr>
      </w:pPr>
    </w:p>
    <w:bookmarkStart w:id="186" w:name="page187"/>
    <w:bookmarkEnd w:id="186"/>
    <w:p>
      <w:pPr>
        <w:ind w:left="4680"/>
        <w:spacing w:after="0"/>
        <w:rPr>
          <w:sz w:val="20"/>
          <w:szCs w:val="20"/>
          <w:color w:val="auto"/>
        </w:rPr>
      </w:pPr>
      <w:r>
        <w:rPr>
          <w:rFonts w:ascii="Arial" w:cs="Arial" w:eastAsia="Arial" w:hAnsi="Arial"/>
          <w:sz w:val="14"/>
          <w:szCs w:val="14"/>
          <w:b w:val="1"/>
          <w:bCs w:val="1"/>
          <w:u w:val="single" w:color="auto"/>
          <w:color w:val="auto"/>
        </w:rPr>
        <w:t>COLONY NORTHSTAR, INC.</w:t>
      </w:r>
    </w:p>
    <w:p>
      <w:pPr>
        <w:spacing w:after="0" w:line="85"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ARTICLES OF AMENDMENT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THIS IS TO CERTIFY THAT</w:t>
      </w:r>
    </w:p>
    <w:p>
      <w:pPr>
        <w:spacing w:after="0" w:line="190" w:lineRule="exact"/>
        <w:rPr>
          <w:sz w:val="20"/>
          <w:szCs w:val="20"/>
          <w:color w:val="auto"/>
        </w:rPr>
      </w:pPr>
    </w:p>
    <w:p>
      <w:pPr>
        <w:ind w:firstLine="842"/>
        <w:spacing w:after="0" w:line="238" w:lineRule="auto"/>
        <w:rPr>
          <w:sz w:val="20"/>
          <w:szCs w:val="20"/>
          <w:color w:val="auto"/>
        </w:rPr>
      </w:pPr>
      <w:r>
        <w:rPr>
          <w:rFonts w:ascii="Arial" w:cs="Arial" w:eastAsia="Arial" w:hAnsi="Arial"/>
          <w:sz w:val="14"/>
          <w:szCs w:val="14"/>
          <w:u w:val="single" w:color="auto"/>
          <w:color w:val="auto"/>
        </w:rPr>
        <w:t>FIRST</w:t>
      </w:r>
      <w:r>
        <w:rPr>
          <w:rFonts w:ascii="Arial" w:cs="Arial" w:eastAsia="Arial" w:hAnsi="Arial"/>
          <w:sz w:val="14"/>
          <w:szCs w:val="14"/>
          <w:color w:val="auto"/>
        </w:rPr>
        <w:t xml:space="preserve"> The charter of Colony Northstar, Inc., a Maryland corporation (the Corporation”), is hereby amended by deleting existing Article II in its entirety and substituting in lieu thereof a new article to read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name of the corporation (the “Corporation”) is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Colony Capital, Inc.</w:t>
      </w:r>
    </w:p>
    <w:p>
      <w:pPr>
        <w:spacing w:after="0" w:line="190" w:lineRule="exact"/>
        <w:rPr>
          <w:sz w:val="20"/>
          <w:szCs w:val="20"/>
          <w:color w:val="auto"/>
        </w:rPr>
      </w:pPr>
    </w:p>
    <w:p>
      <w:pPr>
        <w:ind w:right="460" w:firstLine="842"/>
        <w:spacing w:after="0" w:line="315" w:lineRule="auto"/>
        <w:rPr>
          <w:sz w:val="20"/>
          <w:szCs w:val="20"/>
          <w:color w:val="auto"/>
        </w:rPr>
      </w:pP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The amendment to the charter of the Corporation as set forth above has been duly approved by at least a majority of the entire Board of Directors of the Corporation as required by law. The amendment set forth herein is made without action by the stockholders of the Corporation, pursuant to Section 2-605(a)(1) of the Maryland General Corporation Law.</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4"/>
          <w:szCs w:val="14"/>
          <w:u w:val="single" w:color="auto"/>
          <w:color w:val="auto"/>
        </w:rPr>
        <w:t>THIRD</w:t>
      </w:r>
      <w:r>
        <w:rPr>
          <w:rFonts w:ascii="Arial" w:cs="Arial" w:eastAsia="Arial" w:hAnsi="Arial"/>
          <w:sz w:val="14"/>
          <w:szCs w:val="14"/>
          <w:color w:val="auto"/>
        </w:rPr>
        <w:t xml:space="preserve"> These Articles of Amendment shall become effective as of 12:01 a.m. Eastern time on June 25, 2018.</w:t>
      </w:r>
    </w:p>
    <w:p>
      <w:pPr>
        <w:spacing w:after="0" w:line="190" w:lineRule="exact"/>
        <w:rPr>
          <w:sz w:val="20"/>
          <w:szCs w:val="20"/>
          <w:color w:val="auto"/>
        </w:rPr>
      </w:pPr>
    </w:p>
    <w:p>
      <w:pPr>
        <w:ind w:right="260" w:firstLine="842"/>
        <w:spacing w:after="0" w:line="228" w:lineRule="auto"/>
        <w:rPr>
          <w:sz w:val="20"/>
          <w:szCs w:val="20"/>
          <w:color w:val="auto"/>
        </w:rPr>
      </w:pPr>
      <w:r>
        <w:rPr>
          <w:rFonts w:ascii="Arial" w:cs="Arial" w:eastAsia="Arial" w:hAnsi="Arial"/>
          <w:sz w:val="14"/>
          <w:szCs w:val="14"/>
          <w:color w:val="auto"/>
        </w:rPr>
        <w:t>FOURTH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firstLine="842"/>
        <w:spacing w:after="0" w:line="238" w:lineRule="auto"/>
        <w:rPr>
          <w:sz w:val="20"/>
          <w:szCs w:val="20"/>
          <w:color w:val="auto"/>
        </w:rPr>
      </w:pPr>
      <w:r>
        <w:rPr>
          <w:rFonts w:ascii="Arial" w:cs="Arial" w:eastAsia="Arial" w:hAnsi="Arial"/>
          <w:sz w:val="14"/>
          <w:szCs w:val="14"/>
          <w:color w:val="auto"/>
        </w:rPr>
        <w:t>IN WITNESS WHEREOF, the Corporation has caused these Articles of Amendment to be signed in its name and on its behalf by its Chief Executive Officer and President and attested to by its Secretary on this 22nd day of June,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80" w:type="dxa"/>
            <w:vAlign w:val="bottom"/>
            <w:gridSpan w:val="2"/>
          </w:tcPr>
          <w:p>
            <w:pPr>
              <w:ind w:left="20"/>
              <w:spacing w:after="0"/>
              <w:rPr>
                <w:sz w:val="20"/>
                <w:szCs w:val="20"/>
                <w:color w:val="auto"/>
              </w:rPr>
            </w:pPr>
            <w:r>
              <w:rPr>
                <w:rFonts w:ascii="Arial" w:cs="Arial" w:eastAsia="Arial" w:hAnsi="Arial"/>
                <w:sz w:val="14"/>
                <w:szCs w:val="14"/>
                <w:color w:val="auto"/>
              </w:rPr>
              <w:t>COLONY NORTHSTAR, INC.</w:t>
            </w:r>
          </w:p>
        </w:tc>
      </w:tr>
      <w:tr>
        <w:trPr>
          <w:trHeight w:val="669"/>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Ronald M. Sanders</w:t>
            </w:r>
          </w:p>
        </w:tc>
        <w:tc>
          <w:tcPr>
            <w:tcW w:w="600" w:type="dxa"/>
            <w:vAlign w:val="bottom"/>
          </w:tcPr>
          <w:p>
            <w:pPr>
              <w:spacing w:after="0"/>
              <w:rPr>
                <w:sz w:val="24"/>
                <w:szCs w:val="24"/>
                <w:color w:val="auto"/>
              </w:rPr>
            </w:pPr>
          </w:p>
        </w:tc>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Richard B. Saltzman</w:t>
            </w:r>
          </w:p>
        </w:tc>
      </w:tr>
      <w:tr>
        <w:trPr>
          <w:trHeight w:val="176"/>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5180" w:type="dxa"/>
            <w:vAlign w:val="bottom"/>
            <w:gridSpan w:val="2"/>
          </w:tcPr>
          <w:p>
            <w:pPr>
              <w:ind w:left="240"/>
              <w:spacing w:after="0"/>
              <w:rPr>
                <w:sz w:val="20"/>
                <w:szCs w:val="20"/>
                <w:color w:val="auto"/>
              </w:rPr>
            </w:pPr>
            <w:r>
              <w:rPr>
                <w:rFonts w:ascii="Arial" w:cs="Arial" w:eastAsia="Arial" w:hAnsi="Arial"/>
                <w:sz w:val="14"/>
                <w:szCs w:val="14"/>
                <w:color w:val="auto"/>
              </w:rPr>
              <w:t>Ronald M. Sanders</w:t>
            </w:r>
          </w:p>
        </w:tc>
        <w:tc>
          <w:tcPr>
            <w:tcW w:w="720" w:type="dxa"/>
            <w:vAlign w:val="bottom"/>
          </w:tcPr>
          <w:p>
            <w:pPr>
              <w:ind w:left="20"/>
              <w:spacing w:after="0"/>
              <w:rPr>
                <w:sz w:val="20"/>
                <w:szCs w:val="20"/>
                <w:color w:val="auto"/>
              </w:rPr>
            </w:pPr>
            <w:r>
              <w:rPr>
                <w:rFonts w:ascii="Arial" w:cs="Arial" w:eastAsia="Arial" w:hAnsi="Arial"/>
                <w:sz w:val="14"/>
                <w:szCs w:val="14"/>
                <w:color w:val="auto"/>
              </w:rPr>
              <w:t>Name:</w:t>
            </w:r>
          </w:p>
        </w:tc>
        <w:tc>
          <w:tcPr>
            <w:tcW w:w="4560" w:type="dxa"/>
            <w:vAlign w:val="bottom"/>
          </w:tcPr>
          <w:p>
            <w:pPr>
              <w:ind w:left="320"/>
              <w:spacing w:after="0"/>
              <w:rPr>
                <w:sz w:val="20"/>
                <w:szCs w:val="20"/>
                <w:color w:val="auto"/>
              </w:rPr>
            </w:pPr>
            <w:r>
              <w:rPr>
                <w:rFonts w:ascii="Arial" w:cs="Arial" w:eastAsia="Arial" w:hAnsi="Arial"/>
                <w:sz w:val="14"/>
                <w:szCs w:val="14"/>
                <w:color w:val="auto"/>
              </w:rPr>
              <w:t>Richard B. Saltzman</w:t>
            </w: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5180" w:type="dxa"/>
            <w:vAlign w:val="bottom"/>
            <w:gridSpan w:val="2"/>
          </w:tcPr>
          <w:p>
            <w:pPr>
              <w:ind w:left="280"/>
              <w:spacing w:after="0"/>
              <w:rPr>
                <w:sz w:val="20"/>
                <w:szCs w:val="20"/>
                <w:color w:val="auto"/>
              </w:rPr>
            </w:pPr>
            <w:r>
              <w:rPr>
                <w:rFonts w:ascii="Arial" w:cs="Arial" w:eastAsia="Arial" w:hAnsi="Arial"/>
                <w:sz w:val="14"/>
                <w:szCs w:val="14"/>
                <w:color w:val="auto"/>
              </w:rPr>
              <w:t>Secretary</w:t>
            </w:r>
          </w:p>
        </w:tc>
        <w:tc>
          <w:tcPr>
            <w:tcW w:w="720" w:type="dxa"/>
            <w:vAlign w:val="bottom"/>
          </w:tcPr>
          <w:p>
            <w:pPr>
              <w:ind w:left="20"/>
              <w:spacing w:after="0"/>
              <w:rPr>
                <w:sz w:val="20"/>
                <w:szCs w:val="20"/>
                <w:color w:val="auto"/>
              </w:rPr>
            </w:pPr>
            <w:r>
              <w:rPr>
                <w:rFonts w:ascii="Arial" w:cs="Arial" w:eastAsia="Arial" w:hAnsi="Arial"/>
                <w:sz w:val="14"/>
                <w:szCs w:val="14"/>
                <w:color w:val="auto"/>
              </w:rPr>
              <w:t>Title:</w:t>
            </w:r>
          </w:p>
        </w:tc>
        <w:tc>
          <w:tcPr>
            <w:tcW w:w="4560" w:type="dxa"/>
            <w:vAlign w:val="bottom"/>
          </w:tcPr>
          <w:p>
            <w:pPr>
              <w:ind w:left="320"/>
              <w:spacing w:after="0"/>
              <w:rPr>
                <w:sz w:val="20"/>
                <w:szCs w:val="20"/>
                <w:color w:val="auto"/>
              </w:rPr>
            </w:pPr>
            <w:r>
              <w:rPr>
                <w:rFonts w:ascii="Arial" w:cs="Arial" w:eastAsia="Arial" w:hAnsi="Arial"/>
                <w:sz w:val="14"/>
                <w:szCs w:val="14"/>
                <w:color w:val="auto"/>
              </w:rPr>
              <w:t>Chief Executive Officer &amp; President</w:t>
            </w: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Articles of Amendment</w:t>
      </w:r>
    </w:p>
    <w:p>
      <w:pPr>
        <w:sectPr>
          <w:pgSz w:w="11900" w:h="16838" w:orient="portrait"/>
          <w:cols w:equalWidth="0" w:num="1">
            <w:col w:w="11260"/>
          </w:cols>
          <w:pgMar w:left="320" w:top="841" w:right="319" w:bottom="1440" w:gutter="0" w:footer="0" w:header="0"/>
        </w:sectPr>
      </w:pPr>
    </w:p>
    <w:bookmarkStart w:id="187" w:name="page188"/>
    <w:bookmarkEnd w:id="187"/>
    <w:p>
      <w:pPr>
        <w:jc w:val="center"/>
        <w:ind w:right="-399"/>
        <w:spacing w:after="0"/>
        <w:rPr>
          <w:sz w:val="20"/>
          <w:szCs w:val="20"/>
          <w:color w:val="auto"/>
        </w:rPr>
      </w:pPr>
      <w:r>
        <w:rPr>
          <w:rFonts w:ascii="Arial" w:cs="Arial" w:eastAsia="Arial" w:hAnsi="Arial"/>
          <w:sz w:val="14"/>
          <w:szCs w:val="14"/>
          <w:b w:val="1"/>
          <w:bCs w:val="1"/>
          <w:u w:val="single" w:color="auto"/>
          <w:color w:val="auto"/>
        </w:rPr>
        <w:t>COLONY NORTHSTAR, INC.</w:t>
      </w:r>
    </w:p>
    <w:p>
      <w:pPr>
        <w:spacing w:after="0" w:line="190"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ARTICLES OF AMENDMENT AND RESTATEMENT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FIRST</w:t>
      </w:r>
      <w:r>
        <w:rPr>
          <w:rFonts w:ascii="Arial" w:cs="Arial" w:eastAsia="Arial" w:hAnsi="Arial"/>
          <w:sz w:val="14"/>
          <w:szCs w:val="14"/>
          <w:color w:val="auto"/>
        </w:rPr>
        <w:t>: Colony NorthStar, Inc., a Maryland corporation (the “Corporation”), desires to amend and restate its charter as currently in effect and as hereinafter amended.</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3"/>
          <w:szCs w:val="13"/>
          <w:u w:val="single" w:color="auto"/>
          <w:color w:val="auto"/>
        </w:rPr>
        <w:t>SECOND</w:t>
      </w:r>
      <w:r>
        <w:rPr>
          <w:rFonts w:ascii="Arial" w:cs="Arial" w:eastAsia="Arial" w:hAnsi="Arial"/>
          <w:sz w:val="13"/>
          <w:szCs w:val="13"/>
          <w:color w:val="auto"/>
        </w:rPr>
        <w:t>: The following provisions and Exhibits A, B, C, D, E, F, G and H (the “Exhibits”) are all the provisions of the charter currently in effect and as hereinafter amended:</w:t>
      </w:r>
    </w:p>
    <w:p>
      <w:pPr>
        <w:spacing w:after="0" w:line="200" w:lineRule="exact"/>
        <w:rPr>
          <w:sz w:val="20"/>
          <w:szCs w:val="20"/>
          <w:color w:val="auto"/>
        </w:rPr>
      </w:pPr>
    </w:p>
    <w:p>
      <w:pPr>
        <w:spacing w:after="0" w:line="313"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ARTICLE I INCORPORATOR</w:t>
      </w:r>
    </w:p>
    <w:p>
      <w:pPr>
        <w:spacing w:after="0" w:line="100" w:lineRule="exact"/>
        <w:rPr>
          <w:sz w:val="20"/>
          <w:szCs w:val="20"/>
          <w:color w:val="auto"/>
        </w:rPr>
      </w:pPr>
    </w:p>
    <w:p>
      <w:pPr>
        <w:ind w:left="80" w:firstLine="677"/>
        <w:spacing w:after="0" w:line="270" w:lineRule="auto"/>
        <w:rPr>
          <w:sz w:val="20"/>
          <w:szCs w:val="20"/>
          <w:color w:val="auto"/>
        </w:rPr>
      </w:pPr>
      <w:r>
        <w:rPr>
          <w:rFonts w:ascii="Arial" w:cs="Arial" w:eastAsia="Arial" w:hAnsi="Arial"/>
          <w:sz w:val="14"/>
          <w:szCs w:val="14"/>
          <w:color w:val="auto"/>
        </w:rPr>
        <w:t>The undersigned, Ronald J. Lieberman, whose address is 399 Park Avenue, 19</w:t>
      </w:r>
      <w:r>
        <w:rPr>
          <w:rFonts w:ascii="Arial" w:cs="Arial" w:eastAsia="Arial" w:hAnsi="Arial"/>
          <w:sz w:val="11"/>
          <w:szCs w:val="11"/>
          <w:color w:val="auto"/>
        </w:rPr>
        <w:t>th</w:t>
      </w:r>
      <w:r>
        <w:rPr>
          <w:rFonts w:ascii="Arial" w:cs="Arial" w:eastAsia="Arial" w:hAnsi="Arial"/>
          <w:sz w:val="14"/>
          <w:szCs w:val="14"/>
          <w:color w:val="auto"/>
        </w:rPr>
        <w:t xml:space="preserve"> Floor, New York, NY 10022, being at least 18 years of age, formed a corporation under the general laws of the State of Maryland on May 31, 2016.</w:t>
      </w: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ARTICLE II NAME</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name of the corporation (the “Corporation”) is: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Colony NorthStar, Inc.</w:t>
      </w: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ARTICLE III PURPOSE</w:t>
      </w:r>
    </w:p>
    <w:p>
      <w:pPr>
        <w:spacing w:after="0" w:line="100" w:lineRule="exact"/>
        <w:rPr>
          <w:sz w:val="20"/>
          <w:szCs w:val="20"/>
          <w:color w:val="auto"/>
        </w:rPr>
      </w:pPr>
    </w:p>
    <w:p>
      <w:pPr>
        <w:ind w:left="80" w:right="100" w:firstLine="677"/>
        <w:spacing w:after="0" w:line="286" w:lineRule="auto"/>
        <w:rPr>
          <w:sz w:val="20"/>
          <w:szCs w:val="20"/>
          <w:color w:val="auto"/>
        </w:rPr>
      </w:pPr>
      <w:r>
        <w:rPr>
          <w:rFonts w:ascii="Arial" w:cs="Arial" w:eastAsia="Arial" w:hAnsi="Arial"/>
          <w:sz w:val="13"/>
          <w:szCs w:val="13"/>
          <w:color w:val="auto"/>
        </w:rPr>
        <w:t>The purposes for which the Corporation is formed are to engage in any lawful act or activity (including, without limitation or obligation, engaging in business as a real estate investment trust under the Internal Revenue Code of 1986, as amended, or any successor statute (the “Code”)) for which corporations may be organized under the general laws of the State of Maryland as now or hereafter in force. For purposes of these Articles, “REIT” means a real estate investment trust under Sections 856 through 860 of the Code.</w:t>
      </w:r>
    </w:p>
    <w:p>
      <w:pPr>
        <w:sectPr>
          <w:pgSz w:w="11900" w:h="16838" w:orient="portrait"/>
          <w:cols w:equalWidth="0" w:num="1">
            <w:col w:w="10840"/>
          </w:cols>
          <w:pgMar w:left="320" w:top="677" w:right="739" w:bottom="1440" w:gutter="0" w:footer="0" w:header="0"/>
        </w:sectPr>
      </w:pPr>
    </w:p>
    <w:bookmarkStart w:id="188" w:name="page189"/>
    <w:bookmarkEnd w:id="188"/>
    <w:p>
      <w:pPr>
        <w:jc w:val="center"/>
        <w:ind w:right="-99"/>
        <w:spacing w:after="0"/>
        <w:rPr>
          <w:sz w:val="20"/>
          <w:szCs w:val="20"/>
          <w:color w:val="auto"/>
        </w:rPr>
      </w:pPr>
      <w:r>
        <w:rPr>
          <w:rFonts w:ascii="Arial" w:cs="Arial" w:eastAsia="Arial" w:hAnsi="Arial"/>
          <w:sz w:val="14"/>
          <w:szCs w:val="14"/>
          <w:b w:val="1"/>
          <w:bCs w:val="1"/>
          <w:color w:val="auto"/>
        </w:rPr>
        <w:t>ARTICLE IV</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PRINCIPAL OFFICE IN STATE AND RESIDENT AGENT</w:t>
      </w:r>
    </w:p>
    <w:p>
      <w:pPr>
        <w:spacing w:after="0" w:line="206" w:lineRule="exact"/>
        <w:rPr>
          <w:sz w:val="20"/>
          <w:szCs w:val="20"/>
          <w:color w:val="auto"/>
        </w:rPr>
      </w:pPr>
    </w:p>
    <w:p>
      <w:pPr>
        <w:ind w:firstLine="677"/>
        <w:spacing w:after="0" w:line="257" w:lineRule="auto"/>
        <w:rPr>
          <w:sz w:val="20"/>
          <w:szCs w:val="20"/>
          <w:color w:val="auto"/>
        </w:rPr>
      </w:pPr>
      <w:r>
        <w:rPr>
          <w:rFonts w:ascii="Arial" w:cs="Arial" w:eastAsia="Arial" w:hAnsi="Arial"/>
          <w:sz w:val="14"/>
          <w:szCs w:val="14"/>
          <w:color w:val="auto"/>
        </w:rPr>
        <w:t>The address of the principal office of the Corporation in the State of Maryland is c/o CSC-Lawyers Incorporating Service Company, 7 St. Paul Street, Suite 820, Baltimore, MD 21202. The name of the resident agent of the Corporation in the State of Maryland is CSC-Lawyers Incorporating Service Company, whose post address is 7 St. Paul Street, Suite 820, Baltimore, MD 21202. The resident agent is a Maryland corporation.</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V</w:t>
      </w:r>
    </w:p>
    <w:p>
      <w:pPr>
        <w:spacing w:after="0" w:line="213"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PROVISIONS FOR DEFINING, LIMITING AND REGULATING CERTAIN POWERS OF</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THE</w:t>
      </w:r>
    </w:p>
    <w:p>
      <w:pPr>
        <w:ind w:left="2000"/>
        <w:spacing w:after="0"/>
        <w:rPr>
          <w:sz w:val="20"/>
          <w:szCs w:val="20"/>
          <w:color w:val="auto"/>
        </w:rPr>
      </w:pPr>
      <w:r>
        <w:rPr>
          <w:rFonts w:ascii="Arial" w:cs="Arial" w:eastAsia="Arial" w:hAnsi="Arial"/>
          <w:sz w:val="14"/>
          <w:szCs w:val="14"/>
          <w:b w:val="1"/>
          <w:bCs w:val="1"/>
          <w:color w:val="auto"/>
        </w:rPr>
        <w:t>CORPORATION AND OF THE STOCKHOLDERS AND DIRECTORS</w:t>
      </w:r>
    </w:p>
    <w:p>
      <w:pPr>
        <w:spacing w:after="0" w:line="201" w:lineRule="exact"/>
        <w:rPr>
          <w:sz w:val="20"/>
          <w:szCs w:val="20"/>
          <w:color w:val="auto"/>
        </w:rPr>
      </w:pPr>
    </w:p>
    <w:p>
      <w:pPr>
        <w:ind w:right="140" w:firstLine="677"/>
        <w:spacing w:after="0" w:line="253"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Number of Directors</w:t>
      </w:r>
      <w:r>
        <w:rPr>
          <w:rFonts w:ascii="Arial" w:cs="Arial" w:eastAsia="Arial" w:hAnsi="Arial"/>
          <w:sz w:val="14"/>
          <w:szCs w:val="14"/>
          <w:color w:val="auto"/>
        </w:rPr>
        <w:t>. The business and affairs of the Corporation shall be managed under the direction of the Board of Directors. The number of directors of the Corporation initially shall be ten, which number may be increased or decreased only by the Board of Directors pursuant to the Bylaws of the Corporation (the “Bylaws”), but shall never be less than the minimum number required by the Maryland General Corporation Law (the “MGCL”). The names of the directors who shall serve until the first annual meeting of stockholders and until their successors are duly elected and qualify are:</w:t>
      </w:r>
    </w:p>
    <w:p>
      <w:pPr>
        <w:spacing w:after="0" w:line="58"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David T. Hamamoto Jon A. Fosheim Douglas Crocker II Thomas J.</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Barrack, Jr.</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00"/>
          </w:cols>
          <w:pgMar w:left="400" w:top="677" w:right="499" w:bottom="1440" w:gutter="0" w:footer="0" w:header="0"/>
        </w:sectPr>
      </w:pPr>
    </w:p>
    <w:bookmarkStart w:id="189" w:name="page190"/>
    <w:bookmarkEnd w:id="189"/>
    <w:p>
      <w:pPr>
        <w:ind w:left="1780"/>
        <w:spacing w:after="0"/>
        <w:rPr>
          <w:sz w:val="20"/>
          <w:szCs w:val="20"/>
          <w:color w:val="auto"/>
        </w:rPr>
      </w:pPr>
      <w:r>
        <w:rPr>
          <w:rFonts w:ascii="Arial" w:cs="Arial" w:eastAsia="Arial" w:hAnsi="Arial"/>
          <w:sz w:val="14"/>
          <w:szCs w:val="14"/>
          <w:color w:val="auto"/>
        </w:rPr>
        <w:t>Nancy A Curtin George G. C. Parker John A. Somers John L.</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Steffens</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Charles W. Schoenherr Justin Metz</w:t>
      </w:r>
    </w:p>
    <w:p>
      <w:pPr>
        <w:spacing w:after="0" w:line="213" w:lineRule="exact"/>
        <w:rPr>
          <w:sz w:val="20"/>
          <w:szCs w:val="20"/>
          <w:color w:val="auto"/>
        </w:rPr>
      </w:pPr>
    </w:p>
    <w:p>
      <w:pPr>
        <w:ind w:right="240" w:firstLine="677"/>
        <w:spacing w:after="0" w:line="270" w:lineRule="auto"/>
        <w:rPr>
          <w:sz w:val="20"/>
          <w:szCs w:val="20"/>
          <w:color w:val="auto"/>
        </w:rPr>
      </w:pPr>
      <w:r>
        <w:rPr>
          <w:rFonts w:ascii="Arial" w:cs="Arial" w:eastAsia="Arial" w:hAnsi="Arial"/>
          <w:sz w:val="14"/>
          <w:szCs w:val="14"/>
          <w:color w:val="auto"/>
        </w:rPr>
        <w:t>Any vacancy on the Board of Directors may be filled in the manner provided in the Bylaws. The Corporation may not elect to be subject to any provision contained in Subtitle 8 of Title 3 of the MGCL.</w:t>
      </w:r>
    </w:p>
    <w:p>
      <w:pPr>
        <w:spacing w:after="0" w:line="176" w:lineRule="exact"/>
        <w:rPr>
          <w:sz w:val="20"/>
          <w:szCs w:val="20"/>
          <w:color w:val="auto"/>
        </w:rPr>
      </w:pPr>
    </w:p>
    <w:p>
      <w:pPr>
        <w:jc w:val="both"/>
        <w:ind w:right="40" w:firstLine="677"/>
        <w:spacing w:after="0" w:line="257"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Extraordinar</w:t>
      </w:r>
      <w:r>
        <w:rPr>
          <w:rFonts w:ascii="Arial" w:cs="Arial" w:eastAsia="Arial" w:hAnsi="Arial"/>
          <w:sz w:val="14"/>
          <w:szCs w:val="14"/>
          <w:color w:val="auto"/>
        </w:rPr>
        <w:t>y Actions. Except as specifically provided in Article VIII, notwithstanding any provision of law permitting or requiring any action to be taken or approved by the affirmative vote of stockholders entitled to cast a greater number of votes, any such action shall be effective and valid if declared advisable by the Board of Directors and taken or approved by the affirmative vote of stockholders entitled to cast a majority of all the votes entitled to be cast on the matter.</w:t>
      </w:r>
    </w:p>
    <w:p>
      <w:pPr>
        <w:spacing w:after="0" w:line="184" w:lineRule="exact"/>
        <w:rPr>
          <w:sz w:val="20"/>
          <w:szCs w:val="20"/>
          <w:color w:val="auto"/>
        </w:rPr>
      </w:pPr>
    </w:p>
    <w:p>
      <w:pPr>
        <w:ind w:firstLine="677"/>
        <w:spacing w:after="0" w:line="253" w:lineRule="auto"/>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Authorization b</w:t>
      </w:r>
      <w:r>
        <w:rPr>
          <w:rFonts w:ascii="Arial" w:cs="Arial" w:eastAsia="Arial" w:hAnsi="Arial"/>
          <w:sz w:val="14"/>
          <w:szCs w:val="14"/>
          <w:color w:val="auto"/>
        </w:rPr>
        <w:t>y Board of Stock Issuance.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of the Corporation (the “Charter”) or the Bylaws.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980"/>
          </w:cols>
          <w:pgMar w:left="400" w:top="903" w:right="519" w:bottom="1440" w:gutter="0" w:footer="0" w:header="0"/>
        </w:sectPr>
      </w:pPr>
    </w:p>
    <w:bookmarkStart w:id="190" w:name="page191"/>
    <w:bookmarkEnd w:id="190"/>
    <w:p>
      <w:pPr>
        <w:ind w:firstLine="677"/>
        <w:spacing w:after="0" w:line="257" w:lineRule="auto"/>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Preemptive Rights</w:t>
      </w:r>
      <w:r>
        <w:rPr>
          <w:rFonts w:ascii="Arial" w:cs="Arial" w:eastAsia="Arial" w:hAnsi="Arial"/>
          <w:sz w:val="14"/>
          <w:szCs w:val="14"/>
          <w:color w:val="auto"/>
        </w:rPr>
        <w:t>. Except as may be provided by the Board of Directors in setting the terms of classified or reclassified shares of stock pursuant to Section 6.6 or as may otherwise be provided by a contract approved by the Board of Directors,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196" w:lineRule="exact"/>
        <w:rPr>
          <w:sz w:val="20"/>
          <w:szCs w:val="20"/>
          <w:color w:val="auto"/>
        </w:rPr>
      </w:pPr>
    </w:p>
    <w:p>
      <w:pPr>
        <w:ind w:firstLine="677"/>
        <w:spacing w:after="0" w:line="269" w:lineRule="auto"/>
        <w:rPr>
          <w:sz w:val="20"/>
          <w:szCs w:val="20"/>
          <w:color w:val="auto"/>
        </w:rPr>
      </w:pPr>
      <w:r>
        <w:rPr>
          <w:rFonts w:ascii="Arial" w:cs="Arial" w:eastAsia="Arial" w:hAnsi="Arial"/>
          <w:sz w:val="13"/>
          <w:szCs w:val="13"/>
          <w:color w:val="auto"/>
        </w:rPr>
        <w:t xml:space="preserve">Section 5.5 </w:t>
      </w:r>
      <w:r>
        <w:rPr>
          <w:rFonts w:ascii="Arial" w:cs="Arial" w:eastAsia="Arial" w:hAnsi="Arial"/>
          <w:sz w:val="13"/>
          <w:szCs w:val="13"/>
          <w:u w:val="single" w:color="auto"/>
          <w:color w:val="auto"/>
        </w:rPr>
        <w:t>Indemnification</w:t>
      </w:r>
      <w:r>
        <w:rPr>
          <w:rFonts w:ascii="Arial" w:cs="Arial" w:eastAsia="Arial" w:hAnsi="Arial"/>
          <w:sz w:val="13"/>
          <w:szCs w:val="13"/>
          <w:color w:val="auto"/>
        </w:rPr>
        <w:t>. (a) The Corporation shall, to the maximum extent permitted by Maryland law in effect from time to time, indemnify, and pay or reimburse reasonable expenses in advance of final disposition of a proceeding to, (i) any individual who is a present or former director or officer of the Corporation or (ii) any individual who, while a director or officer of the Corporation and at the request of the Corporation, serves or has served as a director, officer, trustee, member, manager, employee, partner or agent of another corporation, real estate investment trust, limited liability company, partnership, joint venture, trust, employee benefit plan or any other enterprise from and against any claim or liability to which such person may become subject or which such person may incur by reason of his or her service in such capacity. The Corporation shall provide such indemnification and advancement of expenses to a person who served a predecessor of the Corporation in any of the capacities described in (i) or (ii) above and shall have the power, with the approval of the Board of Directors, to provide the same (or lesser) indemnification and advancement of expenses to any employee or agent of the Corporation or a predecessor of the Corporation. Any amendment of this Section 5.5(a) shall be prospective only and shall not affect the applicability of this section with respect to any act or failure to act that occurred prior to such amendment.</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20"/>
          </w:cols>
          <w:pgMar w:left="400" w:top="903" w:right="479" w:bottom="1440" w:gutter="0" w:footer="0" w:header="0"/>
        </w:sectPr>
      </w:pPr>
    </w:p>
    <w:bookmarkStart w:id="191" w:name="page192"/>
    <w:bookmarkEnd w:id="191"/>
    <w:p>
      <w:pPr>
        <w:ind w:right="180" w:firstLine="677"/>
        <w:spacing w:after="0" w:line="270" w:lineRule="auto"/>
        <w:tabs>
          <w:tab w:leader="none" w:pos="979"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Corporation may, to the fullest extent permitted by law, purchase and maintain insurance on behalf of any person described in the preceding paragraph against any liability which may be asserted against such person.</w:t>
      </w:r>
    </w:p>
    <w:p>
      <w:pPr>
        <w:spacing w:after="0" w:line="58" w:lineRule="exact"/>
        <w:rPr>
          <w:rFonts w:ascii="Arial" w:cs="Arial" w:eastAsia="Arial" w:hAnsi="Arial"/>
          <w:sz w:val="14"/>
          <w:szCs w:val="14"/>
          <w:color w:val="auto"/>
        </w:rPr>
      </w:pPr>
    </w:p>
    <w:p>
      <w:pPr>
        <w:ind w:right="100" w:firstLine="677"/>
        <w:spacing w:after="0" w:line="286" w:lineRule="auto"/>
        <w:tabs>
          <w:tab w:leader="none" w:pos="97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indemnification provided herein shall not be deemed to limit the right of the Corporation to indemnify any other person for any such expenses to the fullest extent permitted by law, nor shall it be deemed exclusive of any other rights to which any person seeking indemnification from the Corporation may be entitled under any agreement, vote of stockholders or disinterested directors, or otherwise, both as to action in such person’s official capacity and as to action in another capacity while holding such office.</w:t>
      </w:r>
    </w:p>
    <w:p>
      <w:pPr>
        <w:spacing w:after="0" w:line="167" w:lineRule="exact"/>
        <w:rPr>
          <w:sz w:val="20"/>
          <w:szCs w:val="20"/>
          <w:color w:val="auto"/>
        </w:rPr>
      </w:pPr>
    </w:p>
    <w:p>
      <w:pPr>
        <w:ind w:firstLine="677"/>
        <w:spacing w:after="0" w:line="270" w:lineRule="auto"/>
        <w:rPr>
          <w:sz w:val="20"/>
          <w:szCs w:val="20"/>
          <w:color w:val="auto"/>
        </w:rPr>
      </w:pPr>
      <w:r>
        <w:rPr>
          <w:rFonts w:ascii="Arial" w:cs="Arial" w:eastAsia="Arial" w:hAnsi="Arial"/>
          <w:sz w:val="13"/>
          <w:szCs w:val="13"/>
          <w:color w:val="auto"/>
        </w:rPr>
        <w:t xml:space="preserve">Section 5.6 </w:t>
      </w:r>
      <w:r>
        <w:rPr>
          <w:rFonts w:ascii="Arial" w:cs="Arial" w:eastAsia="Arial" w:hAnsi="Arial"/>
          <w:sz w:val="13"/>
          <w:szCs w:val="13"/>
          <w:u w:val="single" w:color="auto"/>
          <w:color w:val="auto"/>
        </w:rPr>
        <w:t>Determinations b</w:t>
      </w:r>
      <w:r>
        <w:rPr>
          <w:rFonts w:ascii="Arial" w:cs="Arial" w:eastAsia="Arial" w:hAnsi="Arial"/>
          <w:sz w:val="13"/>
          <w:szCs w:val="13"/>
          <w:color w:val="auto"/>
        </w:rPr>
        <w:t>y Board. The determination as to any of the following matters, made by or pursuant to the direction of the Board of Directors, shall be final and conclusive and shall be binding upon the Corporation and every holder of shares of its stock: the amount of the net income of the Corporation for any period and the amount of assets at any time legally available for the payment of dividends, acquisition of its stock or the payment of other distributions on its stock; the amount of paid-in surplus, net assets, other surplus, cash flow, funds from operations, adjusted funds from operations,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set aside, paid or discharged); any interpretation or resolution of any ambiguity with respect to any provision of the Charter (including any of the terms, preferences, conversion or other rights, voting powers or rights, restrictions, limitations as to dividends or other distributions, qualifications or terms or conditions of redemption of any</w:t>
      </w:r>
    </w:p>
    <w:p>
      <w:pPr>
        <w:spacing w:after="0" w:line="7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000"/>
          </w:cols>
          <w:pgMar w:left="400" w:top="821" w:right="499" w:bottom="1440" w:gutter="0" w:footer="0" w:header="0"/>
        </w:sectPr>
      </w:pPr>
    </w:p>
    <w:bookmarkStart w:id="192" w:name="page193"/>
    <w:bookmarkEnd w:id="192"/>
    <w:p>
      <w:pPr>
        <w:spacing w:after="0" w:line="250" w:lineRule="auto"/>
        <w:rPr>
          <w:sz w:val="20"/>
          <w:szCs w:val="20"/>
          <w:color w:val="auto"/>
        </w:rPr>
      </w:pPr>
      <w:r>
        <w:rPr>
          <w:rFonts w:ascii="Arial" w:cs="Arial" w:eastAsia="Arial" w:hAnsi="Arial"/>
          <w:sz w:val="14"/>
          <w:szCs w:val="14"/>
          <w:color w:val="auto"/>
        </w:rPr>
        <w:t>shares of any class or series of stock of the Corporation) or of the Bylaws; the number of shares of stock of any class or series of the Corporation; the fair value, or any sale, bid or asked price to be applied in determining the fair value, of any asset owned or held by the Corporation or of any shares of stock of the Corporation; any matter relating to the acquisition, holding and disposition of any assets by the Corporation; any interpretation of the terms and conditions of one or more agreements with any person, corporation, association, company, trust, partnership (limited or general) or other entity; the compensation of directors, officers, employees or agents of the Corporation; or any other matter relating to the business and affairs of the Corporation or required or permitted by applicable law, the Charter or Bylaws or otherwise to be determined by the Board of Directors.</w:t>
      </w:r>
    </w:p>
    <w:p>
      <w:pPr>
        <w:spacing w:after="0" w:line="202" w:lineRule="exact"/>
        <w:rPr>
          <w:sz w:val="20"/>
          <w:szCs w:val="20"/>
          <w:color w:val="auto"/>
        </w:rPr>
      </w:pPr>
    </w:p>
    <w:p>
      <w:pPr>
        <w:ind w:right="20" w:firstLine="677"/>
        <w:spacing w:after="0" w:line="274" w:lineRule="auto"/>
        <w:rPr>
          <w:sz w:val="20"/>
          <w:szCs w:val="20"/>
          <w:color w:val="auto"/>
        </w:rPr>
      </w:pPr>
      <w:r>
        <w:rPr>
          <w:rFonts w:ascii="Arial" w:cs="Arial" w:eastAsia="Arial" w:hAnsi="Arial"/>
          <w:sz w:val="13"/>
          <w:szCs w:val="13"/>
          <w:color w:val="auto"/>
        </w:rPr>
        <w:t xml:space="preserve">Section 5.7 </w:t>
      </w:r>
      <w:r>
        <w:rPr>
          <w:rFonts w:ascii="Arial" w:cs="Arial" w:eastAsia="Arial" w:hAnsi="Arial"/>
          <w:sz w:val="13"/>
          <w:szCs w:val="13"/>
          <w:u w:val="single" w:color="auto"/>
          <w:color w:val="auto"/>
        </w:rPr>
        <w:t>REIT Qualification</w:t>
      </w:r>
      <w:r>
        <w:rPr>
          <w:rFonts w:ascii="Arial" w:cs="Arial" w:eastAsia="Arial" w:hAnsi="Arial"/>
          <w:sz w:val="13"/>
          <w:szCs w:val="13"/>
          <w:color w:val="auto"/>
        </w:rPr>
        <w:t>. If the Corporation elects to qualify for federal income tax treatment as a REIT, the Board of Directors shall use its reasonable best efforts to take such actions as are necessary or appropriate to preserve the status of the Corporation as a REIT; however, if the Board of Directors determines that it is no longer in the best interests of the Corporation to attempt to, or continue to, qualify as a REIT, the Board of Directors may revoke or otherwise terminate the Corporation’s REIT election pursuant to Section 856(g) of the Code. The Board of Directors, in its sole and absolute discretion, also may (a) determine that compliance with any restriction or limitation on stock ownership and transfers set forth in Article VII is no longer required for REIT qualification and (b) make any other determination or take any other action pursuant to Article VII.</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000"/>
          </w:cols>
          <w:pgMar w:left="400" w:top="903" w:right="499" w:bottom="1440" w:gutter="0" w:footer="0" w:header="0"/>
        </w:sectPr>
      </w:pPr>
    </w:p>
    <w:bookmarkStart w:id="193" w:name="page194"/>
    <w:bookmarkEnd w:id="193"/>
    <w:p>
      <w:pPr>
        <w:ind w:firstLine="677"/>
        <w:spacing w:after="0" w:line="310" w:lineRule="auto"/>
        <w:rPr>
          <w:sz w:val="20"/>
          <w:szCs w:val="20"/>
          <w:color w:val="auto"/>
        </w:rPr>
      </w:pPr>
      <w:r>
        <w:rPr>
          <w:rFonts w:ascii="Arial" w:cs="Arial" w:eastAsia="Arial" w:hAnsi="Arial"/>
          <w:sz w:val="13"/>
          <w:szCs w:val="13"/>
          <w:color w:val="auto"/>
        </w:rPr>
        <w:t xml:space="preserve">Section 5.8 </w:t>
      </w:r>
      <w:r>
        <w:rPr>
          <w:rFonts w:ascii="Arial" w:cs="Arial" w:eastAsia="Arial" w:hAnsi="Arial"/>
          <w:sz w:val="13"/>
          <w:szCs w:val="13"/>
          <w:u w:val="single" w:color="auto"/>
          <w:color w:val="auto"/>
        </w:rPr>
        <w:t>Removal of Directors</w:t>
      </w:r>
      <w:r>
        <w:rPr>
          <w:rFonts w:ascii="Arial" w:cs="Arial" w:eastAsia="Arial" w:hAnsi="Arial"/>
          <w:sz w:val="13"/>
          <w:szCs w:val="13"/>
          <w:color w:val="auto"/>
        </w:rPr>
        <w:t>. Subject to the rights of holders of one or more classes or series of Preferred Stock to elect or remove one or more directors, any director, or the entire Board of Directors, may be removed from office at any time by the affirmative vote of a majority of the votes entitled to be cast generally in the election of directors.</w:t>
      </w:r>
    </w:p>
    <w:p>
      <w:pPr>
        <w:spacing w:after="0" w:line="152" w:lineRule="exact"/>
        <w:rPr>
          <w:sz w:val="20"/>
          <w:szCs w:val="20"/>
          <w:color w:val="auto"/>
        </w:rPr>
      </w:pPr>
    </w:p>
    <w:p>
      <w:pPr>
        <w:jc w:val="both"/>
        <w:ind w:right="100" w:firstLine="677"/>
        <w:spacing w:after="0" w:line="257" w:lineRule="auto"/>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u w:val="single" w:color="auto"/>
          <w:color w:val="auto"/>
        </w:rPr>
        <w:t>Corporate Opportunities</w:t>
      </w:r>
      <w:r>
        <w:rPr>
          <w:rFonts w:ascii="Arial" w:cs="Arial" w:eastAsia="Arial" w:hAnsi="Arial"/>
          <w:sz w:val="14"/>
          <w:szCs w:val="14"/>
          <w:color w:val="auto"/>
        </w:rPr>
        <w:t>. The Corporation shall have the power, by resolution of the Board of Directors, to renounce any interest or expectancy of the Corporation in, or in being offered an opportunity to participate in, business opportunities or classes or categories of business opportunities that are presented to the Corporation or developed by or presented to one or more directors or officers of the Corporation.</w:t>
      </w:r>
    </w:p>
    <w:p>
      <w:pPr>
        <w:spacing w:after="0" w:line="184" w:lineRule="exact"/>
        <w:rPr>
          <w:sz w:val="20"/>
          <w:szCs w:val="20"/>
          <w:color w:val="auto"/>
        </w:rPr>
      </w:pPr>
    </w:p>
    <w:p>
      <w:pPr>
        <w:ind w:right="20" w:firstLine="677"/>
        <w:spacing w:after="0" w:line="262"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u w:val="single" w:color="auto"/>
          <w:color w:val="auto"/>
        </w:rPr>
        <w:t>Appraisal Rights</w:t>
      </w:r>
      <w:r>
        <w:rPr>
          <w:rFonts w:ascii="Arial" w:cs="Arial" w:eastAsia="Arial" w:hAnsi="Arial"/>
          <w:sz w:val="13"/>
          <w:szCs w:val="13"/>
          <w:color w:val="auto"/>
        </w:rPr>
        <w:t>. Holders of shares of Common Stock (as defined herein) shall be entitled to exercise the rights of an objecting stockholder provided for under Title 3, Subtitle 2 of the MGCL or any successor statute. In addition to such statutory rights of an objecting stockholder and notwithstanding the limitations on exercising the rights of an objecting stockholder under Section 3-202(c)(1) of the MGCL, a holder of Class A Common Stock or Class B Common Stock shall have the additional right, pursuant to this Section 5.10, to demand and receive payment of the fair value of such stockholder’s shares of Common Stock in any merger, consolidation or statutory share exchange if the holder of such shares of Common Stock is required by the terms of an agreement or plan of merger, consolidation, or statutory share exchange to accept for such shares of Common Stock anything except (a) shares of stock of the corporation surviving or resulting from such merger, consolidation or statutory share exchange, or depository receipts in respect thereof, (b) shares of stock of any other corporation, or depository receipts in respect thereof, which shares of stock (or depository receipts in respect thereof) or depository receipts at the effective date of the merger, consolidation or statutory share exchange will be either listed on a national securities exchange or held of record by more than 2,000 holders,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 cash in lieu of fractional shares or fractional depository receipts described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00"/>
          </w:cols>
          <w:pgMar w:left="400" w:top="903" w:right="499" w:bottom="1440" w:gutter="0" w:footer="0" w:header="0"/>
        </w:sectPr>
      </w:pPr>
    </w:p>
    <w:bookmarkStart w:id="194" w:name="page195"/>
    <w:bookmarkEnd w:id="194"/>
    <w:p>
      <w:pPr>
        <w:ind w:right="60"/>
        <w:spacing w:after="0" w:line="250" w:lineRule="auto"/>
        <w:rPr>
          <w:sz w:val="20"/>
          <w:szCs w:val="20"/>
          <w:color w:val="auto"/>
        </w:rPr>
      </w:pPr>
      <w:r>
        <w:rPr>
          <w:rFonts w:ascii="Arial" w:cs="Arial" w:eastAsia="Arial" w:hAnsi="Arial"/>
          <w:sz w:val="14"/>
          <w:szCs w:val="14"/>
          <w:color w:val="auto"/>
        </w:rPr>
        <w:t>in the foregoing subsections (a) and (b) of this Section 5.10, or (d) any combination of the shares of stock, depository receipts and cash in lieu of fractional shares or fractional depository receipts described in the foregoing subsections (a), (b) and (c) of this Section 5.10. This Section 5.10 shall not alter the effect of Section 3-202(c)(3) of the MGCL. Holders of shares of Common Stock exercising the rights of an objecting stockholder provided in this Section 5.10 shall comply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transaction and providing the Corporation with all required notices.</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VI STOCK</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Authorized Shares</w:t>
      </w:r>
      <w:r>
        <w:rPr>
          <w:rFonts w:ascii="Arial" w:cs="Arial" w:eastAsia="Arial" w:hAnsi="Arial"/>
          <w:sz w:val="12"/>
          <w:szCs w:val="12"/>
          <w:color w:val="auto"/>
        </w:rPr>
        <w:t>. The Corporation has authority to issue 1,250,000,000 shares of stock, consisting of 949,000,000 shares of Class A Common Stock, $0.01 par value per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share (“Class A Common Stock”), 1,000,000 shares of Class B Common Stock, $0.01 par value per share (“Class B Common Stock”), 50,000,000 shares of Performance Common Stock, $0.01 par</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value per share (“Performance Common Stock” and together with the Class A Common Stock and Class B Common Stock, the “Common Stock”), and 250,000,000 shares of Preferred Stock,</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$0.01 par value per share (“Preferred Stock”), including those shares of Preferred Stock described in the Exhibits attached hereto. The aggregate par value of all authorized shares of stock having</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par value is $12,500,000. If shares of one class of stock are classified or reclassified into shares of another class of stock pursuant to Section 6.2, 6.3, 6.4, 6.5</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40"/>
          </w:cols>
          <w:pgMar w:left="400" w:top="903" w:right="459" w:bottom="1440" w:gutter="0" w:footer="0" w:header="0"/>
        </w:sectPr>
      </w:pPr>
    </w:p>
    <w:bookmarkStart w:id="195" w:name="page196"/>
    <w:bookmarkEnd w:id="195"/>
    <w:p>
      <w:pPr>
        <w:jc w:val="both"/>
        <w:ind w:right="40"/>
        <w:spacing w:after="0" w:line="257" w:lineRule="auto"/>
        <w:rPr>
          <w:sz w:val="20"/>
          <w:szCs w:val="20"/>
          <w:color w:val="auto"/>
        </w:rPr>
      </w:pPr>
      <w:r>
        <w:rPr>
          <w:rFonts w:ascii="Arial" w:cs="Arial" w:eastAsia="Arial" w:hAnsi="Arial"/>
          <w:sz w:val="14"/>
          <w:szCs w:val="14"/>
          <w:color w:val="auto"/>
        </w:rPr>
        <w:t>or 6.6 of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w:t>
      </w:r>
    </w:p>
    <w:p>
      <w:pPr>
        <w:spacing w:after="0" w:line="196" w:lineRule="exact"/>
        <w:rPr>
          <w:sz w:val="20"/>
          <w:szCs w:val="20"/>
          <w:color w:val="auto"/>
        </w:rPr>
      </w:pPr>
    </w:p>
    <w:p>
      <w:pPr>
        <w:ind w:right="80" w:firstLine="677"/>
        <w:spacing w:after="0" w:line="257" w:lineRule="auto"/>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u w:val="single" w:color="auto"/>
          <w:color w:val="auto"/>
        </w:rPr>
        <w:t>Class A Common Stock</w:t>
      </w:r>
      <w:r>
        <w:rPr>
          <w:rFonts w:ascii="Arial" w:cs="Arial" w:eastAsia="Arial" w:hAnsi="Arial"/>
          <w:sz w:val="14"/>
          <w:szCs w:val="14"/>
          <w:color w:val="auto"/>
        </w:rPr>
        <w:t>. Subject to the provisions of Article VII and except as may otherwise be specified in the Charter, each share of Class A Common Stock shall entitle the holder thereof to one vote. The Board of Directors may reclassify any unissued shares of Class A Common Stock from time to time in one or more classes or series of Common Stock or Preferred Stock.</w:t>
      </w:r>
    </w:p>
    <w:p>
      <w:pPr>
        <w:spacing w:after="0" w:line="184" w:lineRule="exact"/>
        <w:rPr>
          <w:sz w:val="20"/>
          <w:szCs w:val="20"/>
          <w:color w:val="auto"/>
        </w:rPr>
      </w:pPr>
    </w:p>
    <w:p>
      <w:pPr>
        <w:ind w:firstLine="702"/>
        <w:spacing w:after="0" w:line="299" w:lineRule="auto"/>
        <w:rPr>
          <w:sz w:val="20"/>
          <w:szCs w:val="20"/>
          <w:color w:val="auto"/>
        </w:rPr>
      </w:pPr>
      <w:r>
        <w:rPr>
          <w:rFonts w:ascii="Arial" w:cs="Arial" w:eastAsia="Arial" w:hAnsi="Arial"/>
          <w:sz w:val="12"/>
          <w:szCs w:val="12"/>
          <w:color w:val="auto"/>
        </w:rPr>
        <w:t xml:space="preserve">Section 6.2.1 </w:t>
      </w:r>
      <w:r>
        <w:rPr>
          <w:rFonts w:ascii="Arial" w:cs="Arial" w:eastAsia="Arial" w:hAnsi="Arial"/>
          <w:sz w:val="12"/>
          <w:szCs w:val="12"/>
          <w:u w:val="single" w:color="auto"/>
          <w:color w:val="auto"/>
        </w:rPr>
        <w:t>Dividends and other Distributions</w:t>
      </w:r>
      <w:r>
        <w:rPr>
          <w:rFonts w:ascii="Arial" w:cs="Arial" w:eastAsia="Arial" w:hAnsi="Arial"/>
          <w:sz w:val="12"/>
          <w:szCs w:val="12"/>
          <w:color w:val="auto"/>
        </w:rPr>
        <w:t>. The Board of Directors may from time to time authorize and the Corporation shall declare to the holders of Class A Common Stock such dividends or other distributions in cash or other assets of the Corporation or in securities of the Corporation or from any other source as the Board of Directors in its discretion shall determine, but only out of funds legally available therefor. The Board of Directors shall endeavor to authorize, and the Corporation shall declare and pay, such dividends and other distributions as shall be necessary for the Corporation to qualify as a REIT under the Code (unless the Board of Directors has determined that it is no longer in the best interests of the Corporation to continue to be qualified as a REIT); however, stockholders shall have no right to any dividend or other distribution unless and until authorized by the Board of Directors and declared by the Corporation. The exercise of the powers and rights of the Board of Directors pursuant to this Section 6.2.1 shall be subject to the preferences of any class or series of stock at the time outstanding.</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20"/>
          </w:cols>
          <w:pgMar w:left="400" w:top="903" w:right="579" w:bottom="1440" w:gutter="0" w:footer="0" w:header="0"/>
        </w:sectPr>
      </w:pPr>
    </w:p>
    <w:bookmarkStart w:id="196" w:name="page197"/>
    <w:bookmarkEnd w:id="196"/>
    <w:p>
      <w:pPr>
        <w:ind w:left="1" w:firstLine="702"/>
        <w:spacing w:after="0" w:line="274" w:lineRule="auto"/>
        <w:rPr>
          <w:sz w:val="20"/>
          <w:szCs w:val="20"/>
          <w:color w:val="auto"/>
        </w:rPr>
      </w:pPr>
      <w:r>
        <w:rPr>
          <w:rFonts w:ascii="Arial" w:cs="Arial" w:eastAsia="Arial" w:hAnsi="Arial"/>
          <w:sz w:val="13"/>
          <w:szCs w:val="13"/>
          <w:color w:val="auto"/>
        </w:rPr>
        <w:t xml:space="preserve">Section 6.2.2 </w:t>
      </w:r>
      <w:r>
        <w:rPr>
          <w:rFonts w:ascii="Arial" w:cs="Arial" w:eastAsia="Arial" w:hAnsi="Arial"/>
          <w:sz w:val="13"/>
          <w:szCs w:val="13"/>
          <w:u w:val="single" w:color="auto"/>
          <w:color w:val="auto"/>
        </w:rPr>
        <w:t>Liquidation Rights</w:t>
      </w:r>
      <w:r>
        <w:rPr>
          <w:rFonts w:ascii="Arial" w:cs="Arial" w:eastAsia="Arial" w:hAnsi="Arial"/>
          <w:sz w:val="13"/>
          <w:szCs w:val="13"/>
          <w:color w:val="auto"/>
        </w:rPr>
        <w:t>. In the event of any voluntary or involuntary liquidation, dissolution or winding up of, or any distribution of the assets of, the Corporation, the holders of Class A Common Stock shall be entitled to participate, together with the holders of shares of any other class or series of stock now existing or hereafter classified or reclassified not having a preference over Class A Common Stock as to distributions in the liquidation, dissolution or winding up of the Corporation, in the distribution of any assets of the Corporation remaining after the Corporation shall have paid, or provided for payment of, all debts and liabilities of the Corporation and after the Corporation shall have paid, or set aside for payment, to the holders of any class or series of stock having preferences over the Class A Common Stock as to distributions in the event of dissolution, liquidation or winding up of the Corporation.</w:t>
      </w:r>
    </w:p>
    <w:p>
      <w:pPr>
        <w:spacing w:after="0" w:line="187" w:lineRule="exact"/>
        <w:rPr>
          <w:sz w:val="20"/>
          <w:szCs w:val="20"/>
          <w:color w:val="auto"/>
        </w:rPr>
      </w:pPr>
    </w:p>
    <w:p>
      <w:pPr>
        <w:ind w:left="1" w:right="240" w:firstLine="702"/>
        <w:spacing w:after="0" w:line="270" w:lineRule="auto"/>
        <w:rPr>
          <w:sz w:val="20"/>
          <w:szCs w:val="20"/>
          <w:color w:val="auto"/>
        </w:rPr>
      </w:pPr>
      <w:r>
        <w:rPr>
          <w:rFonts w:ascii="Arial" w:cs="Arial" w:eastAsia="Arial" w:hAnsi="Arial"/>
          <w:sz w:val="14"/>
          <w:szCs w:val="14"/>
          <w:color w:val="auto"/>
        </w:rPr>
        <w:t xml:space="preserve">Section 6.2.3 </w:t>
      </w:r>
      <w:r>
        <w:rPr>
          <w:rFonts w:ascii="Arial" w:cs="Arial" w:eastAsia="Arial" w:hAnsi="Arial"/>
          <w:sz w:val="14"/>
          <w:szCs w:val="14"/>
          <w:u w:val="single" w:color="auto"/>
          <w:color w:val="auto"/>
        </w:rPr>
        <w:t>Equal Status</w:t>
      </w:r>
      <w:r>
        <w:rPr>
          <w:rFonts w:ascii="Arial" w:cs="Arial" w:eastAsia="Arial" w:hAnsi="Arial"/>
          <w:sz w:val="14"/>
          <w:szCs w:val="14"/>
          <w:color w:val="auto"/>
        </w:rPr>
        <w:t>. Except as expressly provided in this Article VI, Class A Common Stock, Class B Common Stock and Performance Common Stock shall have the same rights and privileges and rank equally, share ratably and be identical in all respects as to all matters.</w:t>
      </w:r>
    </w:p>
    <w:p>
      <w:pPr>
        <w:spacing w:after="0" w:line="176" w:lineRule="exact"/>
        <w:rPr>
          <w:sz w:val="20"/>
          <w:szCs w:val="20"/>
          <w:color w:val="auto"/>
        </w:rPr>
      </w:pPr>
    </w:p>
    <w:p>
      <w:pPr>
        <w:ind w:left="1" w:right="80" w:firstLine="677"/>
        <w:spacing w:after="0" w:line="270"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Class B Common Stock</w:t>
      </w:r>
      <w:r>
        <w:rPr>
          <w:rFonts w:ascii="Arial" w:cs="Arial" w:eastAsia="Arial" w:hAnsi="Arial"/>
          <w:sz w:val="14"/>
          <w:szCs w:val="14"/>
          <w:color w:val="auto"/>
        </w:rPr>
        <w:t>. Subject to the provisions of Article VII, the rights, preferences, privileges and restrictions granted and imposed upon the Class B Common Stock are as follows:</w:t>
      </w:r>
    </w:p>
    <w:p>
      <w:pPr>
        <w:spacing w:after="0" w:line="246" w:lineRule="exact"/>
        <w:rPr>
          <w:sz w:val="20"/>
          <w:szCs w:val="20"/>
          <w:color w:val="auto"/>
        </w:rPr>
      </w:pPr>
    </w:p>
    <w:p>
      <w:pPr>
        <w:ind w:left="681"/>
        <w:spacing w:after="0"/>
        <w:rPr>
          <w:sz w:val="20"/>
          <w:szCs w:val="20"/>
          <w:color w:val="auto"/>
        </w:rPr>
      </w:pPr>
      <w:r>
        <w:rPr>
          <w:rFonts w:ascii="Arial" w:cs="Arial" w:eastAsia="Arial" w:hAnsi="Arial"/>
          <w:sz w:val="14"/>
          <w:szCs w:val="14"/>
          <w:color w:val="auto"/>
        </w:rPr>
        <w:t xml:space="preserve">Section 6.3.1 </w:t>
      </w:r>
      <w:r>
        <w:rPr>
          <w:rFonts w:ascii="Arial" w:cs="Arial" w:eastAsia="Arial" w:hAnsi="Arial"/>
          <w:sz w:val="14"/>
          <w:szCs w:val="14"/>
          <w:u w:val="single" w:color="auto"/>
          <w:color w:val="auto"/>
        </w:rPr>
        <w:t>Definitions</w:t>
      </w:r>
      <w:r>
        <w:rPr>
          <w:rFonts w:ascii="Arial" w:cs="Arial" w:eastAsia="Arial" w:hAnsi="Arial"/>
          <w:sz w:val="14"/>
          <w:szCs w:val="14"/>
          <w:color w:val="auto"/>
        </w:rPr>
        <w:t>. For the purpose of only this Section 6.3, the following terms shall have the following meanings:</w:t>
      </w:r>
    </w:p>
    <w:p>
      <w:pPr>
        <w:spacing w:after="0" w:line="96" w:lineRule="exact"/>
        <w:rPr>
          <w:sz w:val="20"/>
          <w:szCs w:val="20"/>
          <w:color w:val="auto"/>
        </w:rPr>
      </w:pPr>
    </w:p>
    <w:p>
      <w:pPr>
        <w:ind w:left="1101"/>
        <w:spacing w:after="0"/>
        <w:rPr>
          <w:sz w:val="20"/>
          <w:szCs w:val="20"/>
          <w:color w:val="auto"/>
        </w:rPr>
      </w:pPr>
      <w:r>
        <w:rPr>
          <w:rFonts w:ascii="Arial" w:cs="Arial" w:eastAsia="Arial" w:hAnsi="Arial"/>
          <w:sz w:val="13"/>
          <w:szCs w:val="13"/>
          <w:u w:val="single" w:color="auto"/>
          <w:color w:val="auto"/>
        </w:rPr>
        <w:t>Affiliate</w:t>
      </w:r>
      <w:r>
        <w:rPr>
          <w:rFonts w:ascii="Arial" w:cs="Arial" w:eastAsia="Arial" w:hAnsi="Arial"/>
          <w:sz w:val="13"/>
          <w:szCs w:val="13"/>
          <w:color w:val="auto"/>
        </w:rPr>
        <w:t>. The term “Affiliate” means, with respect to any Person, (i) any Person directly or indirectly controlling, controlled by or under common control with such Person, or</w:t>
      </w:r>
    </w:p>
    <w:p>
      <w:pPr>
        <w:spacing w:after="0" w:line="26" w:lineRule="exact"/>
        <w:rPr>
          <w:sz w:val="20"/>
          <w:szCs w:val="20"/>
          <w:color w:val="auto"/>
        </w:rPr>
      </w:pPr>
    </w:p>
    <w:p>
      <w:pPr>
        <w:ind w:left="5481" w:right="4380" w:hanging="5481"/>
        <w:spacing w:after="0" w:line="459" w:lineRule="auto"/>
        <w:tabs>
          <w:tab w:leader="none" w:pos="2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any officer, director, general partner or trustee of such Person or any Person referred to in the foregoing clause (i). 10</w:t>
      </w:r>
    </w:p>
    <w:p>
      <w:pPr>
        <w:sectPr>
          <w:pgSz w:w="11900" w:h="16838" w:orient="portrait"/>
          <w:cols w:equalWidth="0" w:num="1">
            <w:col w:w="10981"/>
          </w:cols>
          <w:pgMar w:left="399" w:top="903" w:right="519" w:bottom="1440" w:gutter="0" w:footer="0" w:header="0"/>
        </w:sectPr>
      </w:pPr>
    </w:p>
    <w:bookmarkStart w:id="197" w:name="page198"/>
    <w:bookmarkEnd w:id="197"/>
    <w:p>
      <w:pPr>
        <w:ind w:left="1100"/>
        <w:spacing w:after="0"/>
        <w:rPr>
          <w:sz w:val="20"/>
          <w:szCs w:val="20"/>
          <w:color w:val="auto"/>
        </w:rPr>
      </w:pPr>
      <w:r>
        <w:rPr>
          <w:rFonts w:ascii="Arial" w:cs="Arial" w:eastAsia="Arial" w:hAnsi="Arial"/>
          <w:sz w:val="12"/>
          <w:szCs w:val="12"/>
          <w:u w:val="single" w:color="auto"/>
          <w:color w:val="auto"/>
        </w:rPr>
        <w:t>Beneficial Owner</w:t>
      </w:r>
      <w:r>
        <w:rPr>
          <w:rFonts w:ascii="Arial" w:cs="Arial" w:eastAsia="Arial" w:hAnsi="Arial"/>
          <w:sz w:val="12"/>
          <w:szCs w:val="12"/>
          <w:color w:val="auto"/>
        </w:rPr>
        <w:t>. The term “Beneficial Owner” has the meaning set forth in Rule 13d-3 and Rule 13d-5 of the Securities Exchange Act of 1934, as amended (the “Exchange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Act”).</w:t>
      </w:r>
    </w:p>
    <w:p>
      <w:pPr>
        <w:spacing w:after="0" w:line="283" w:lineRule="exact"/>
        <w:rPr>
          <w:sz w:val="20"/>
          <w:szCs w:val="20"/>
          <w:color w:val="auto"/>
        </w:rPr>
      </w:pPr>
    </w:p>
    <w:p>
      <w:pPr>
        <w:ind w:firstLine="1101"/>
        <w:spacing w:after="0" w:line="253" w:lineRule="auto"/>
        <w:rPr>
          <w:sz w:val="20"/>
          <w:szCs w:val="20"/>
          <w:color w:val="auto"/>
        </w:rPr>
      </w:pPr>
      <w:r>
        <w:rPr>
          <w:rFonts w:ascii="Arial" w:cs="Arial" w:eastAsia="Arial" w:hAnsi="Arial"/>
          <w:sz w:val="14"/>
          <w:szCs w:val="14"/>
          <w:u w:val="single" w:color="auto"/>
          <w:color w:val="auto"/>
        </w:rPr>
        <w:t>Beneficial Ownershi</w:t>
      </w:r>
      <w:r>
        <w:rPr>
          <w:rFonts w:ascii="Arial" w:cs="Arial" w:eastAsia="Arial" w:hAnsi="Arial"/>
          <w:sz w:val="14"/>
          <w:szCs w:val="14"/>
          <w:color w:val="auto"/>
        </w:rPr>
        <w:t>p. The term “Beneficial Ownership” shall mean, with respect to any security, the direct or indirect ownership of such security by any Beneficial Owner of such security,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4"/>
          <w:szCs w:val="14"/>
          <w:u w:val="single" w:color="auto"/>
          <w:color w:val="auto"/>
        </w:rPr>
        <w:t>Business Da</w:t>
      </w:r>
      <w:r>
        <w:rPr>
          <w:rFonts w:ascii="Arial" w:cs="Arial" w:eastAsia="Arial" w:hAnsi="Arial"/>
          <w:sz w:val="14"/>
          <w:szCs w:val="14"/>
          <w:color w:val="auto"/>
        </w:rPr>
        <w:t>y. The term “Business Day” has the meaning set forth in Article VII below.</w:t>
      </w:r>
    </w:p>
    <w:p>
      <w:pPr>
        <w:spacing w:after="0" w:line="283" w:lineRule="exact"/>
        <w:rPr>
          <w:sz w:val="20"/>
          <w:szCs w:val="20"/>
          <w:color w:val="auto"/>
        </w:rPr>
      </w:pPr>
    </w:p>
    <w:p>
      <w:pPr>
        <w:ind w:right="280" w:firstLine="1101"/>
        <w:spacing w:after="0" w:line="310" w:lineRule="auto"/>
        <w:rPr>
          <w:sz w:val="20"/>
          <w:szCs w:val="20"/>
          <w:color w:val="auto"/>
        </w:rPr>
      </w:pPr>
      <w:r>
        <w:rPr>
          <w:rFonts w:ascii="Arial" w:cs="Arial" w:eastAsia="Arial" w:hAnsi="Arial"/>
          <w:sz w:val="13"/>
          <w:szCs w:val="13"/>
          <w:u w:val="single" w:color="auto"/>
          <w:color w:val="auto"/>
        </w:rPr>
        <w:t>Control</w:t>
      </w:r>
      <w:r>
        <w:rPr>
          <w:rFonts w:ascii="Arial" w:cs="Arial" w:eastAsia="Arial" w:hAnsi="Arial"/>
          <w:sz w:val="13"/>
          <w:szCs w:val="13"/>
          <w:color w:val="auto"/>
        </w:rPr>
        <w:t>. The term “Control” means, when used with respect to any Person,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4"/>
          <w:szCs w:val="14"/>
          <w:u w:val="single" w:color="auto"/>
          <w:color w:val="auto"/>
        </w:rPr>
        <w:t>Exchan</w:t>
      </w:r>
      <w:r>
        <w:rPr>
          <w:rFonts w:ascii="Arial" w:cs="Arial" w:eastAsia="Arial" w:hAnsi="Arial"/>
          <w:sz w:val="14"/>
          <w:szCs w:val="14"/>
          <w:color w:val="auto"/>
        </w:rPr>
        <w:t>g</w:t>
      </w:r>
      <w:r>
        <w:rPr>
          <w:rFonts w:ascii="Arial" w:cs="Arial" w:eastAsia="Arial" w:hAnsi="Arial"/>
          <w:sz w:val="14"/>
          <w:szCs w:val="14"/>
          <w:u w:val="single" w:color="auto"/>
          <w:color w:val="auto"/>
        </w:rPr>
        <w:t>e Act</w:t>
      </w:r>
      <w:r>
        <w:rPr>
          <w:rFonts w:ascii="Arial" w:cs="Arial" w:eastAsia="Arial" w:hAnsi="Arial"/>
          <w:sz w:val="14"/>
          <w:szCs w:val="14"/>
          <w:color w:val="auto"/>
        </w:rPr>
        <w:t>. The term “Exchange Act” has the meaning set forth in the definition of “Beneficial Owner.”</w:t>
      </w:r>
    </w:p>
    <w:p>
      <w:pPr>
        <w:spacing w:after="0" w:line="283" w:lineRule="exact"/>
        <w:rPr>
          <w:sz w:val="20"/>
          <w:szCs w:val="20"/>
          <w:color w:val="auto"/>
        </w:rPr>
      </w:pPr>
    </w:p>
    <w:p>
      <w:pPr>
        <w:ind w:right="100" w:firstLine="1101"/>
        <w:spacing w:after="0" w:line="356" w:lineRule="auto"/>
        <w:rPr>
          <w:sz w:val="20"/>
          <w:szCs w:val="20"/>
          <w:color w:val="auto"/>
        </w:rPr>
      </w:pPr>
      <w:r>
        <w:rPr>
          <w:rFonts w:ascii="Arial" w:cs="Arial" w:eastAsia="Arial" w:hAnsi="Arial"/>
          <w:sz w:val="12"/>
          <w:szCs w:val="12"/>
          <w:u w:val="single" w:color="auto"/>
          <w:color w:val="auto"/>
        </w:rPr>
        <w:t>Executive</w:t>
      </w:r>
      <w:r>
        <w:rPr>
          <w:rFonts w:ascii="Arial" w:cs="Arial" w:eastAsia="Arial" w:hAnsi="Arial"/>
          <w:sz w:val="12"/>
          <w:szCs w:val="12"/>
          <w:color w:val="auto"/>
        </w:rPr>
        <w:t>. The term “Executive” means each Person who is a member of, or an interest holder of, CCH Management Partners I, LLC or CCH Management Partners II, LLC, Colony Capital, LLC or Colony Capital Holdings, LLC, other than Thomas J. Barrack, Jr., in each case for so long as he or she remains employed by the Corporation or any of its Affiliates.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940"/>
          </w:cols>
          <w:pgMar w:left="400" w:top="692" w:right="559" w:bottom="1440" w:gutter="0" w:footer="0" w:header="0"/>
        </w:sectPr>
      </w:pPr>
    </w:p>
    <w:bookmarkStart w:id="198" w:name="page199"/>
    <w:bookmarkEnd w:id="198"/>
    <w:p>
      <w:pPr>
        <w:ind w:left="80" w:firstLine="1101"/>
        <w:spacing w:after="0" w:line="249" w:lineRule="auto"/>
        <w:rPr>
          <w:sz w:val="20"/>
          <w:szCs w:val="20"/>
          <w:color w:val="auto"/>
        </w:rPr>
      </w:pPr>
      <w:r>
        <w:rPr>
          <w:rFonts w:ascii="Arial" w:cs="Arial" w:eastAsia="Arial" w:hAnsi="Arial"/>
          <w:sz w:val="14"/>
          <w:szCs w:val="14"/>
          <w:u w:val="single" w:color="auto"/>
          <w:color w:val="auto"/>
        </w:rPr>
        <w:t>Fami</w:t>
      </w:r>
      <w:r>
        <w:rPr>
          <w:rFonts w:ascii="Arial" w:cs="Arial" w:eastAsia="Arial" w:hAnsi="Arial"/>
          <w:sz w:val="14"/>
          <w:szCs w:val="14"/>
          <w:color w:val="auto"/>
        </w:rPr>
        <w:t xml:space="preserve">ly Member. The term “Family Member” means, as to any Person that is an individual, (i) such Person’s spouse, ancestors (whether by blood or by adoption or step-ancestors by marriage), descendants (whether by blood or by adoption or step-descendants by marriage), brothers and sisters, mother-in-law, father-in-law, son-in-law, daughter-in-law, brother-in-law, sister-in-law and descendants (whether by blood or by adoption or step-descendants by marriage) of a brother or sister and (ii) any </w:t>
      </w:r>
      <w:r>
        <w:rPr>
          <w:rFonts w:ascii="Arial" w:cs="Arial" w:eastAsia="Arial" w:hAnsi="Arial"/>
          <w:sz w:val="14"/>
          <w:szCs w:val="14"/>
          <w:i w:val="1"/>
          <w:iCs w:val="1"/>
          <w:color w:val="auto"/>
        </w:rPr>
        <w:t>inter vivos</w:t>
      </w:r>
      <w:r>
        <w:rPr>
          <w:rFonts w:ascii="Arial" w:cs="Arial" w:eastAsia="Arial" w:hAnsi="Arial"/>
          <w:sz w:val="14"/>
          <w:szCs w:val="14"/>
          <w:color w:val="auto"/>
        </w:rPr>
        <w:t xml:space="preserve"> or testamentary trusts (whether revocable or irrevocable) of which only such Person, his or her spouse, ancestors (whether by blood or by adoption or step-ancestors by marriage), descendants (whether by blood or by adoption or step-descendants by marriage), brothers and sisters, mother-in-law, father-in-law, son-in-law, daughter-in-law, brother-in-law, sister-in-law and descendants (whether by blood or by adoption or step-descendants by marriage) of a brother or sister are the sole initial income beneficiaries.</w:t>
      </w:r>
    </w:p>
    <w:p>
      <w:pPr>
        <w:spacing w:after="0" w:line="261" w:lineRule="exact"/>
        <w:rPr>
          <w:sz w:val="20"/>
          <w:szCs w:val="20"/>
          <w:color w:val="auto"/>
        </w:rPr>
      </w:pPr>
    </w:p>
    <w:p>
      <w:pPr>
        <w:ind w:left="1180"/>
        <w:spacing w:after="0"/>
        <w:rPr>
          <w:sz w:val="20"/>
          <w:szCs w:val="20"/>
          <w:color w:val="auto"/>
        </w:rPr>
      </w:pPr>
      <w:r>
        <w:rPr>
          <w:rFonts w:ascii="Arial" w:cs="Arial" w:eastAsia="Arial" w:hAnsi="Arial"/>
          <w:sz w:val="14"/>
          <w:szCs w:val="14"/>
          <w:u w:val="single" w:color="auto"/>
          <w:color w:val="auto"/>
        </w:rPr>
        <w:t>Initial Holder</w:t>
      </w:r>
      <w:r>
        <w:rPr>
          <w:rFonts w:ascii="Arial" w:cs="Arial" w:eastAsia="Arial" w:hAnsi="Arial"/>
          <w:sz w:val="14"/>
          <w:szCs w:val="14"/>
          <w:color w:val="auto"/>
        </w:rPr>
        <w:t>. The term “Initial Holder” shall mean Thomas J. Barrack, Jr.</w:t>
      </w:r>
    </w:p>
    <w:p>
      <w:pPr>
        <w:spacing w:after="0" w:line="190" w:lineRule="exact"/>
        <w:rPr>
          <w:sz w:val="20"/>
          <w:szCs w:val="20"/>
          <w:color w:val="auto"/>
        </w:rPr>
      </w:pPr>
    </w:p>
    <w:p>
      <w:pPr>
        <w:ind w:left="1180"/>
        <w:spacing w:after="0"/>
        <w:rPr>
          <w:sz w:val="20"/>
          <w:szCs w:val="20"/>
          <w:color w:val="auto"/>
        </w:rPr>
      </w:pPr>
      <w:r>
        <w:rPr>
          <w:rFonts w:ascii="Arial" w:cs="Arial" w:eastAsia="Arial" w:hAnsi="Arial"/>
          <w:sz w:val="14"/>
          <w:szCs w:val="14"/>
          <w:u w:val="single" w:color="auto"/>
          <w:color w:val="auto"/>
        </w:rPr>
        <w:t>OP Unit</w:t>
      </w:r>
      <w:r>
        <w:rPr>
          <w:rFonts w:ascii="Arial" w:cs="Arial" w:eastAsia="Arial" w:hAnsi="Arial"/>
          <w:sz w:val="14"/>
          <w:szCs w:val="14"/>
          <w:color w:val="auto"/>
        </w:rPr>
        <w:t>. The term “OP Unit” shall mean “Membership Common Unit” as set forth in the Partnership Agreement.</w:t>
      </w:r>
    </w:p>
    <w:p>
      <w:pPr>
        <w:spacing w:after="0" w:line="272" w:lineRule="exact"/>
        <w:rPr>
          <w:sz w:val="20"/>
          <w:szCs w:val="20"/>
          <w:color w:val="auto"/>
        </w:rPr>
      </w:pPr>
    </w:p>
    <w:p>
      <w:pPr>
        <w:ind w:left="2600"/>
        <w:spacing w:after="0"/>
        <w:rPr>
          <w:sz w:val="20"/>
          <w:szCs w:val="20"/>
          <w:color w:val="auto"/>
        </w:rPr>
      </w:pPr>
      <w:r>
        <w:rPr>
          <w:rFonts w:ascii="Arial" w:cs="Arial" w:eastAsia="Arial" w:hAnsi="Arial"/>
          <w:sz w:val="14"/>
          <w:szCs w:val="14"/>
          <w:u w:val="single" w:color="auto"/>
          <w:color w:val="auto"/>
        </w:rPr>
        <w:t>Operating Partnership</w:t>
      </w:r>
      <w:r>
        <w:rPr>
          <w:rFonts w:ascii="Arial" w:cs="Arial" w:eastAsia="Arial" w:hAnsi="Arial"/>
          <w:sz w:val="14"/>
          <w:szCs w:val="14"/>
          <w:color w:val="auto"/>
        </w:rPr>
        <w:t>. The term “Operating Partnership” shall mean Colony Capital Operating Company, LLC.</w:t>
      </w:r>
    </w:p>
    <w:p>
      <w:pPr>
        <w:spacing w:after="0" w:line="272" w:lineRule="exact"/>
        <w:rPr>
          <w:sz w:val="20"/>
          <w:szCs w:val="20"/>
          <w:color w:val="auto"/>
        </w:rPr>
      </w:pPr>
    </w:p>
    <w:p>
      <w:pPr>
        <w:ind w:right="2980" w:firstLine="1192"/>
        <w:spacing w:after="0" w:line="253" w:lineRule="auto"/>
        <w:rPr>
          <w:sz w:val="20"/>
          <w:szCs w:val="20"/>
          <w:color w:val="auto"/>
        </w:rPr>
      </w:pPr>
      <w:r>
        <w:rPr>
          <w:rFonts w:ascii="Arial" w:cs="Arial" w:eastAsia="Arial" w:hAnsi="Arial"/>
          <w:sz w:val="14"/>
          <w:szCs w:val="14"/>
          <w:u w:val="single" w:color="auto"/>
          <w:color w:val="auto"/>
        </w:rPr>
        <w:t>Partnership Agreement</w:t>
      </w:r>
      <w:r>
        <w:rPr>
          <w:rFonts w:ascii="Arial" w:cs="Arial" w:eastAsia="Arial" w:hAnsi="Arial"/>
          <w:sz w:val="14"/>
          <w:szCs w:val="14"/>
          <w:color w:val="auto"/>
        </w:rPr>
        <w:t>. The term “Partnership Agreement” shall mean the Third Amended and Restated Limited Liability Company Agreement of Colony Capital Operating Company, LLC.</w:t>
      </w:r>
    </w:p>
    <w:p>
      <w:pPr>
        <w:spacing w:after="0" w:line="7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020"/>
          </w:cols>
          <w:pgMar w:left="320" w:top="692" w:right="559" w:bottom="1440" w:gutter="0" w:footer="0" w:header="0"/>
        </w:sectPr>
      </w:pPr>
    </w:p>
    <w:bookmarkStart w:id="199" w:name="page200"/>
    <w:bookmarkEnd w:id="199"/>
    <w:p>
      <w:pPr>
        <w:ind w:left="1" w:firstLine="1101"/>
        <w:spacing w:after="0" w:line="270" w:lineRule="auto"/>
        <w:rPr>
          <w:sz w:val="20"/>
          <w:szCs w:val="20"/>
          <w:color w:val="auto"/>
        </w:rPr>
      </w:pPr>
      <w:r>
        <w:rPr>
          <w:rFonts w:ascii="Arial" w:cs="Arial" w:eastAsia="Arial" w:hAnsi="Arial"/>
          <w:sz w:val="14"/>
          <w:szCs w:val="14"/>
          <w:u w:val="single" w:color="auto"/>
          <w:color w:val="auto"/>
        </w:rPr>
        <w:t>Person</w:t>
      </w:r>
      <w:r>
        <w:rPr>
          <w:rFonts w:ascii="Arial" w:cs="Arial" w:eastAsia="Arial" w:hAnsi="Arial"/>
          <w:sz w:val="14"/>
          <w:szCs w:val="14"/>
          <w:color w:val="auto"/>
        </w:rPr>
        <w:t>. The term “Person” shall mean an individual or a corporation, partnership (general or limited), trust, estate, custodian, nominee, unincorporated organization, association, limited liability company or any other individual or entity in its own or any representative capacity.</w:t>
      </w:r>
    </w:p>
    <w:p>
      <w:pPr>
        <w:spacing w:after="0" w:line="246" w:lineRule="exact"/>
        <w:rPr>
          <w:sz w:val="20"/>
          <w:szCs w:val="20"/>
          <w:color w:val="auto"/>
        </w:rPr>
      </w:pPr>
    </w:p>
    <w:p>
      <w:pPr>
        <w:ind w:left="1101"/>
        <w:spacing w:after="0"/>
        <w:rPr>
          <w:sz w:val="20"/>
          <w:szCs w:val="20"/>
          <w:color w:val="auto"/>
        </w:rPr>
      </w:pPr>
      <w:r>
        <w:rPr>
          <w:rFonts w:ascii="Arial" w:cs="Arial" w:eastAsia="Arial" w:hAnsi="Arial"/>
          <w:sz w:val="14"/>
          <w:szCs w:val="14"/>
          <w:color w:val="auto"/>
        </w:rPr>
        <w:t>Q</w:t>
      </w:r>
      <w:r>
        <w:rPr>
          <w:rFonts w:ascii="Arial" w:cs="Arial" w:eastAsia="Arial" w:hAnsi="Arial"/>
          <w:sz w:val="14"/>
          <w:szCs w:val="14"/>
          <w:u w:val="single" w:color="auto"/>
          <w:color w:val="auto"/>
        </w:rPr>
        <w:t>ualified Transferee</w:t>
      </w:r>
      <w:r>
        <w:rPr>
          <w:rFonts w:ascii="Arial" w:cs="Arial" w:eastAsia="Arial" w:hAnsi="Arial"/>
          <w:sz w:val="14"/>
          <w:szCs w:val="14"/>
          <w:color w:val="auto"/>
        </w:rPr>
        <w:t>. The term “Qualified Transferee” shall mean (a) Colony Capital, LLC and Colony Capital Holdings, LLC,</w:t>
      </w:r>
    </w:p>
    <w:p>
      <w:pPr>
        <w:spacing w:after="0" w:line="15" w:lineRule="exact"/>
        <w:rPr>
          <w:sz w:val="20"/>
          <w:szCs w:val="20"/>
          <w:color w:val="auto"/>
        </w:rPr>
      </w:pPr>
    </w:p>
    <w:p>
      <w:pPr>
        <w:ind w:left="1" w:right="220" w:hanging="1"/>
        <w:spacing w:after="0" w:line="248" w:lineRule="auto"/>
        <w:tabs>
          <w:tab w:leader="none" w:pos="30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any Executive, (c) any Family Member or Affiliate of an Executive or of the Initial Holder, or (d) any Person (to the extent not included in clause (c)) Controlled by any combination of one or more Executives, the Initial Holder and/or one or more Family Members of an Executive or the Initial Holder. None of the Corporation, the Operating Partnership, or the Trustee shall be a Qualified Transferee.</w:t>
      </w:r>
    </w:p>
    <w:p>
      <w:pPr>
        <w:spacing w:after="0" w:line="272" w:lineRule="exact"/>
        <w:rPr>
          <w:sz w:val="20"/>
          <w:szCs w:val="20"/>
          <w:color w:val="auto"/>
        </w:rPr>
      </w:pPr>
    </w:p>
    <w:p>
      <w:pPr>
        <w:jc w:val="both"/>
        <w:ind w:left="1" w:right="60" w:firstLine="1101"/>
        <w:spacing w:after="0" w:line="257" w:lineRule="auto"/>
        <w:rPr>
          <w:sz w:val="20"/>
          <w:szCs w:val="20"/>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The term “Transfer” (and the correlative terms “Transferring” and “Transferred”) has the meaning set forth in Article VII below; provided that for purposes of this Article VI, “Transfer” (and the correlative terms “Transferring” and “Transferred”) shall not include any hypothecation, pledge or security interest that does not include a transfer or sharing of any voting rights of such securities unless and until the secured party gains possession or control of any such voting rights.</w:t>
      </w:r>
    </w:p>
    <w:p>
      <w:pPr>
        <w:spacing w:after="0" w:line="255" w:lineRule="exact"/>
        <w:rPr>
          <w:sz w:val="20"/>
          <w:szCs w:val="20"/>
          <w:color w:val="auto"/>
        </w:rPr>
      </w:pPr>
    </w:p>
    <w:p>
      <w:pPr>
        <w:ind w:left="1101"/>
        <w:spacing w:after="0"/>
        <w:rPr>
          <w:sz w:val="20"/>
          <w:szCs w:val="20"/>
          <w:color w:val="auto"/>
        </w:rPr>
      </w:pPr>
      <w:r>
        <w:rPr>
          <w:rFonts w:ascii="Arial" w:cs="Arial" w:eastAsia="Arial" w:hAnsi="Arial"/>
          <w:sz w:val="14"/>
          <w:szCs w:val="14"/>
          <w:u w:val="single" w:color="auto"/>
          <w:color w:val="auto"/>
        </w:rPr>
        <w:t>Trustee</w:t>
      </w:r>
      <w:r>
        <w:rPr>
          <w:rFonts w:ascii="Arial" w:cs="Arial" w:eastAsia="Arial" w:hAnsi="Arial"/>
          <w:sz w:val="14"/>
          <w:szCs w:val="14"/>
          <w:color w:val="auto"/>
        </w:rPr>
        <w:t>. The term “Trustee” has the meaning set forth in Article VII below.</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021"/>
          </w:cols>
          <w:pgMar w:left="399" w:top="693" w:right="479" w:bottom="1440" w:gutter="0" w:footer="0" w:header="0"/>
        </w:sectPr>
      </w:pPr>
    </w:p>
    <w:bookmarkStart w:id="200" w:name="page201"/>
    <w:bookmarkEnd w:id="200"/>
    <w:p>
      <w:pPr>
        <w:ind w:firstLine="702"/>
        <w:spacing w:after="0" w:line="253" w:lineRule="auto"/>
        <w:rPr>
          <w:sz w:val="20"/>
          <w:szCs w:val="20"/>
          <w:color w:val="auto"/>
        </w:rPr>
      </w:pPr>
      <w:r>
        <w:rPr>
          <w:rFonts w:ascii="Arial" w:cs="Arial" w:eastAsia="Arial" w:hAnsi="Arial"/>
          <w:sz w:val="14"/>
          <w:szCs w:val="14"/>
          <w:color w:val="auto"/>
        </w:rPr>
        <w:t xml:space="preserve">Section 6.3.2 </w:t>
      </w:r>
      <w:r>
        <w:rPr>
          <w:rFonts w:ascii="Arial" w:cs="Arial" w:eastAsia="Arial" w:hAnsi="Arial"/>
          <w:sz w:val="14"/>
          <w:szCs w:val="14"/>
          <w:u w:val="single" w:color="auto"/>
          <w:color w:val="auto"/>
        </w:rPr>
        <w:t>Votin</w:t>
      </w:r>
      <w:r>
        <w:rPr>
          <w:rFonts w:ascii="Arial" w:cs="Arial" w:eastAsia="Arial" w:hAnsi="Arial"/>
          <w:sz w:val="14"/>
          <w:szCs w:val="14"/>
          <w:color w:val="auto"/>
        </w:rPr>
        <w:t xml:space="preserve">g </w:t>
      </w:r>
      <w:r>
        <w:rPr>
          <w:rFonts w:ascii="Arial" w:cs="Arial" w:eastAsia="Arial" w:hAnsi="Arial"/>
          <w:sz w:val="14"/>
          <w:szCs w:val="14"/>
          <w:u w:val="single" w:color="auto"/>
          <w:color w:val="auto"/>
        </w:rPr>
        <w:t>Rights</w:t>
      </w:r>
      <w:r>
        <w:rPr>
          <w:rFonts w:ascii="Arial" w:cs="Arial" w:eastAsia="Arial" w:hAnsi="Arial"/>
          <w:sz w:val="14"/>
          <w:szCs w:val="14"/>
          <w:color w:val="auto"/>
        </w:rPr>
        <w:t>. Subject to the provisions of Article VII and except as may otherwise be specified in the Charter, each share of Class B Common Stock shall entitle the holder thereof to thirty-six and one-half (36.5) votes on each matter on which holders of Class A Common Stock are entitled to vote. The Class B Common Stock and Class A Common Stock shall vote together as a single class. The Board of Directors may reclassify any unissued shares of Class B Common Stock from time to time in one or more classes or series of Common Stock or Preferred Stock.</w:t>
      </w:r>
    </w:p>
    <w:p>
      <w:pPr>
        <w:spacing w:after="0" w:line="198" w:lineRule="exact"/>
        <w:rPr>
          <w:sz w:val="20"/>
          <w:szCs w:val="20"/>
          <w:color w:val="auto"/>
        </w:rPr>
      </w:pPr>
    </w:p>
    <w:p>
      <w:pPr>
        <w:ind w:right="100" w:firstLine="702"/>
        <w:spacing w:after="0" w:line="274" w:lineRule="auto"/>
        <w:rPr>
          <w:sz w:val="20"/>
          <w:szCs w:val="20"/>
          <w:color w:val="auto"/>
        </w:rPr>
      </w:pPr>
      <w:r>
        <w:rPr>
          <w:rFonts w:ascii="Arial" w:cs="Arial" w:eastAsia="Arial" w:hAnsi="Arial"/>
          <w:sz w:val="13"/>
          <w:szCs w:val="13"/>
          <w:color w:val="auto"/>
        </w:rPr>
        <w:t xml:space="preserve">Section 6.3.3 </w:t>
      </w:r>
      <w:r>
        <w:rPr>
          <w:rFonts w:ascii="Arial" w:cs="Arial" w:eastAsia="Arial" w:hAnsi="Arial"/>
          <w:sz w:val="13"/>
          <w:szCs w:val="13"/>
          <w:u w:val="single" w:color="auto"/>
          <w:color w:val="auto"/>
        </w:rPr>
        <w:t>Dividends and other Distributions; Subdivisions or Combinations</w:t>
      </w:r>
      <w:r>
        <w:rPr>
          <w:rFonts w:ascii="Arial" w:cs="Arial" w:eastAsia="Arial" w:hAnsi="Arial"/>
          <w:sz w:val="13"/>
          <w:szCs w:val="13"/>
          <w:color w:val="auto"/>
        </w:rPr>
        <w:t>. Subject to the preferences applicable to any class or series of Preferred Stock, if any, outstanding at any time, if and when the Board of Directors authorizes or declares a dividend or other distribution of cash, property or shares of stock of the Corporation with respect to each share of Class A Common Stock out of assets or funds of the Corporation legally available therefor, such authorization or declaration also shall constitute a simultaneous authorization or declaration of an equivalent dividend or other distribution with respect to each share of Class B Common Stock. If the Corporation in any manner subdivides or combines the outstanding shares of Class A Common Stock, the outstanding shares of Class B Common Stock will be subdivided or combined in the same manner.</w:t>
      </w:r>
    </w:p>
    <w:p>
      <w:pPr>
        <w:spacing w:after="0" w:line="187" w:lineRule="exact"/>
        <w:rPr>
          <w:sz w:val="20"/>
          <w:szCs w:val="20"/>
          <w:color w:val="auto"/>
        </w:rPr>
      </w:pPr>
    </w:p>
    <w:p>
      <w:pPr>
        <w:ind w:right="20" w:firstLine="702"/>
        <w:spacing w:after="0" w:line="253" w:lineRule="auto"/>
        <w:rPr>
          <w:sz w:val="20"/>
          <w:szCs w:val="20"/>
          <w:color w:val="auto"/>
        </w:rPr>
      </w:pPr>
      <w:r>
        <w:rPr>
          <w:rFonts w:ascii="Arial" w:cs="Arial" w:eastAsia="Arial" w:hAnsi="Arial"/>
          <w:sz w:val="14"/>
          <w:szCs w:val="14"/>
          <w:color w:val="auto"/>
        </w:rPr>
        <w:t xml:space="preserve">Section 6.3.4 </w:t>
      </w:r>
      <w:r>
        <w:rPr>
          <w:rFonts w:ascii="Arial" w:cs="Arial" w:eastAsia="Arial" w:hAnsi="Arial"/>
          <w:sz w:val="14"/>
          <w:szCs w:val="14"/>
          <w:u w:val="single" w:color="auto"/>
          <w:color w:val="auto"/>
        </w:rPr>
        <w:t>Liquidation Rights</w:t>
      </w:r>
      <w:r>
        <w:rPr>
          <w:rFonts w:ascii="Arial" w:cs="Arial" w:eastAsia="Arial" w:hAnsi="Arial"/>
          <w:sz w:val="14"/>
          <w:szCs w:val="14"/>
          <w:color w:val="auto"/>
        </w:rPr>
        <w:t>. In the event of any voluntary or involuntary liquidation, dissolution or winding up of, or any distribution of the assets of, the Corporation, each holder of Class B Common Stock shall be entitled to participate, together with the holders of shares of any other class or series of stock now existing or hereafter classified or reclassified not having a preference over Class B Common Stock as to distributions in the liquidation, dissolution or winding up of the Corporation, in the distribution of any assets of the Corporation remaining after the Corporation shall have paid, or provided for payment of, all</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900"/>
          </w:cols>
          <w:pgMar w:left="400" w:top="692" w:right="599" w:bottom="1440" w:gutter="0" w:footer="0" w:header="0"/>
        </w:sectPr>
      </w:pPr>
    </w:p>
    <w:bookmarkStart w:id="201" w:name="page202"/>
    <w:bookmarkEnd w:id="201"/>
    <w:p>
      <w:pPr>
        <w:ind w:right="580"/>
        <w:spacing w:after="0" w:line="270" w:lineRule="auto"/>
        <w:rPr>
          <w:sz w:val="20"/>
          <w:szCs w:val="20"/>
          <w:color w:val="auto"/>
        </w:rPr>
      </w:pPr>
      <w:r>
        <w:rPr>
          <w:rFonts w:ascii="Arial" w:cs="Arial" w:eastAsia="Arial" w:hAnsi="Arial"/>
          <w:sz w:val="14"/>
          <w:szCs w:val="14"/>
          <w:color w:val="auto"/>
        </w:rPr>
        <w:t>debts and liabilities of the Corporation and after the Corporation shall have paid, or set aside for payment, to the holders of any class or series of stock having preference over the Class B Common Stock as to distributions in the event of dissolution, liquidation or winding up of the Corporation.</w:t>
      </w:r>
    </w:p>
    <w:p>
      <w:pPr>
        <w:spacing w:after="0" w:line="176" w:lineRule="exact"/>
        <w:rPr>
          <w:sz w:val="20"/>
          <w:szCs w:val="20"/>
          <w:color w:val="auto"/>
        </w:rPr>
      </w:pPr>
    </w:p>
    <w:p>
      <w:pPr>
        <w:ind w:right="280" w:firstLine="702"/>
        <w:spacing w:after="0" w:line="270" w:lineRule="auto"/>
        <w:rPr>
          <w:sz w:val="20"/>
          <w:szCs w:val="20"/>
          <w:color w:val="auto"/>
        </w:rPr>
      </w:pPr>
      <w:r>
        <w:rPr>
          <w:rFonts w:ascii="Arial" w:cs="Arial" w:eastAsia="Arial" w:hAnsi="Arial"/>
          <w:sz w:val="14"/>
          <w:szCs w:val="14"/>
          <w:color w:val="auto"/>
        </w:rPr>
        <w:t xml:space="preserve">Section 6.3.5 </w:t>
      </w:r>
      <w:r>
        <w:rPr>
          <w:rFonts w:ascii="Arial" w:cs="Arial" w:eastAsia="Arial" w:hAnsi="Arial"/>
          <w:sz w:val="14"/>
          <w:szCs w:val="14"/>
          <w:u w:val="single" w:color="auto"/>
          <w:color w:val="auto"/>
        </w:rPr>
        <w:t>Equal Status</w:t>
      </w:r>
      <w:r>
        <w:rPr>
          <w:rFonts w:ascii="Arial" w:cs="Arial" w:eastAsia="Arial" w:hAnsi="Arial"/>
          <w:sz w:val="14"/>
          <w:szCs w:val="14"/>
          <w:color w:val="auto"/>
        </w:rPr>
        <w:t>. Except as expressly provided in this Article VI, Class A Common Stock, Class B Common Stock and Performance Common Stock shall have the same rights and privileges and rank equally, share ratably and be identical in all respects as to all matters.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2"/>
          <w:szCs w:val="12"/>
          <w:color w:val="auto"/>
        </w:rPr>
        <w:t xml:space="preserve">Section 6.3.6 </w:t>
      </w:r>
      <w:r>
        <w:rPr>
          <w:rFonts w:ascii="Arial" w:cs="Arial" w:eastAsia="Arial" w:hAnsi="Arial"/>
          <w:sz w:val="12"/>
          <w:szCs w:val="12"/>
          <w:u w:val="single" w:color="auto"/>
          <w:color w:val="auto"/>
        </w:rPr>
        <w:t>Conversion</w:t>
      </w:r>
      <w:r>
        <w:rPr>
          <w:rFonts w:ascii="Arial" w:cs="Arial" w:eastAsia="Arial" w:hAnsi="Arial"/>
          <w:sz w:val="12"/>
          <w:szCs w:val="12"/>
          <w:color w:val="auto"/>
        </w:rPr>
        <w:t>. The Class B Common Stock is not convertible into or exchangeable for any other property or securities of the Corporation, except as provided in this Section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6.3.6.</w:t>
      </w:r>
    </w:p>
    <w:p>
      <w:pPr>
        <w:spacing w:after="0" w:line="84" w:lineRule="exact"/>
        <w:rPr>
          <w:sz w:val="20"/>
          <w:szCs w:val="20"/>
          <w:color w:val="auto"/>
        </w:rPr>
      </w:pPr>
    </w:p>
    <w:p>
      <w:pPr>
        <w:ind w:right="140" w:firstLine="1440"/>
        <w:spacing w:after="0" w:line="270" w:lineRule="auto"/>
        <w:tabs>
          <w:tab w:leader="none" w:pos="1737"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Automatic Conversion</w:t>
      </w:r>
      <w:r>
        <w:rPr>
          <w:rFonts w:ascii="Arial" w:cs="Arial" w:eastAsia="Arial" w:hAnsi="Arial"/>
          <w:sz w:val="14"/>
          <w:szCs w:val="14"/>
          <w:color w:val="auto"/>
        </w:rPr>
        <w:t>. Shares of Class B Common Stock shall convert automatically into fully paid and nonassessable shares of Class A Common Stock at a ratio of one share of Class A Common Stock for each share of Class B Common Stock in the following circumstances:</w:t>
      </w:r>
    </w:p>
    <w:p>
      <w:pPr>
        <w:spacing w:after="0" w:line="47" w:lineRule="exact"/>
        <w:rPr>
          <w:rFonts w:ascii="Arial" w:cs="Arial" w:eastAsia="Arial" w:hAnsi="Arial"/>
          <w:sz w:val="14"/>
          <w:szCs w:val="14"/>
          <w:color w:val="auto"/>
        </w:rPr>
      </w:pPr>
    </w:p>
    <w:p>
      <w:pPr>
        <w:ind w:right="200" w:firstLine="1779"/>
        <w:spacing w:after="0" w:line="257" w:lineRule="auto"/>
        <w:tabs>
          <w:tab w:leader="none" w:pos="2052"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In the event that the Initial Holder or any of his Family Members Transfers or causes to be Transferred, directly or indirectly, Beneficial Ownership of Class B Common Stock, other than to the Initial Holder or any of his Family Members, each share of Class B Common Stock being Transferred shall convert automatically into one share of Class A Common Stock immediately prior to such Transfer; and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020"/>
          </w:cols>
          <w:pgMar w:left="400" w:top="903" w:right="479" w:bottom="1440" w:gutter="0" w:footer="0" w:header="0"/>
        </w:sectPr>
      </w:pPr>
    </w:p>
    <w:bookmarkStart w:id="202" w:name="page203"/>
    <w:bookmarkEnd w:id="202"/>
    <w:p>
      <w:pPr>
        <w:ind w:left="2100" w:hanging="322"/>
        <w:spacing w:after="0"/>
        <w:tabs>
          <w:tab w:leader="none" w:pos="21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event that:</w:t>
      </w:r>
    </w:p>
    <w:p>
      <w:pPr>
        <w:spacing w:after="0" w:line="96" w:lineRule="exact"/>
        <w:rPr>
          <w:rFonts w:ascii="Arial" w:cs="Arial" w:eastAsia="Arial" w:hAnsi="Arial"/>
          <w:sz w:val="14"/>
          <w:szCs w:val="14"/>
          <w:color w:val="auto"/>
        </w:rPr>
      </w:pPr>
    </w:p>
    <w:p>
      <w:pPr>
        <w:ind w:right="220" w:firstLine="2203"/>
        <w:spacing w:after="0" w:line="270" w:lineRule="auto"/>
        <w:tabs>
          <w:tab w:leader="none" w:pos="2508"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the Initial Holder Transfers or causes to be Transferred, directly or indirectly, Beneficial Ownership of OP Units held, directly or indirectly, by the Initial Holder, other than to a Qualified Transferee,</w:t>
      </w:r>
    </w:p>
    <w:p>
      <w:pPr>
        <w:spacing w:after="0" w:line="47" w:lineRule="exact"/>
        <w:rPr>
          <w:rFonts w:ascii="Arial" w:cs="Arial" w:eastAsia="Arial" w:hAnsi="Arial"/>
          <w:sz w:val="14"/>
          <w:szCs w:val="14"/>
          <w:color w:val="auto"/>
        </w:rPr>
      </w:pPr>
    </w:p>
    <w:p>
      <w:pPr>
        <w:ind w:right="120" w:firstLine="2203"/>
        <w:spacing w:after="0" w:line="270" w:lineRule="auto"/>
        <w:tabs>
          <w:tab w:leader="none" w:pos="2508"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 Qualified Transferee Transfers or causes to be Transferred, directly or indirectly, Beneficial Ownership of OP Units held, directly or indirectly, by such Qualified Transferee, other than to the Initial Holder or to another Qualified Transferee; or</w:t>
      </w:r>
    </w:p>
    <w:p>
      <w:pPr>
        <w:spacing w:after="0" w:line="47" w:lineRule="exact"/>
        <w:rPr>
          <w:rFonts w:ascii="Arial" w:cs="Arial" w:eastAsia="Arial" w:hAnsi="Arial"/>
          <w:sz w:val="14"/>
          <w:szCs w:val="14"/>
          <w:color w:val="auto"/>
        </w:rPr>
      </w:pPr>
    </w:p>
    <w:p>
      <w:pPr>
        <w:ind w:right="80" w:firstLine="2203"/>
        <w:spacing w:after="0" w:line="272" w:lineRule="auto"/>
        <w:tabs>
          <w:tab w:leader="none" w:pos="250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 Qualified Transferee that is a Beneficial Owner of OP Units ceases at any time to continue to be a “Qualified Transferee” (as defined above), including, without limitation, as a result of the failure of any Executive to be employed by the Corporation or any of its Affiliates or as a result of divorce or annulment; then, in each case, one share of Class B Common Stock Beneficially Owned by the Initial Holder (or the Initial Holder’s Family Members, to the extent the Initial Holder does not then Beneficially Own sufficient shares), upon such Transfer (in the case of clause (x) or (y) above) or cessation (in the case of clause (z) above), shall automatically convert into one share of Class A Common Stock for every thirty-five and one-half OP Units (x) so Transferred or caused to be so Transferred by the Initial Holder or such Qualified Transferee, or (y) then held by the Person who ceased to continue to be a “Qualified Transferee” (as defined above) (in each case rounding up to the nearest thirty-five and one-half OP Units).</w:t>
      </w:r>
    </w:p>
    <w:p>
      <w:pPr>
        <w:spacing w:after="0" w:line="188" w:lineRule="exact"/>
        <w:rPr>
          <w:sz w:val="20"/>
          <w:szCs w:val="20"/>
          <w:color w:val="auto"/>
        </w:rPr>
      </w:pPr>
    </w:p>
    <w:p>
      <w:pPr>
        <w:jc w:val="both"/>
        <w:ind w:firstLine="677"/>
        <w:spacing w:after="0" w:line="286" w:lineRule="auto"/>
        <w:rPr>
          <w:sz w:val="20"/>
          <w:szCs w:val="20"/>
          <w:color w:val="auto"/>
        </w:rPr>
      </w:pPr>
      <w:r>
        <w:rPr>
          <w:rFonts w:ascii="Arial" w:cs="Arial" w:eastAsia="Arial" w:hAnsi="Arial"/>
          <w:sz w:val="13"/>
          <w:szCs w:val="13"/>
          <w:color w:val="auto"/>
        </w:rPr>
        <w:t>Any shares of Class B Common Stock automatically converted pursuant to this paragraph (a) shall be converted as and at the times specified in this paragraph (a) without any further action by the holders thereof and whether or not the certificates representing such shares (if any) are surrendered to the Corporation. Upon the automatic conversion of shares of Class B Common Stock pursuant to this paragraph (a), the Beneficial Owner thereof shall identify for the Corporation the holder of record of the shares so converted.</w:t>
      </w: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920"/>
          </w:cols>
          <w:pgMar w:left="400" w:top="809" w:right="579" w:bottom="1440" w:gutter="0" w:footer="0" w:header="0"/>
        </w:sectPr>
      </w:pPr>
    </w:p>
    <w:bookmarkStart w:id="203" w:name="page204"/>
    <w:bookmarkEnd w:id="203"/>
    <w:p>
      <w:pPr>
        <w:ind w:left="-80" w:firstLine="1779"/>
        <w:spacing w:after="0" w:line="267" w:lineRule="auto"/>
        <w:tabs>
          <w:tab w:leader="none" w:pos="1898"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Conversion at the Option of the Holder</w:t>
      </w:r>
      <w:r>
        <w:rPr>
          <w:rFonts w:ascii="Arial" w:cs="Arial" w:eastAsia="Arial" w:hAnsi="Arial"/>
          <w:sz w:val="13"/>
          <w:szCs w:val="13"/>
          <w:color w:val="auto"/>
        </w:rPr>
        <w:t>. Pursuant to and in accordance with this paragraph (b), each holder of Class B Common Stock shall have the right, at such holder’s option at any time and from time to time, to convert all or a portion of such holder’s shares of Class B Common Stock into an equal number of fully paid and nonassessable shares of Class A Common Stock by delivering the certificates (if any) representing the shares of Class B Common Stock to be converted, duly endorsed for transfer, together with a written conversion notice to the transfer agent for the Class B Common Stock (or if there is no transfer agent, to the Corporation). Such conversion notice shall state: (i) the number of shares of Class B Common Stock to be converted; and (ii) the date on which such conversion shall occur (which date shall be a Business Day no less than five Business Days and not exceeding twenty Business Days from the date of such conversion notice) (the “Optional Conversion Date”). Notwithstanding the foregoing, if the shares of Class B Common Stock are held in global form, such notice shall comply with applicable procedures of the Depository Trust Company (“DTC”). In connection with the exercise of any optional conversion right, the Corporation shall comply with all U.S. federal and state securities laws and stock exchange rules in connection with any conversion of shares of Class B Common Stock into shares of Class A Common Stock. Holders of shares of Class B Common Stock may withdraw any conversion notice by a written notice of withdrawal delivered to the Corporation’s transfer agent prior to the close of business on the Business Day prior to the Optional Conversion Date. The notice of withdrawal must state: (x) the number of withdrawn shares of Class B Common Stock; (y) if certificated shares of Class B Common Stock have been issued, the certificate numbers of the withdrawn shares of Class B</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920"/>
          </w:cols>
          <w:pgMar w:left="480" w:top="903" w:right="499" w:bottom="1440" w:gutter="0" w:footer="0" w:header="0"/>
        </w:sectPr>
      </w:pPr>
    </w:p>
    <w:bookmarkStart w:id="204" w:name="page205"/>
    <w:bookmarkEnd w:id="204"/>
    <w:p>
      <w:pPr>
        <w:ind w:right="160"/>
        <w:spacing w:after="0" w:line="286" w:lineRule="auto"/>
        <w:rPr>
          <w:sz w:val="20"/>
          <w:szCs w:val="20"/>
          <w:color w:val="auto"/>
        </w:rPr>
      </w:pPr>
      <w:r>
        <w:rPr>
          <w:rFonts w:ascii="Arial" w:cs="Arial" w:eastAsia="Arial" w:hAnsi="Arial"/>
          <w:sz w:val="13"/>
          <w:szCs w:val="13"/>
          <w:color w:val="auto"/>
        </w:rPr>
        <w:t>Common Stock; and (z) the number of shares of Class B Common Stock, if any, which remain subject to the conversion notice. Notwithstanding the foregoing, if the shares of Class B Common Stock are held in global form, the notice of withdrawal shall comply with applicable DTC procedures. Each conversion pursuant to this paragraph (b) for which the conversion notice has been given and not properly withdrawn shall be deemed to have been effected immediately prior to the close of business on the Optional Conversion Date.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Performance Common Stock</w:t>
      </w:r>
      <w:r>
        <w:rPr>
          <w:rFonts w:ascii="Arial" w:cs="Arial" w:eastAsia="Arial" w:hAnsi="Arial"/>
          <w:sz w:val="14"/>
          <w:szCs w:val="14"/>
          <w:color w:val="auto"/>
        </w:rPr>
        <w:t>.</w:t>
      </w:r>
    </w:p>
    <w:p>
      <w:pPr>
        <w:spacing w:after="0" w:line="295" w:lineRule="exact"/>
        <w:rPr>
          <w:sz w:val="20"/>
          <w:szCs w:val="20"/>
          <w:color w:val="auto"/>
        </w:rPr>
      </w:pPr>
    </w:p>
    <w:p>
      <w:pPr>
        <w:ind w:firstLine="702"/>
        <w:spacing w:after="0" w:line="269" w:lineRule="auto"/>
        <w:rPr>
          <w:sz w:val="20"/>
          <w:szCs w:val="20"/>
          <w:color w:val="auto"/>
        </w:rPr>
      </w:pPr>
      <w:r>
        <w:rPr>
          <w:rFonts w:ascii="Arial" w:cs="Arial" w:eastAsia="Arial" w:hAnsi="Arial"/>
          <w:sz w:val="13"/>
          <w:szCs w:val="13"/>
          <w:color w:val="auto"/>
        </w:rPr>
        <w:t xml:space="preserve">Section 6.4.1 </w:t>
      </w:r>
      <w:r>
        <w:rPr>
          <w:rFonts w:ascii="Arial" w:cs="Arial" w:eastAsia="Arial" w:hAnsi="Arial"/>
          <w:sz w:val="13"/>
          <w:szCs w:val="13"/>
          <w:u w:val="single" w:color="auto"/>
          <w:color w:val="auto"/>
        </w:rPr>
        <w:t>Votin</w:t>
      </w:r>
      <w:r>
        <w:rPr>
          <w:rFonts w:ascii="Arial" w:cs="Arial" w:eastAsia="Arial" w:hAnsi="Arial"/>
          <w:sz w:val="13"/>
          <w:szCs w:val="13"/>
          <w:color w:val="auto"/>
        </w:rPr>
        <w:t xml:space="preserve">g </w:t>
      </w:r>
      <w:r>
        <w:rPr>
          <w:rFonts w:ascii="Arial" w:cs="Arial" w:eastAsia="Arial" w:hAnsi="Arial"/>
          <w:sz w:val="13"/>
          <w:szCs w:val="13"/>
          <w:u w:val="single" w:color="auto"/>
          <w:color w:val="auto"/>
        </w:rPr>
        <w:t>Rights</w:t>
      </w:r>
      <w:r>
        <w:rPr>
          <w:rFonts w:ascii="Arial" w:cs="Arial" w:eastAsia="Arial" w:hAnsi="Arial"/>
          <w:sz w:val="13"/>
          <w:szCs w:val="13"/>
          <w:color w:val="auto"/>
        </w:rPr>
        <w:t>. Except as may otherwise be specified in the Charter, the holders of shares of Performance Common Stock shall have no voting rights. Notwithstanding the foregoing but subject to Article VII, the consent of the holders of a majority of the shares of Performance Common Stock, voting as a separate class, shall be required for any amendment to the Charter that would increase or decrease the aggregate number of shares of Performance Common Stock, increase or decrease the par value of the shares of Performance Common Stock, or alter or change the powers, preferences, or special rights of the Performance Common Stock so as to affect them adversely. The holders of Performance Common Stock shall not be entitled to receive notice of any meeting of stockholders at which they are not entitled to vote. On any matter on which the holders of Performance Common Stock (in their capacity as such) shall have the right to vote, each holder of record of shares of Performance Common Stock on the relevant record date shall be entitled to cast one vote in person or by proxy for each share of Performance Common Stock standing in such holder’s name on the stock transfer records of the Corporation. The Board of Directors may reclassify any unissued shares of Performance Common Stock from time to time in one or more classes or series of Common Stock or Preferred Stock.</w:t>
      </w:r>
    </w:p>
    <w:p>
      <w:pPr>
        <w:spacing w:after="0" w:line="7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000"/>
          </w:cols>
          <w:pgMar w:left="400" w:top="903" w:right="499" w:bottom="1440" w:gutter="0" w:footer="0" w:header="0"/>
        </w:sectPr>
      </w:pPr>
    </w:p>
    <w:bookmarkStart w:id="205" w:name="page206"/>
    <w:bookmarkEnd w:id="205"/>
    <w:p>
      <w:pPr>
        <w:ind w:right="80" w:firstLine="702"/>
        <w:spacing w:after="0" w:line="270" w:lineRule="auto"/>
        <w:rPr>
          <w:sz w:val="20"/>
          <w:szCs w:val="20"/>
          <w:color w:val="auto"/>
        </w:rPr>
      </w:pPr>
      <w:r>
        <w:rPr>
          <w:rFonts w:ascii="Arial" w:cs="Arial" w:eastAsia="Arial" w:hAnsi="Arial"/>
          <w:sz w:val="13"/>
          <w:szCs w:val="13"/>
          <w:color w:val="auto"/>
        </w:rPr>
        <w:t xml:space="preserve">Section 6.4.2 </w:t>
      </w:r>
      <w:r>
        <w:rPr>
          <w:rFonts w:ascii="Arial" w:cs="Arial" w:eastAsia="Arial" w:hAnsi="Arial"/>
          <w:sz w:val="13"/>
          <w:szCs w:val="13"/>
          <w:u w:val="single" w:color="auto"/>
          <w:color w:val="auto"/>
        </w:rPr>
        <w:t>Dividends and Other Distributions</w:t>
      </w:r>
      <w:r>
        <w:rPr>
          <w:rFonts w:ascii="Arial" w:cs="Arial" w:eastAsia="Arial" w:hAnsi="Arial"/>
          <w:sz w:val="13"/>
          <w:szCs w:val="13"/>
          <w:color w:val="auto"/>
        </w:rPr>
        <w:t>. The Board of Directors may cause dividends to be paid to the holders of shares of Performance Common Stock out of funds legally available for the payment of dividends by declaring an amount per share as a dividend. When and as dividends are declared on the Class A Common Stock, whether payable in cash, in property or in shares of stock or other securities of the Corporation, the holders of shares of Performance Common Stock shall be entitled to share, ratably according to the number of shares of Performance Common Stock held by them, in such dividends; provided, that dividends shall not be declared on Performance Common Stock unless dividends are declared concurrently on shares of Class A Common Stock, and any per share dividend declared on Performance Common Stock shall in no case exceed the per share dividend declared on shares of Class A Common Stock at the time such dividends on the Performance Common Stock are declared. If the Corporation in any manner subdivides or combines the outstanding shares of Class A Common Stock, the outstanding shares of Performance Common Stock will be subdivided or combined in the same manner.</w:t>
      </w:r>
    </w:p>
    <w:p>
      <w:pPr>
        <w:spacing w:after="0" w:line="191" w:lineRule="exact"/>
        <w:rPr>
          <w:sz w:val="20"/>
          <w:szCs w:val="20"/>
          <w:color w:val="auto"/>
        </w:rPr>
      </w:pPr>
    </w:p>
    <w:p>
      <w:pPr>
        <w:jc w:val="both"/>
        <w:ind w:firstLine="702"/>
        <w:spacing w:after="0" w:line="253" w:lineRule="auto"/>
        <w:rPr>
          <w:sz w:val="20"/>
          <w:szCs w:val="20"/>
          <w:color w:val="auto"/>
        </w:rPr>
      </w:pPr>
      <w:r>
        <w:rPr>
          <w:rFonts w:ascii="Arial" w:cs="Arial" w:eastAsia="Arial" w:hAnsi="Arial"/>
          <w:sz w:val="14"/>
          <w:szCs w:val="14"/>
          <w:color w:val="auto"/>
        </w:rPr>
        <w:t xml:space="preserve">Section 6.4.3 </w:t>
      </w:r>
      <w:r>
        <w:rPr>
          <w:rFonts w:ascii="Arial" w:cs="Arial" w:eastAsia="Arial" w:hAnsi="Arial"/>
          <w:sz w:val="14"/>
          <w:szCs w:val="14"/>
          <w:u w:val="single" w:color="auto"/>
          <w:color w:val="auto"/>
        </w:rPr>
        <w:t>Conversion</w:t>
      </w:r>
      <w:r>
        <w:rPr>
          <w:rFonts w:ascii="Arial" w:cs="Arial" w:eastAsia="Arial" w:hAnsi="Arial"/>
          <w:sz w:val="14"/>
          <w:szCs w:val="14"/>
          <w:color w:val="auto"/>
        </w:rPr>
        <w:t>. Each share of Performance Common Stock shall be convertible into one fully paid and nonassessable share of Class A Common Stock upon the terms and conditions relating to the conversion of Performance Common Stock as set forth by the Board of Directors or the Board of Directors of any predecessor (by merger or otherwise) of the Corporation. The Corporation will at all times reserve and keep available, solely for the purpose of issue upon conversion of the outstanding shares of Performance Common Stock, such number of shares of Class A Common Stock as shall be issuable upon the conversion of all such</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040"/>
          </w:cols>
          <w:pgMar w:left="400" w:top="903" w:right="459" w:bottom="1440" w:gutter="0" w:footer="0" w:header="0"/>
        </w:sectPr>
      </w:pPr>
    </w:p>
    <w:bookmarkStart w:id="206" w:name="page207"/>
    <w:bookmarkEnd w:id="206"/>
    <w:p>
      <w:pPr>
        <w:ind w:left="20" w:right="40"/>
        <w:spacing w:after="0" w:line="249" w:lineRule="auto"/>
        <w:rPr>
          <w:sz w:val="20"/>
          <w:szCs w:val="20"/>
          <w:color w:val="auto"/>
        </w:rPr>
      </w:pPr>
      <w:r>
        <w:rPr>
          <w:rFonts w:ascii="Arial" w:cs="Arial" w:eastAsia="Arial" w:hAnsi="Arial"/>
          <w:sz w:val="14"/>
          <w:szCs w:val="14"/>
          <w:color w:val="auto"/>
        </w:rPr>
        <w:t>outstanding shares of Performance Common Stock. The Corporation covenants that if any shares of Class A Common Stock, required to be reserved for purposes of conversion hereunder, require registration with or approval of any governmental authority under any federal or state law before such shares of Class A Common Stock may be issued upon conversion, the Corporation will use its best efforts to cause such shares to be duly registered or approved, as the case may be. The Corporation will endeavor to list the shares of Class A Common Stock required to be delivered upon conversion prior to such delivery upon each national securities exchange, if any, upon which the outstanding Class A Common Stock is listed at the time of such delivery. The Corporation covenants that all shares of Class A Common Stock which shall be issued upon conversion of the shares of Performance Common Stock will, upon issue, be fully paid and nonassessable and not entitled to any preemptive rights.</w:t>
      </w:r>
    </w:p>
    <w:p>
      <w:pPr>
        <w:spacing w:after="0" w:line="202" w:lineRule="exact"/>
        <w:rPr>
          <w:sz w:val="20"/>
          <w:szCs w:val="20"/>
          <w:color w:val="auto"/>
        </w:rPr>
      </w:pPr>
    </w:p>
    <w:p>
      <w:pPr>
        <w:ind w:right="2620" w:firstLine="702"/>
        <w:spacing w:after="0" w:line="335" w:lineRule="auto"/>
        <w:rPr>
          <w:sz w:val="20"/>
          <w:szCs w:val="20"/>
          <w:color w:val="auto"/>
        </w:rPr>
      </w:pPr>
      <w:r>
        <w:rPr>
          <w:rFonts w:ascii="Arial" w:cs="Arial" w:eastAsia="Arial" w:hAnsi="Arial"/>
          <w:sz w:val="12"/>
          <w:szCs w:val="12"/>
          <w:color w:val="auto"/>
        </w:rPr>
        <w:t xml:space="preserve">Section 6.4.4 </w:t>
      </w:r>
      <w:r>
        <w:rPr>
          <w:rFonts w:ascii="Arial" w:cs="Arial" w:eastAsia="Arial" w:hAnsi="Arial"/>
          <w:sz w:val="12"/>
          <w:szCs w:val="12"/>
          <w:u w:val="single" w:color="auto"/>
          <w:color w:val="auto"/>
        </w:rPr>
        <w:t>Equal Status</w:t>
      </w:r>
      <w:r>
        <w:rPr>
          <w:rFonts w:ascii="Arial" w:cs="Arial" w:eastAsia="Arial" w:hAnsi="Arial"/>
          <w:sz w:val="12"/>
          <w:szCs w:val="12"/>
          <w:color w:val="auto"/>
        </w:rPr>
        <w:t>. Except as expressly provided in this Article VI, Class A Common Stock, Class B Common Stock and Performance Common Stock shall have the same rights and privileges and rank equally, share ratably and be identical in all respects as to all matters.</w:t>
      </w:r>
    </w:p>
    <w:p>
      <w:pPr>
        <w:spacing w:after="0" w:line="129" w:lineRule="exact"/>
        <w:rPr>
          <w:sz w:val="20"/>
          <w:szCs w:val="20"/>
          <w:color w:val="auto"/>
        </w:rPr>
      </w:pPr>
    </w:p>
    <w:p>
      <w:pPr>
        <w:ind w:left="20" w:firstLine="677"/>
        <w:spacing w:after="0" w:line="270" w:lineRule="auto"/>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Preferred Stock</w:t>
      </w:r>
      <w:r>
        <w:rPr>
          <w:rFonts w:ascii="Arial" w:cs="Arial" w:eastAsia="Arial" w:hAnsi="Arial"/>
          <w:sz w:val="14"/>
          <w:szCs w:val="14"/>
          <w:color w:val="auto"/>
        </w:rPr>
        <w:t>. The Board of Directors may classify any unissued shares of Preferred Stock and reclassify any previously classified but unissued shares of Preferred Stock of any series from time to time, into one or more classes or series of stock.</w:t>
      </w:r>
    </w:p>
    <w:p>
      <w:pPr>
        <w:spacing w:after="0" w:line="176" w:lineRule="exact"/>
        <w:rPr>
          <w:sz w:val="20"/>
          <w:szCs w:val="20"/>
          <w:color w:val="auto"/>
        </w:rPr>
      </w:pPr>
    </w:p>
    <w:p>
      <w:pPr>
        <w:ind w:left="20" w:right="220" w:firstLine="677"/>
        <w:spacing w:after="0" w:line="252" w:lineRule="auto"/>
        <w:rPr>
          <w:sz w:val="20"/>
          <w:szCs w:val="20"/>
          <w:color w:val="auto"/>
        </w:rPr>
      </w:pPr>
      <w:r>
        <w:rPr>
          <w:rFonts w:ascii="Arial" w:cs="Arial" w:eastAsia="Arial" w:hAnsi="Arial"/>
          <w:sz w:val="14"/>
          <w:szCs w:val="14"/>
          <w:color w:val="auto"/>
        </w:rPr>
        <w:t xml:space="preserve">Section 6.6 </w:t>
      </w:r>
      <w:r>
        <w:rPr>
          <w:rFonts w:ascii="Arial" w:cs="Arial" w:eastAsia="Arial" w:hAnsi="Arial"/>
          <w:sz w:val="14"/>
          <w:szCs w:val="14"/>
          <w:u w:val="single" w:color="auto"/>
          <w:color w:val="auto"/>
        </w:rPr>
        <w:t>Classified or Reclassified Shares</w:t>
      </w:r>
      <w:r>
        <w:rPr>
          <w:rFonts w:ascii="Arial" w:cs="Arial" w:eastAsia="Arial" w:hAnsi="Arial"/>
          <w:sz w:val="14"/>
          <w:szCs w:val="14"/>
          <w:color w:val="auto"/>
        </w:rPr>
        <w:t>. Prior to issuance of classified or reclassified shares of any class or series, the Board of Directors by resolution shall: (a) designate that class or series to distinguish it from all other classes and series of stock of the Corporation;</w:t>
      </w:r>
    </w:p>
    <w:p>
      <w:pPr>
        <w:spacing w:after="0" w:line="1" w:lineRule="exact"/>
        <w:rPr>
          <w:sz w:val="20"/>
          <w:szCs w:val="20"/>
          <w:color w:val="auto"/>
        </w:rPr>
      </w:pPr>
    </w:p>
    <w:p>
      <w:pPr>
        <w:ind w:left="320" w:hanging="301"/>
        <w:spacing w:after="0"/>
        <w:tabs>
          <w:tab w:leader="none" w:pos="3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specify the number of shares to be included in the class or series; (c) set or change, subject to the provisions of Article VII and subject to the express terms of any class or series of stock of</w:t>
      </w:r>
    </w:p>
    <w:p>
      <w:pPr>
        <w:spacing w:after="0" w:line="118" w:lineRule="exact"/>
        <w:rPr>
          <w:rFonts w:ascii="Arial" w:cs="Arial" w:eastAsia="Arial" w:hAnsi="Arial"/>
          <w:sz w:val="12"/>
          <w:szCs w:val="12"/>
          <w:color w:val="auto"/>
        </w:rPr>
      </w:pPr>
    </w:p>
    <w:p>
      <w:pPr>
        <w:ind w:left="5500"/>
        <w:spacing w:after="0"/>
        <w:rPr>
          <w:rFonts w:ascii="Arial" w:cs="Arial" w:eastAsia="Arial" w:hAnsi="Arial"/>
          <w:sz w:val="12"/>
          <w:szCs w:val="12"/>
          <w:color w:val="auto"/>
        </w:rPr>
      </w:pPr>
      <w:r>
        <w:rPr>
          <w:rFonts w:ascii="Arial" w:cs="Arial" w:eastAsia="Arial" w:hAnsi="Arial"/>
          <w:sz w:val="14"/>
          <w:szCs w:val="14"/>
          <w:color w:val="auto"/>
        </w:rPr>
        <w:t>20</w:t>
      </w:r>
    </w:p>
    <w:p>
      <w:pPr>
        <w:sectPr>
          <w:pgSz w:w="11900" w:h="16838" w:orient="portrait"/>
          <w:cols w:equalWidth="0" w:num="1">
            <w:col w:w="11000"/>
          </w:cols>
          <w:pgMar w:left="380" w:top="903" w:right="519" w:bottom="1440" w:gutter="0" w:footer="0" w:header="0"/>
        </w:sectPr>
      </w:pPr>
    </w:p>
    <w:bookmarkStart w:id="207" w:name="page208"/>
    <w:bookmarkEnd w:id="207"/>
    <w:p>
      <w:pPr>
        <w:ind w:right="20"/>
        <w:spacing w:after="0" w:line="274" w:lineRule="auto"/>
        <w:rPr>
          <w:sz w:val="20"/>
          <w:szCs w:val="20"/>
          <w:color w:val="auto"/>
        </w:rPr>
      </w:pPr>
      <w:r>
        <w:rPr>
          <w:rFonts w:ascii="Arial" w:cs="Arial" w:eastAsia="Arial" w:hAnsi="Arial"/>
          <w:sz w:val="13"/>
          <w:szCs w:val="13"/>
          <w:color w:val="auto"/>
        </w:rPr>
        <w:t>the Corporation outstanding at the time, the preferences, conversion or other rights, voting powers, restrictions, limitations as to dividends or other distributions, qualifications and terms and conditions of redemption for each class or series; and (d) cause the Corporation to file articles supplementary with the State Department of Assessments and Taxation of Maryland (“SDAT”). Any of the terms of any class or series of stock set or changed pursuant to clause (c) of this Section 6.6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or other Charter document.</w:t>
      </w:r>
    </w:p>
    <w:p>
      <w:pPr>
        <w:spacing w:after="0" w:line="187" w:lineRule="exact"/>
        <w:rPr>
          <w:sz w:val="20"/>
          <w:szCs w:val="20"/>
          <w:color w:val="auto"/>
        </w:rPr>
      </w:pPr>
    </w:p>
    <w:p>
      <w:pPr>
        <w:ind w:right="160" w:firstLine="677"/>
        <w:spacing w:after="0" w:line="356" w:lineRule="auto"/>
        <w:rPr>
          <w:sz w:val="20"/>
          <w:szCs w:val="20"/>
          <w:color w:val="auto"/>
        </w:rPr>
      </w:pPr>
      <w:r>
        <w:rPr>
          <w:rFonts w:ascii="Arial" w:cs="Arial" w:eastAsia="Arial" w:hAnsi="Arial"/>
          <w:sz w:val="12"/>
          <w:szCs w:val="12"/>
          <w:color w:val="auto"/>
        </w:rPr>
        <w:t xml:space="preserve">Section 6.7 </w:t>
      </w:r>
      <w:r>
        <w:rPr>
          <w:rFonts w:ascii="Arial" w:cs="Arial" w:eastAsia="Arial" w:hAnsi="Arial"/>
          <w:sz w:val="12"/>
          <w:szCs w:val="12"/>
          <w:u w:val="single" w:color="auto"/>
          <w:color w:val="auto"/>
        </w:rPr>
        <w:t>Stockholders’ Consent in Lieu of Meetin</w:t>
      </w:r>
      <w:r>
        <w:rPr>
          <w:rFonts w:ascii="Arial" w:cs="Arial" w:eastAsia="Arial" w:hAnsi="Arial"/>
          <w:sz w:val="12"/>
          <w:szCs w:val="12"/>
          <w:color w:val="auto"/>
        </w:rPr>
        <w:t>g. Any action required or permitted to be taken at any meeting of the holders of Common Stock entitled to vote generally in the election of directors may be taken without a meeting by consent, in writing or by electronic transmission, in any manner and by any vote permitted by the MGCL and set forth in the Bylaws.</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6.8 </w:t>
      </w:r>
      <w:r>
        <w:rPr>
          <w:rFonts w:ascii="Arial" w:cs="Arial" w:eastAsia="Arial" w:hAnsi="Arial"/>
          <w:sz w:val="14"/>
          <w:szCs w:val="14"/>
          <w:u w:val="single" w:color="auto"/>
          <w:color w:val="auto"/>
        </w:rPr>
        <w:t>Charter and B</w:t>
      </w:r>
      <w:r>
        <w:rPr>
          <w:rFonts w:ascii="Arial" w:cs="Arial" w:eastAsia="Arial" w:hAnsi="Arial"/>
          <w:sz w:val="14"/>
          <w:szCs w:val="14"/>
          <w:color w:val="auto"/>
        </w:rPr>
        <w:t>ylaws. The rights of all stockholders and the terms of all stock are subject to the provisions of the Charter and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the Bylaws.</w:t>
      </w:r>
    </w:p>
    <w:p>
      <w:pPr>
        <w:spacing w:after="0" w:line="260" w:lineRule="exact"/>
        <w:rPr>
          <w:sz w:val="20"/>
          <w:szCs w:val="20"/>
          <w:color w:val="auto"/>
        </w:rPr>
      </w:pPr>
    </w:p>
    <w:p>
      <w:pPr>
        <w:jc w:val="both"/>
        <w:ind w:firstLine="677"/>
        <w:spacing w:after="0" w:line="278" w:lineRule="auto"/>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Distributions</w:t>
      </w:r>
      <w:r>
        <w:rPr>
          <w:rFonts w:ascii="Arial" w:cs="Arial" w:eastAsia="Arial" w:hAnsi="Arial"/>
          <w:sz w:val="13"/>
          <w:szCs w:val="13"/>
          <w:color w:val="auto"/>
        </w:rPr>
        <w:t>. The Board of Directors from time to time may authorize the Corporation to declare and pay to stockholders such dividends or other distributions in cash or other assets of the Corporation or in securities of the Corporation, including in shares of one class or series of the Corporation’s stock payable to holders of shares of another class or series of stock of the Corporation, or from any other source as the Board of Directors in its sole and absolute discretion shall determine. The exercise of the powers and rights of the Board of Directors pursuant to this Section 6.9 shall be subject to the provisions of any class or series of shares of the Corporation’s stock at the time outstanding.</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960"/>
          </w:cols>
          <w:pgMar w:left="400" w:top="903" w:right="539" w:bottom="1440" w:gutter="0" w:footer="0" w:header="0"/>
        </w:sectPr>
      </w:pPr>
    </w:p>
    <w:bookmarkStart w:id="208" w:name="page209"/>
    <w:bookmarkEnd w:id="208"/>
    <w:p>
      <w:pPr>
        <w:jc w:val="both"/>
        <w:ind w:left="1" w:firstLine="677"/>
        <w:spacing w:after="0" w:line="257" w:lineRule="auto"/>
        <w:rPr>
          <w:sz w:val="20"/>
          <w:szCs w:val="20"/>
          <w:color w:val="auto"/>
        </w:rPr>
      </w:pPr>
      <w:r>
        <w:rPr>
          <w:rFonts w:ascii="Arial" w:cs="Arial" w:eastAsia="Arial" w:hAnsi="Arial"/>
          <w:sz w:val="14"/>
          <w:szCs w:val="14"/>
          <w:color w:val="auto"/>
        </w:rPr>
        <w:t xml:space="preserve">Section 6.10 </w:t>
      </w:r>
      <w:r>
        <w:rPr>
          <w:rFonts w:ascii="Arial" w:cs="Arial" w:eastAsia="Arial" w:hAnsi="Arial"/>
          <w:sz w:val="14"/>
          <w:szCs w:val="14"/>
          <w:u w:val="single" w:color="auto"/>
          <w:color w:val="auto"/>
        </w:rPr>
        <w:t>Transferable Shares</w:t>
      </w:r>
      <w:r>
        <w:rPr>
          <w:rFonts w:ascii="Arial" w:cs="Arial" w:eastAsia="Arial" w:hAnsi="Arial"/>
          <w:sz w:val="14"/>
          <w:szCs w:val="14"/>
          <w:color w:val="auto"/>
        </w:rPr>
        <w:t>. Notwithstanding any other provision in the Charter, no determination shall be made by the Board of Directors nor shall any transaction be entered into by the Corporation that would cause any shares or other beneficial interest in the Corporation not to constitute “transferable shares” or “transferable certificates of beneficial interest” under Section 856(a)(2) of the Code.</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VII</w:t>
      </w:r>
    </w:p>
    <w:p>
      <w:pPr>
        <w:spacing w:after="0" w:line="190" w:lineRule="exact"/>
        <w:rPr>
          <w:sz w:val="20"/>
          <w:szCs w:val="20"/>
          <w:color w:val="auto"/>
        </w:rPr>
      </w:pPr>
    </w:p>
    <w:p>
      <w:pPr>
        <w:ind w:left="3501"/>
        <w:spacing w:after="0"/>
        <w:rPr>
          <w:sz w:val="20"/>
          <w:szCs w:val="20"/>
          <w:color w:val="auto"/>
        </w:rPr>
      </w:pPr>
      <w:r>
        <w:rPr>
          <w:rFonts w:ascii="Arial" w:cs="Arial" w:eastAsia="Arial" w:hAnsi="Arial"/>
          <w:sz w:val="14"/>
          <w:szCs w:val="14"/>
          <w:b w:val="1"/>
          <w:bCs w:val="1"/>
          <w:color w:val="auto"/>
        </w:rPr>
        <w:t>RESTRICTION ON TRANSFER AND OWNERSHIP OF SHARES</w:t>
      </w:r>
    </w:p>
    <w:p>
      <w:pPr>
        <w:spacing w:after="0" w:line="194" w:lineRule="exact"/>
        <w:rPr>
          <w:sz w:val="20"/>
          <w:szCs w:val="20"/>
          <w:color w:val="auto"/>
        </w:rPr>
      </w:pPr>
    </w:p>
    <w:p>
      <w:pPr>
        <w:ind w:left="681"/>
        <w:spacing w:after="0"/>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Definitions</w:t>
      </w:r>
      <w:r>
        <w:rPr>
          <w:rFonts w:ascii="Arial" w:cs="Arial" w:eastAsia="Arial" w:hAnsi="Arial"/>
          <w:sz w:val="14"/>
          <w:szCs w:val="14"/>
          <w:color w:val="auto"/>
        </w:rPr>
        <w:t>. For the purpose of this Article VII, the following terms shall have the following meanings:</w:t>
      </w:r>
    </w:p>
    <w:p>
      <w:pPr>
        <w:spacing w:after="0" w:line="96" w:lineRule="exact"/>
        <w:rPr>
          <w:sz w:val="20"/>
          <w:szCs w:val="20"/>
          <w:color w:val="auto"/>
        </w:rPr>
      </w:pPr>
    </w:p>
    <w:p>
      <w:pPr>
        <w:ind w:left="1" w:right="160" w:firstLine="677"/>
        <w:spacing w:after="0" w:line="270" w:lineRule="auto"/>
        <w:rPr>
          <w:sz w:val="20"/>
          <w:szCs w:val="20"/>
          <w:color w:val="auto"/>
        </w:rPr>
      </w:pPr>
      <w:r>
        <w:rPr>
          <w:rFonts w:ascii="Arial" w:cs="Arial" w:eastAsia="Arial" w:hAnsi="Arial"/>
          <w:sz w:val="14"/>
          <w:szCs w:val="14"/>
          <w:u w:val="single" w:color="auto"/>
          <w:color w:val="auto"/>
        </w:rPr>
        <w:t>A</w:t>
      </w:r>
      <w:r>
        <w:rPr>
          <w:rFonts w:ascii="Arial" w:cs="Arial" w:eastAsia="Arial" w:hAnsi="Arial"/>
          <w:sz w:val="14"/>
          <w:szCs w:val="14"/>
          <w:color w:val="auto"/>
        </w:rPr>
        <w:t>gg</w:t>
      </w:r>
      <w:r>
        <w:rPr>
          <w:rFonts w:ascii="Arial" w:cs="Arial" w:eastAsia="Arial" w:hAnsi="Arial"/>
          <w:sz w:val="14"/>
          <w:szCs w:val="14"/>
          <w:u w:val="single" w:color="auto"/>
          <w:color w:val="auto"/>
        </w:rPr>
        <w:t>regate Stock Ownership Limit</w:t>
      </w:r>
      <w:r>
        <w:rPr>
          <w:rFonts w:ascii="Arial" w:cs="Arial" w:eastAsia="Arial" w:hAnsi="Arial"/>
          <w:sz w:val="14"/>
          <w:szCs w:val="14"/>
          <w:color w:val="auto"/>
        </w:rPr>
        <w:t>. The term “Aggregate Stock Ownership Limit” shall mean 9.8 percent in value of the aggregate of the outstanding shares of Capital Stock, or such other percentage determined by the Board of Directors in accordance with Section 7.2.8 of the Charter.</w:t>
      </w:r>
    </w:p>
    <w:p>
      <w:pPr>
        <w:spacing w:after="0" w:line="246" w:lineRule="exact"/>
        <w:rPr>
          <w:sz w:val="20"/>
          <w:szCs w:val="20"/>
          <w:color w:val="auto"/>
        </w:rPr>
      </w:pPr>
    </w:p>
    <w:p>
      <w:pPr>
        <w:ind w:left="1" w:right="100" w:firstLine="677"/>
        <w:spacing w:after="0" w:line="295" w:lineRule="auto"/>
        <w:rPr>
          <w:sz w:val="20"/>
          <w:szCs w:val="20"/>
          <w:color w:val="auto"/>
        </w:rPr>
      </w:pPr>
      <w:r>
        <w:rPr>
          <w:rFonts w:ascii="Arial" w:cs="Arial" w:eastAsia="Arial" w:hAnsi="Arial"/>
          <w:sz w:val="12"/>
          <w:szCs w:val="12"/>
          <w:u w:val="single" w:color="auto"/>
          <w:color w:val="auto"/>
        </w:rPr>
        <w:t>Beneficial Ownershi</w:t>
      </w:r>
      <w:r>
        <w:rPr>
          <w:rFonts w:ascii="Arial" w:cs="Arial" w:eastAsia="Arial" w:hAnsi="Arial"/>
          <w:sz w:val="12"/>
          <w:szCs w:val="12"/>
          <w:color w:val="auto"/>
        </w:rPr>
        <w:t>p.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 856(h)(1)(B) and 856(h)</w:t>
      </w:r>
    </w:p>
    <w:p>
      <w:pPr>
        <w:ind w:left="5481" w:right="3580" w:hanging="5481"/>
        <w:spacing w:after="0" w:line="409" w:lineRule="auto"/>
        <w:tabs>
          <w:tab w:leader="none" w:pos="20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of the Code. The terms “Beneficial Owner,” “Beneficially Owns” and “Beneficially Owned” shall have the correlative meanings. 22</w:t>
      </w:r>
    </w:p>
    <w:p>
      <w:pPr>
        <w:sectPr>
          <w:pgSz w:w="11900" w:h="16838" w:orient="portrait"/>
          <w:cols w:equalWidth="0" w:num="1">
            <w:col w:w="11041"/>
          </w:cols>
          <w:pgMar w:left="399" w:top="693" w:right="459" w:bottom="1440" w:gutter="0" w:footer="0" w:header="0"/>
        </w:sectPr>
      </w:pPr>
    </w:p>
    <w:bookmarkStart w:id="209" w:name="page210"/>
    <w:bookmarkEnd w:id="209"/>
    <w:p>
      <w:pPr>
        <w:ind w:right="100" w:firstLine="677"/>
        <w:spacing w:after="0" w:line="270" w:lineRule="auto"/>
        <w:rPr>
          <w:sz w:val="20"/>
          <w:szCs w:val="20"/>
          <w:color w:val="auto"/>
        </w:rPr>
      </w:pPr>
      <w:r>
        <w:rPr>
          <w:rFonts w:ascii="Arial" w:cs="Arial" w:eastAsia="Arial" w:hAnsi="Arial"/>
          <w:sz w:val="14"/>
          <w:szCs w:val="14"/>
          <w:u w:val="single" w:color="auto"/>
          <w:color w:val="auto"/>
        </w:rPr>
        <w:t>Business Da</w:t>
      </w:r>
      <w:r>
        <w:rPr>
          <w:rFonts w:ascii="Arial" w:cs="Arial" w:eastAsia="Arial" w:hAnsi="Arial"/>
          <w:sz w:val="14"/>
          <w:szCs w:val="14"/>
          <w:color w:val="auto"/>
        </w:rPr>
        <w:t>y. The term “Business Day” shall mean any day, other than a Saturday or Sunday, that is neither a legal holiday nor a day on which banking institutions in New York City are authorized or required by law, regulation or executive order to close.</w:t>
      </w:r>
    </w:p>
    <w:p>
      <w:pPr>
        <w:spacing w:after="0" w:line="258" w:lineRule="exact"/>
        <w:rPr>
          <w:sz w:val="20"/>
          <w:szCs w:val="20"/>
          <w:color w:val="auto"/>
        </w:rPr>
      </w:pPr>
    </w:p>
    <w:p>
      <w:pPr>
        <w:ind w:right="200" w:firstLine="677"/>
        <w:spacing w:after="0" w:line="270" w:lineRule="auto"/>
        <w:rPr>
          <w:sz w:val="20"/>
          <w:szCs w:val="20"/>
          <w:color w:val="auto"/>
        </w:rPr>
      </w:pPr>
      <w:r>
        <w:rPr>
          <w:rFonts w:ascii="Arial" w:cs="Arial" w:eastAsia="Arial" w:hAnsi="Arial"/>
          <w:sz w:val="14"/>
          <w:szCs w:val="14"/>
          <w:u w:val="single" w:color="auto"/>
          <w:color w:val="auto"/>
        </w:rPr>
        <w:t>Capital Stock</w:t>
      </w:r>
      <w:r>
        <w:rPr>
          <w:rFonts w:ascii="Arial" w:cs="Arial" w:eastAsia="Arial" w:hAnsi="Arial"/>
          <w:sz w:val="14"/>
          <w:szCs w:val="14"/>
          <w:color w:val="auto"/>
        </w:rPr>
        <w:t>. The term “Capital Stock” shall mean all classes or series of stock of the Corporation, including, without limitation, Class A Common Stock, Class B Common Stock, Performance Common Stock and Preferred Stock.</w:t>
      </w:r>
    </w:p>
    <w:p>
      <w:pPr>
        <w:spacing w:after="0" w:line="258" w:lineRule="exact"/>
        <w:rPr>
          <w:sz w:val="20"/>
          <w:szCs w:val="20"/>
          <w:color w:val="auto"/>
        </w:rPr>
      </w:pPr>
    </w:p>
    <w:p>
      <w:pPr>
        <w:jc w:val="both"/>
        <w:ind w:firstLine="677"/>
        <w:spacing w:after="0" w:line="257" w:lineRule="auto"/>
        <w:rPr>
          <w:sz w:val="20"/>
          <w:szCs w:val="20"/>
          <w:color w:val="auto"/>
        </w:rPr>
      </w:pPr>
      <w:r>
        <w:rPr>
          <w:rFonts w:ascii="Arial" w:cs="Arial" w:eastAsia="Arial" w:hAnsi="Arial"/>
          <w:sz w:val="14"/>
          <w:szCs w:val="14"/>
          <w:u w:val="single" w:color="auto"/>
          <w:color w:val="auto"/>
        </w:rPr>
        <w:t>Charitable Beneficiar</w:t>
      </w:r>
      <w:r>
        <w:rPr>
          <w:rFonts w:ascii="Arial" w:cs="Arial" w:eastAsia="Arial" w:hAnsi="Arial"/>
          <w:sz w:val="14"/>
          <w:szCs w:val="14"/>
          <w:color w:val="auto"/>
        </w:rPr>
        <w:t>y. The term “Charitable Beneficiary” shall mean one or more beneficiaries of the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266" w:lineRule="exact"/>
        <w:rPr>
          <w:sz w:val="20"/>
          <w:szCs w:val="20"/>
          <w:color w:val="auto"/>
        </w:rPr>
      </w:pPr>
    </w:p>
    <w:p>
      <w:pPr>
        <w:ind w:right="600" w:firstLine="677"/>
        <w:spacing w:after="0" w:line="310" w:lineRule="auto"/>
        <w:rPr>
          <w:sz w:val="20"/>
          <w:szCs w:val="20"/>
          <w:color w:val="auto"/>
        </w:rPr>
      </w:pPr>
      <w:r>
        <w:rPr>
          <w:rFonts w:ascii="Arial" w:cs="Arial" w:eastAsia="Arial" w:hAnsi="Arial"/>
          <w:sz w:val="13"/>
          <w:szCs w:val="13"/>
          <w:u w:val="single" w:color="auto"/>
          <w:color w:val="auto"/>
        </w:rPr>
        <w:t>Common Stock Ownership Limit</w:t>
      </w:r>
      <w:r>
        <w:rPr>
          <w:rFonts w:ascii="Arial" w:cs="Arial" w:eastAsia="Arial" w:hAnsi="Arial"/>
          <w:sz w:val="13"/>
          <w:szCs w:val="13"/>
          <w:color w:val="auto"/>
        </w:rPr>
        <w:t>. The term “Common Stock Ownership Limit” shall mean 9.8 percent (in value or in number of shares, whichever is more restrictive) of the aggregate of the outstanding shares of Common Stock, or such other percentage determined by the Board of Directors in accordance with Section 7.2.8 of the Charter.</w:t>
      </w:r>
    </w:p>
    <w:p>
      <w:pPr>
        <w:spacing w:after="0" w:line="234" w:lineRule="exact"/>
        <w:rPr>
          <w:sz w:val="20"/>
          <w:szCs w:val="20"/>
          <w:color w:val="auto"/>
        </w:rPr>
      </w:pPr>
    </w:p>
    <w:p>
      <w:pPr>
        <w:jc w:val="both"/>
        <w:ind w:right="20" w:firstLine="677"/>
        <w:spacing w:after="0" w:line="257" w:lineRule="auto"/>
        <w:rPr>
          <w:sz w:val="20"/>
          <w:szCs w:val="20"/>
          <w:color w:val="auto"/>
        </w:rPr>
      </w:pPr>
      <w:r>
        <w:rPr>
          <w:rFonts w:ascii="Arial" w:cs="Arial" w:eastAsia="Arial" w:hAnsi="Arial"/>
          <w:sz w:val="14"/>
          <w:szCs w:val="14"/>
          <w:u w:val="single" w:color="auto"/>
          <w:color w:val="auto"/>
        </w:rPr>
        <w:t>Constructive Ownershi</w:t>
      </w:r>
      <w:r>
        <w:rPr>
          <w:rFonts w:ascii="Arial" w:cs="Arial" w:eastAsia="Arial" w:hAnsi="Arial"/>
          <w:sz w:val="14"/>
          <w:szCs w:val="14"/>
          <w:color w:val="auto"/>
        </w:rPr>
        <w:t>p. The term “Constructive Ownership” shall mean ownership of Capital Stock by a Person, whether the interest in the shares of Capital Stock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000"/>
          </w:cols>
          <w:pgMar w:left="400" w:top="903" w:right="499" w:bottom="1440" w:gutter="0" w:footer="0" w:header="0"/>
        </w:sectPr>
      </w:pPr>
    </w:p>
    <w:bookmarkStart w:id="210" w:name="page211"/>
    <w:bookmarkEnd w:id="210"/>
    <w:p>
      <w:pPr>
        <w:ind w:right="40" w:firstLine="677"/>
        <w:spacing w:after="0" w:line="270" w:lineRule="auto"/>
        <w:rPr>
          <w:sz w:val="20"/>
          <w:szCs w:val="20"/>
          <w:color w:val="auto"/>
        </w:rPr>
      </w:pPr>
      <w:r>
        <w:rPr>
          <w:rFonts w:ascii="Arial" w:cs="Arial" w:eastAsia="Arial" w:hAnsi="Arial"/>
          <w:sz w:val="14"/>
          <w:szCs w:val="14"/>
          <w:u w:val="single" w:color="auto"/>
          <w:color w:val="auto"/>
        </w:rPr>
        <w:t>Excepted Holder</w:t>
      </w:r>
      <w:r>
        <w:rPr>
          <w:rFonts w:ascii="Arial" w:cs="Arial" w:eastAsia="Arial" w:hAnsi="Arial"/>
          <w:sz w:val="14"/>
          <w:szCs w:val="14"/>
          <w:color w:val="auto"/>
        </w:rPr>
        <w:t>. The term “Excepted Holder” shall mean a stockholder of the Corporation for whom an Excepted Holder Limit is created by the Charter or by the Board of Directors pursuant to Section 7.2.7.</w:t>
      </w:r>
    </w:p>
    <w:p>
      <w:pPr>
        <w:spacing w:after="0" w:line="258" w:lineRule="exact"/>
        <w:rPr>
          <w:sz w:val="20"/>
          <w:szCs w:val="20"/>
          <w:color w:val="auto"/>
        </w:rPr>
      </w:pPr>
    </w:p>
    <w:p>
      <w:pPr>
        <w:ind w:firstLine="677"/>
        <w:spacing w:after="0" w:line="310" w:lineRule="auto"/>
        <w:rPr>
          <w:sz w:val="20"/>
          <w:szCs w:val="20"/>
          <w:color w:val="auto"/>
        </w:rPr>
      </w:pPr>
      <w:r>
        <w:rPr>
          <w:rFonts w:ascii="Arial" w:cs="Arial" w:eastAsia="Arial" w:hAnsi="Arial"/>
          <w:sz w:val="13"/>
          <w:szCs w:val="13"/>
          <w:u w:val="single" w:color="auto"/>
          <w:color w:val="auto"/>
        </w:rPr>
        <w:t>Excepted Holder Limit</w:t>
      </w:r>
      <w:r>
        <w:rPr>
          <w:rFonts w:ascii="Arial" w:cs="Arial" w:eastAsia="Arial" w:hAnsi="Arial"/>
          <w:sz w:val="13"/>
          <w:szCs w:val="13"/>
          <w:color w:val="auto"/>
        </w:rPr>
        <w:t>. The term “Excepted Holder Limit” shall mean, provided that the affected Excepted Holder agrees to comply with the requirements established by the Board of Directors pursuant to Section 7.2.7 and subject to adjustment pursuant to Section 7.2.8, the percentage limit established by the Board of Directors pursuant to Section 7.2.7.</w:t>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Initial Date</w:t>
      </w:r>
      <w:r>
        <w:rPr>
          <w:rFonts w:ascii="Arial" w:cs="Arial" w:eastAsia="Arial" w:hAnsi="Arial"/>
          <w:sz w:val="13"/>
          <w:szCs w:val="13"/>
          <w:color w:val="auto"/>
        </w:rPr>
        <w:t>. The term “Initial Date” shall mean the effective time of the merger of NorthStar Asset Management Group Inc., a Delaware corporation, with and into the Corporation.</w:t>
      </w:r>
    </w:p>
    <w:p>
      <w:pPr>
        <w:spacing w:after="0" w:line="307" w:lineRule="exact"/>
        <w:rPr>
          <w:sz w:val="20"/>
          <w:szCs w:val="20"/>
          <w:color w:val="auto"/>
        </w:rPr>
      </w:pPr>
    </w:p>
    <w:p>
      <w:pPr>
        <w:ind w:right="80" w:firstLine="677"/>
        <w:spacing w:after="0" w:line="270" w:lineRule="auto"/>
        <w:rPr>
          <w:sz w:val="20"/>
          <w:szCs w:val="20"/>
          <w:color w:val="auto"/>
        </w:rPr>
      </w:pPr>
      <w:r>
        <w:rPr>
          <w:rFonts w:ascii="Arial" w:cs="Arial" w:eastAsia="Arial" w:hAnsi="Arial"/>
          <w:sz w:val="13"/>
          <w:szCs w:val="13"/>
          <w:u w:val="single" w:color="auto"/>
          <w:color w:val="auto"/>
        </w:rPr>
        <w:t>Market Price</w:t>
      </w:r>
      <w:r>
        <w:rPr>
          <w:rFonts w:ascii="Arial" w:cs="Arial" w:eastAsia="Arial" w:hAnsi="Arial"/>
          <w:sz w:val="13"/>
          <w:szCs w:val="13"/>
          <w:color w:val="auto"/>
        </w:rPr>
        <w:t>. The term “Market Price” on any date shall mean, with respect to any class or series of outstanding shares of Capital Stock, the Closing Price for such Capital Stock on such date. The “Closing Price” on any date shall mean the last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the NYSE or, if such Capital Stock is not listed or admitted to trading on the NYSE,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960"/>
          </w:cols>
          <w:pgMar w:left="400" w:top="692" w:right="539" w:bottom="1440" w:gutter="0" w:footer="0" w:header="0"/>
        </w:sectPr>
      </w:pPr>
    </w:p>
    <w:bookmarkStart w:id="211" w:name="page212"/>
    <w:bookmarkEnd w:id="211"/>
    <w:p>
      <w:pPr>
        <w:spacing w:after="0" w:line="257" w:lineRule="auto"/>
        <w:rPr>
          <w:sz w:val="20"/>
          <w:szCs w:val="20"/>
          <w:color w:val="auto"/>
        </w:rPr>
      </w:pPr>
      <w:r>
        <w:rPr>
          <w:rFonts w:ascii="Arial" w:cs="Arial" w:eastAsia="Arial" w:hAnsi="Arial"/>
          <w:sz w:val="14"/>
          <w:szCs w:val="14"/>
          <w:color w:val="auto"/>
        </w:rPr>
        <w:t>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or, in the event that no trading price is available for such Capital Stock, the fair market value of the Capital Stock, as determined by the Board of Directors.</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4"/>
          <w:szCs w:val="14"/>
          <w:u w:val="single" w:color="auto"/>
          <w:color w:val="auto"/>
        </w:rPr>
        <w:t>NYSE</w:t>
      </w:r>
      <w:r>
        <w:rPr>
          <w:rFonts w:ascii="Arial" w:cs="Arial" w:eastAsia="Arial" w:hAnsi="Arial"/>
          <w:sz w:val="14"/>
          <w:szCs w:val="14"/>
          <w:color w:val="auto"/>
        </w:rPr>
        <w:t>. The term “NYSE” shall mean the New York Stock Exchange.</w:t>
      </w:r>
    </w:p>
    <w:p>
      <w:pPr>
        <w:spacing w:after="0" w:line="283" w:lineRule="exact"/>
        <w:rPr>
          <w:sz w:val="20"/>
          <w:szCs w:val="20"/>
          <w:color w:val="auto"/>
        </w:rPr>
      </w:pPr>
    </w:p>
    <w:p>
      <w:pPr>
        <w:jc w:val="both"/>
        <w:ind w:right="60" w:firstLine="677"/>
        <w:spacing w:after="0" w:line="320" w:lineRule="auto"/>
        <w:rPr>
          <w:sz w:val="20"/>
          <w:szCs w:val="20"/>
          <w:color w:val="auto"/>
        </w:rPr>
      </w:pPr>
      <w:r>
        <w:rPr>
          <w:rFonts w:ascii="Arial" w:cs="Arial" w:eastAsia="Arial" w:hAnsi="Arial"/>
          <w:sz w:val="12"/>
          <w:szCs w:val="12"/>
          <w:u w:val="single" w:color="auto"/>
          <w:color w:val="auto"/>
        </w:rPr>
        <w:t>Person</w:t>
      </w:r>
      <w:r>
        <w:rPr>
          <w:rFonts w:ascii="Arial" w:cs="Arial" w:eastAsia="Arial" w:hAnsi="Arial"/>
          <w:sz w:val="12"/>
          <w:szCs w:val="12"/>
          <w:color w:val="auto"/>
        </w:rPr>
        <w:t>.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w:t>
      </w:r>
    </w:p>
    <w:p>
      <w:pPr>
        <w:spacing w:after="0" w:line="232" w:lineRule="exact"/>
        <w:rPr>
          <w:sz w:val="20"/>
          <w:szCs w:val="20"/>
          <w:color w:val="auto"/>
        </w:rPr>
      </w:pPr>
    </w:p>
    <w:p>
      <w:pPr>
        <w:ind w:right="340" w:firstLine="677"/>
        <w:spacing w:after="0" w:line="257" w:lineRule="auto"/>
        <w:rPr>
          <w:sz w:val="20"/>
          <w:szCs w:val="20"/>
          <w:color w:val="auto"/>
        </w:rPr>
      </w:pPr>
      <w:r>
        <w:rPr>
          <w:rFonts w:ascii="Arial" w:cs="Arial" w:eastAsia="Arial" w:hAnsi="Arial"/>
          <w:sz w:val="14"/>
          <w:szCs w:val="14"/>
          <w:u w:val="single" w:color="auto"/>
          <w:color w:val="auto"/>
        </w:rPr>
        <w:t>Prohibited Owner</w:t>
      </w:r>
      <w:r>
        <w:rPr>
          <w:rFonts w:ascii="Arial" w:cs="Arial" w:eastAsia="Arial" w:hAnsi="Arial"/>
          <w:sz w:val="14"/>
          <w:szCs w:val="14"/>
          <w:color w:val="auto"/>
        </w:rPr>
        <w:t>. The term “Prohibited Owner” shall mean, with respect to any purported Transfer, any Person who, but for the provisions of this Article VII, would Beneficially Own or Constructively Own shares of Capital Stock in violation of Section 7.2.1, and if appropriate in the context, shall also mean any Person who would have been the record owner of the shares that the Prohibited Owner would have so owned.</w:t>
      </w:r>
    </w:p>
    <w:p>
      <w:pPr>
        <w:spacing w:after="0" w:line="255" w:lineRule="exact"/>
        <w:rPr>
          <w:sz w:val="20"/>
          <w:szCs w:val="20"/>
          <w:color w:val="auto"/>
        </w:rPr>
      </w:pPr>
    </w:p>
    <w:p>
      <w:pPr>
        <w:ind w:right="140" w:firstLine="677"/>
        <w:spacing w:after="0" w:line="286" w:lineRule="auto"/>
        <w:rPr>
          <w:sz w:val="20"/>
          <w:szCs w:val="20"/>
          <w:color w:val="auto"/>
        </w:rPr>
      </w:pPr>
      <w:r>
        <w:rPr>
          <w:rFonts w:ascii="Arial" w:cs="Arial" w:eastAsia="Arial" w:hAnsi="Arial"/>
          <w:sz w:val="13"/>
          <w:szCs w:val="13"/>
          <w:u w:val="single" w:color="auto"/>
          <w:color w:val="auto"/>
        </w:rPr>
        <w:t>Restriction Termination Date</w:t>
      </w:r>
      <w:r>
        <w:rPr>
          <w:rFonts w:ascii="Arial" w:cs="Arial" w:eastAsia="Arial" w:hAnsi="Arial"/>
          <w:sz w:val="13"/>
          <w:szCs w:val="13"/>
          <w:color w:val="auto"/>
        </w:rPr>
        <w:t>. The term “Restriction Termination Date” shall mean the first day after the Initial Date on which the Board determines pursuant to Section 5.7 of the Charter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040"/>
          </w:cols>
          <w:pgMar w:left="400" w:top="903" w:right="459" w:bottom="1440" w:gutter="0" w:footer="0" w:header="0"/>
        </w:sectPr>
      </w:pPr>
    </w:p>
    <w:bookmarkStart w:id="212" w:name="page213"/>
    <w:bookmarkEnd w:id="212"/>
    <w:p>
      <w:pPr>
        <w:ind w:left="1" w:right="20" w:firstLine="677"/>
        <w:spacing w:after="0" w:line="267" w:lineRule="auto"/>
        <w:rPr>
          <w:sz w:val="20"/>
          <w:szCs w:val="20"/>
          <w:color w:val="auto"/>
        </w:rPr>
      </w:pPr>
      <w:r>
        <w:rPr>
          <w:rFonts w:ascii="Arial" w:cs="Arial" w:eastAsia="Arial" w:hAnsi="Arial"/>
          <w:sz w:val="13"/>
          <w:szCs w:val="13"/>
          <w:u w:val="single" w:color="auto"/>
          <w:color w:val="auto"/>
        </w:rPr>
        <w:t>Transfer</w:t>
      </w:r>
      <w:r>
        <w:rPr>
          <w:rFonts w:ascii="Arial" w:cs="Arial" w:eastAsia="Arial" w:hAnsi="Arial"/>
          <w:sz w:val="13"/>
          <w:szCs w:val="13"/>
          <w:color w:val="auto"/>
        </w:rPr>
        <w:t>. The term “Transfer” shall mean any issuance, sale, transfer, gift, assignment, devise or other disposition, as well as any other event, condition or set of circumstances that causes any Person to acquire or have Beneficial Ownership or Constructive Ownership, or any agreement to take any such actions or cause any such events, of Capital Stock or the right to vote or receive dividends or other distributions on shares of Capital Stock, including (a) a change in the capital structure of the Corporation or in the relative values of different shares of Capital Stock, (b) a change in the relationship between two or more Persons which cause a change in Beneficial Ownership or Constructive Ownership,</w:t>
      </w:r>
    </w:p>
    <w:p>
      <w:pPr>
        <w:spacing w:after="0" w:line="2" w:lineRule="exact"/>
        <w:rPr>
          <w:sz w:val="20"/>
          <w:szCs w:val="20"/>
          <w:color w:val="auto"/>
        </w:rPr>
      </w:pPr>
    </w:p>
    <w:p>
      <w:pPr>
        <w:ind w:left="1" w:hanging="1"/>
        <w:spacing w:after="0" w:line="301" w:lineRule="auto"/>
        <w:tabs>
          <w:tab w:leader="none" w:pos="297"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granting or exercise of any option or warrant (or any acquisition or disposition of any option or warrant), pledge, security interest, or similar right to acquire shares of Capital Stock, (d) any acquisition or disposition of any securities or rights convertible into or exchangeable for Capital Stock or any interest in Capital Stock or any exercise of any such conversion or exchange right and (e) Transfers of interests in other entities that result in changes in Beneficial Ownership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231" w:lineRule="exact"/>
        <w:rPr>
          <w:sz w:val="20"/>
          <w:szCs w:val="20"/>
          <w:color w:val="auto"/>
        </w:rPr>
      </w:pPr>
    </w:p>
    <w:p>
      <w:pPr>
        <w:ind w:left="681"/>
        <w:spacing w:after="0"/>
        <w:rPr>
          <w:sz w:val="20"/>
          <w:szCs w:val="20"/>
          <w:color w:val="auto"/>
        </w:rPr>
      </w:pPr>
      <w:r>
        <w:rPr>
          <w:rFonts w:ascii="Arial" w:cs="Arial" w:eastAsia="Arial" w:hAnsi="Arial"/>
          <w:sz w:val="14"/>
          <w:szCs w:val="14"/>
          <w:u w:val="single" w:color="auto"/>
          <w:color w:val="auto"/>
        </w:rPr>
        <w:t>Trust</w:t>
      </w:r>
      <w:r>
        <w:rPr>
          <w:rFonts w:ascii="Arial" w:cs="Arial" w:eastAsia="Arial" w:hAnsi="Arial"/>
          <w:sz w:val="14"/>
          <w:szCs w:val="14"/>
          <w:color w:val="auto"/>
        </w:rPr>
        <w:t>. The term “Trust” shall mean any trust provided for in Section 7.3.1.</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001"/>
          </w:cols>
          <w:pgMar w:left="399" w:top="903" w:right="499" w:bottom="1440" w:gutter="0" w:footer="0" w:header="0"/>
        </w:sectPr>
      </w:pPr>
    </w:p>
    <w:bookmarkStart w:id="213" w:name="page214"/>
    <w:bookmarkEnd w:id="213"/>
    <w:p>
      <w:pPr>
        <w:ind w:left="681"/>
        <w:spacing w:after="0"/>
        <w:rPr>
          <w:sz w:val="20"/>
          <w:szCs w:val="20"/>
          <w:color w:val="auto"/>
        </w:rPr>
      </w:pPr>
      <w:r>
        <w:rPr>
          <w:rFonts w:ascii="Arial" w:cs="Arial" w:eastAsia="Arial" w:hAnsi="Arial"/>
          <w:sz w:val="12"/>
          <w:szCs w:val="12"/>
          <w:u w:val="single" w:color="auto"/>
          <w:color w:val="auto"/>
        </w:rPr>
        <w:t>Trustee</w:t>
      </w:r>
      <w:r>
        <w:rPr>
          <w:rFonts w:ascii="Arial" w:cs="Arial" w:eastAsia="Arial" w:hAnsi="Arial"/>
          <w:sz w:val="12"/>
          <w:szCs w:val="12"/>
          <w:color w:val="auto"/>
        </w:rPr>
        <w:t>. The term “Trustee” shall mean the Person unaffiliated with the Corporation and a Prohibited Owner that is appointed by the Corporation to serve as trustee of the Trust.</w:t>
      </w:r>
    </w:p>
    <w:p>
      <w:pPr>
        <w:spacing w:after="0" w:line="236" w:lineRule="exact"/>
        <w:rPr>
          <w:sz w:val="20"/>
          <w:szCs w:val="20"/>
          <w:color w:val="auto"/>
        </w:rPr>
      </w:pPr>
    </w:p>
    <w:p>
      <w:pPr>
        <w:ind w:left="681"/>
        <w:spacing w:after="0"/>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Capital Stock</w:t>
      </w:r>
      <w:r>
        <w:rPr>
          <w:rFonts w:ascii="Arial" w:cs="Arial" w:eastAsia="Arial" w:hAnsi="Arial"/>
          <w:sz w:val="14"/>
          <w:szCs w:val="14"/>
          <w:color w:val="auto"/>
        </w:rPr>
        <w:t>.</w:t>
      </w:r>
    </w:p>
    <w:p>
      <w:pPr>
        <w:spacing w:after="0" w:line="295" w:lineRule="exact"/>
        <w:rPr>
          <w:sz w:val="20"/>
          <w:szCs w:val="20"/>
          <w:color w:val="auto"/>
        </w:rPr>
      </w:pPr>
    </w:p>
    <w:p>
      <w:pPr>
        <w:ind w:left="701"/>
        <w:spacing w:after="0"/>
        <w:rPr>
          <w:sz w:val="20"/>
          <w:szCs w:val="20"/>
          <w:color w:val="auto"/>
        </w:rPr>
      </w:pPr>
      <w:r>
        <w:rPr>
          <w:rFonts w:ascii="Arial" w:cs="Arial" w:eastAsia="Arial" w:hAnsi="Arial"/>
          <w:sz w:val="14"/>
          <w:szCs w:val="14"/>
          <w:color w:val="auto"/>
        </w:rPr>
        <w:t xml:space="preserve">Section 7.2.1 </w:t>
      </w:r>
      <w:r>
        <w:rPr>
          <w:rFonts w:ascii="Arial" w:cs="Arial" w:eastAsia="Arial" w:hAnsi="Arial"/>
          <w:sz w:val="14"/>
          <w:szCs w:val="14"/>
          <w:u w:val="single" w:color="auto"/>
          <w:color w:val="auto"/>
        </w:rPr>
        <w:t>Ownership Limitations</w:t>
      </w:r>
      <w:r>
        <w:rPr>
          <w:rFonts w:ascii="Arial" w:cs="Arial" w:eastAsia="Arial" w:hAnsi="Arial"/>
          <w:sz w:val="14"/>
          <w:szCs w:val="14"/>
          <w:color w:val="auto"/>
        </w:rPr>
        <w:t>. During the period commencing on the Initial Date and prior to the Restriction Termination Date, but subject to Section 7.4:</w:t>
      </w:r>
    </w:p>
    <w:p>
      <w:pPr>
        <w:spacing w:after="0" w:line="73" w:lineRule="exact"/>
        <w:rPr>
          <w:sz w:val="20"/>
          <w:szCs w:val="20"/>
          <w:color w:val="auto"/>
        </w:rPr>
      </w:pPr>
    </w:p>
    <w:p>
      <w:pPr>
        <w:ind w:left="1741" w:hanging="301"/>
        <w:spacing w:after="0"/>
        <w:tabs>
          <w:tab w:leader="none" w:pos="1741" w:val="left"/>
        </w:tabs>
        <w:numPr>
          <w:ilvl w:val="1"/>
          <w:numId w:val="132"/>
        </w:numPr>
        <w:rPr>
          <w:rFonts w:ascii="Arial" w:cs="Arial" w:eastAsia="Arial" w:hAnsi="Arial"/>
          <w:sz w:val="14"/>
          <w:szCs w:val="14"/>
          <w:color w:val="auto"/>
        </w:rPr>
      </w:pPr>
      <w:r>
        <w:rPr>
          <w:rFonts w:ascii="Arial" w:cs="Arial" w:eastAsia="Arial" w:hAnsi="Arial"/>
          <w:sz w:val="14"/>
          <w:szCs w:val="14"/>
          <w:u w:val="single" w:color="auto"/>
          <w:color w:val="auto"/>
        </w:rPr>
        <w:t>Basic Restrictions</w:t>
      </w:r>
      <w:r>
        <w:rPr>
          <w:rFonts w:ascii="Arial" w:cs="Arial" w:eastAsia="Arial" w:hAnsi="Arial"/>
          <w:sz w:val="14"/>
          <w:szCs w:val="14"/>
          <w:color w:val="auto"/>
        </w:rPr>
        <w:t>.</w:t>
      </w:r>
    </w:p>
    <w:p>
      <w:pPr>
        <w:spacing w:after="0" w:line="84" w:lineRule="exact"/>
        <w:rPr>
          <w:rFonts w:ascii="Arial" w:cs="Arial" w:eastAsia="Arial" w:hAnsi="Arial"/>
          <w:sz w:val="14"/>
          <w:szCs w:val="14"/>
          <w:color w:val="auto"/>
        </w:rPr>
      </w:pPr>
    </w:p>
    <w:p>
      <w:pPr>
        <w:ind w:left="1" w:right="40" w:firstLine="1779"/>
        <w:spacing w:after="0" w:line="295" w:lineRule="auto"/>
        <w:tabs>
          <w:tab w:leader="none" w:pos="2053" w:val="left"/>
        </w:tabs>
        <w:numPr>
          <w:ilvl w:val="2"/>
          <w:numId w:val="132"/>
        </w:numPr>
        <w:rPr>
          <w:rFonts w:ascii="Arial" w:cs="Arial" w:eastAsia="Arial" w:hAnsi="Arial"/>
          <w:sz w:val="12"/>
          <w:szCs w:val="12"/>
          <w:color w:val="auto"/>
        </w:rPr>
      </w:pPr>
      <w:r>
        <w:rPr>
          <w:rFonts w:ascii="Arial" w:cs="Arial" w:eastAsia="Arial" w:hAnsi="Arial"/>
          <w:sz w:val="12"/>
          <w:szCs w:val="12"/>
          <w:color w:val="auto"/>
        </w:rPr>
        <w:t>(1) No Person, other than an Excepted Holder, shall Beneficially Own or Constructively Own shares of Capital Stock in excess of the Aggregate Stock Ownership Limit, (2) no Person, other than an Excepted Holder, shall Beneficially Own or Constructively Own shares of Common Stock in excess of the Common Stock Ownership Limit and</w:t>
      </w:r>
    </w:p>
    <w:p>
      <w:pPr>
        <w:ind w:left="201" w:hanging="201"/>
        <w:spacing w:after="0"/>
        <w:tabs>
          <w:tab w:leader="none" w:pos="201"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 Excepted Holder shall Beneficially Own or Constructively Own shares of Capital Stock in excess of the Excepted Holder Limit for such Excepted Holder.</w:t>
      </w:r>
    </w:p>
    <w:p>
      <w:pPr>
        <w:spacing w:after="0" w:line="2" w:lineRule="exact"/>
        <w:rPr>
          <w:rFonts w:ascii="Arial" w:cs="Arial" w:eastAsia="Arial" w:hAnsi="Arial"/>
          <w:sz w:val="14"/>
          <w:szCs w:val="14"/>
          <w:color w:val="auto"/>
        </w:rPr>
      </w:pPr>
    </w:p>
    <w:p>
      <w:pPr>
        <w:ind w:left="1" w:firstLine="1779"/>
        <w:spacing w:after="0" w:line="297" w:lineRule="auto"/>
        <w:tabs>
          <w:tab w:leader="none" w:pos="2092" w:val="left"/>
        </w:tabs>
        <w:numPr>
          <w:ilvl w:val="2"/>
          <w:numId w:val="133"/>
        </w:numPr>
        <w:rPr>
          <w:rFonts w:ascii="Arial" w:cs="Arial" w:eastAsia="Arial" w:hAnsi="Arial"/>
          <w:sz w:val="12"/>
          <w:szCs w:val="12"/>
          <w:color w:val="auto"/>
        </w:rPr>
      </w:pPr>
      <w:r>
        <w:rPr>
          <w:rFonts w:ascii="Arial" w:cs="Arial" w:eastAsia="Arial" w:hAnsi="Arial"/>
          <w:sz w:val="12"/>
          <w:szCs w:val="12"/>
          <w:color w:val="auto"/>
        </w:rPr>
        <w:t>No Person shall Beneficially Own or Constructively Own shares of Capital Stock to the extent that (1) such Beneficial Ownership or Constructive Ownership of Capital Stock would result in the Corporation being “closely held” within the meaning of Section 856(h) of the Code (without regard to whether the ownership interest is held during the last half of a taxable year), (2) such Beneficial Ownership or Constructive Ownership of Capital Stock would result in the Corporation owning (directly or Constructively) an interest in a tenant that is described in Section 856(d)(2)(B) of the Code if the income derived by the Corporation (either directly or indirectly through one or more partnerships or limited liability companies) from such tenant for the taxable year of the Corporation during which such determination is being made would reasonably be expected to equal or exceed the lesser of (a)</w:t>
      </w:r>
    </w:p>
    <w:p>
      <w:pPr>
        <w:spacing w:after="0" w:line="58"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801"/>
          </w:cols>
          <w:pgMar w:left="399" w:top="903" w:right="699" w:bottom="1440" w:gutter="0" w:footer="0" w:header="0"/>
        </w:sectPr>
      </w:pPr>
    </w:p>
    <w:bookmarkStart w:id="214" w:name="page215"/>
    <w:bookmarkEnd w:id="214"/>
    <w:p>
      <w:pPr>
        <w:spacing w:after="0" w:line="250" w:lineRule="auto"/>
        <w:rPr>
          <w:sz w:val="20"/>
          <w:szCs w:val="20"/>
          <w:color w:val="auto"/>
        </w:rPr>
      </w:pPr>
      <w:r>
        <w:rPr>
          <w:rFonts w:ascii="Arial" w:cs="Arial" w:eastAsia="Arial" w:hAnsi="Arial"/>
          <w:sz w:val="14"/>
          <w:szCs w:val="14"/>
          <w:color w:val="auto"/>
        </w:rPr>
        <w:t>one percent of the Corporation’s gross income (as determined for purposes of Section 856(c) of the Code), or (b) an amount that would cause the Corporation to fail to satisfy any of the gross income requirements of Section 856(c) of the Code, or (3) such Beneficial Ownership or Constructive Ownership of Capital Stock would result in the Corporation otherwise failing to qualify as a REIT.</w:t>
      </w:r>
    </w:p>
    <w:p>
      <w:pPr>
        <w:ind w:right="140" w:firstLine="1779"/>
        <w:spacing w:after="0" w:line="262" w:lineRule="auto"/>
        <w:tabs>
          <w:tab w:leader="none" w:pos="2123" w:val="left"/>
        </w:tabs>
        <w:numPr>
          <w:ilvl w:val="1"/>
          <w:numId w:val="134"/>
        </w:numPr>
        <w:rPr>
          <w:rFonts w:ascii="Arial" w:cs="Arial" w:eastAsia="Arial" w:hAnsi="Arial"/>
          <w:sz w:val="13"/>
          <w:szCs w:val="13"/>
          <w:color w:val="auto"/>
        </w:rPr>
      </w:pPr>
      <w:r>
        <w:rPr>
          <w:rFonts w:ascii="Arial" w:cs="Arial" w:eastAsia="Arial" w:hAnsi="Arial"/>
          <w:sz w:val="13"/>
          <w:szCs w:val="13"/>
          <w:color w:val="auto"/>
        </w:rPr>
        <w:t xml:space="preserve">Any Transfer of shares of Capital Stock that, if effective, would result in the Capital Stock being beneficially owned by less than 100 Persons (determined under the principles of Section 856(a)(5) of the Code) shall be void </w:t>
      </w:r>
      <w:r>
        <w:rPr>
          <w:rFonts w:ascii="Arial" w:cs="Arial" w:eastAsia="Arial" w:hAnsi="Arial"/>
          <w:sz w:val="13"/>
          <w:szCs w:val="13"/>
          <w:u w:val="single" w:color="auto"/>
          <w:color w:val="auto"/>
        </w:rPr>
        <w:t>ab initio</w:t>
      </w:r>
      <w:r>
        <w:rPr>
          <w:rFonts w:ascii="Arial" w:cs="Arial" w:eastAsia="Arial" w:hAnsi="Arial"/>
          <w:sz w:val="13"/>
          <w:szCs w:val="13"/>
          <w:color w:val="auto"/>
        </w:rPr>
        <w:t>, and the intended transferee shall acquire no rights in such shares of Capital Stock.</w:t>
      </w:r>
    </w:p>
    <w:p>
      <w:pPr>
        <w:spacing w:after="0" w:line="1" w:lineRule="exact"/>
        <w:rPr>
          <w:rFonts w:ascii="Arial" w:cs="Arial" w:eastAsia="Arial" w:hAnsi="Arial"/>
          <w:sz w:val="13"/>
          <w:szCs w:val="13"/>
          <w:color w:val="auto"/>
        </w:rPr>
      </w:pPr>
    </w:p>
    <w:p>
      <w:pPr>
        <w:ind w:right="600" w:firstLine="1440"/>
        <w:spacing w:after="0" w:line="253" w:lineRule="auto"/>
        <w:tabs>
          <w:tab w:leader="none" w:pos="1744" w:val="left"/>
        </w:tabs>
        <w:numPr>
          <w:ilvl w:val="0"/>
          <w:numId w:val="135"/>
        </w:numPr>
        <w:rPr>
          <w:rFonts w:ascii="Arial" w:cs="Arial" w:eastAsia="Arial" w:hAnsi="Arial"/>
          <w:sz w:val="14"/>
          <w:szCs w:val="14"/>
          <w:color w:val="auto"/>
        </w:rPr>
      </w:pPr>
      <w:r>
        <w:rPr>
          <w:rFonts w:ascii="Arial" w:cs="Arial" w:eastAsia="Arial" w:hAnsi="Arial"/>
          <w:sz w:val="14"/>
          <w:szCs w:val="14"/>
          <w:u w:val="single" w:color="auto"/>
          <w:color w:val="auto"/>
        </w:rPr>
        <w:t>Transfer in Trust</w:t>
      </w:r>
      <w:r>
        <w:rPr>
          <w:rFonts w:ascii="Arial" w:cs="Arial" w:eastAsia="Arial" w:hAnsi="Arial"/>
          <w:sz w:val="14"/>
          <w:szCs w:val="14"/>
          <w:color w:val="auto"/>
        </w:rPr>
        <w:t>. If any Transfer of shares of Capital Stock occurs which, if effective, would result in any Person Beneficially Owning or Constructively Owning shares of Capital Stock in violation of Section 7.2.1(a)(i) or (ii),</w:t>
      </w:r>
    </w:p>
    <w:p>
      <w:pPr>
        <w:spacing w:after="0" w:line="69" w:lineRule="exact"/>
        <w:rPr>
          <w:rFonts w:ascii="Arial" w:cs="Arial" w:eastAsia="Arial" w:hAnsi="Arial"/>
          <w:sz w:val="14"/>
          <w:szCs w:val="14"/>
          <w:color w:val="auto"/>
        </w:rPr>
      </w:pPr>
    </w:p>
    <w:p>
      <w:pPr>
        <w:ind w:firstLine="1779"/>
        <w:spacing w:after="0" w:line="250" w:lineRule="auto"/>
        <w:tabs>
          <w:tab w:leader="none" w:pos="2052"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then that number of shares of the Capital Stock the Beneficial Ownership or Constructive Ownership of which otherwise would cause such Person to violate Section 7.2.1(a)(i) or (ii) (rounded up to the nearest whole share) shall be automatically transferred to a Trust for the benefit of a Charitable Beneficiary, as described in Section 7.3, effective as of the close of business on the Business Day prior to the date of such Transfer, and such Person shall acquire no rights in such shares; or</w:t>
      </w:r>
    </w:p>
    <w:p>
      <w:pPr>
        <w:ind w:right="140" w:firstLine="1779"/>
        <w:spacing w:after="0" w:line="248" w:lineRule="auto"/>
        <w:tabs>
          <w:tab w:leader="none" w:pos="209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if the transfer to the Trust described in clause (i) of this sentence would not be effective for any reason to prevent the violation of Section 7.2.1(a)(i) or (ii), then the Transfer of that number of shares of Capital Stock that otherwise would cause any Person to violate Section 7.2.1(a)(i) or (ii) shall be void </w:t>
      </w:r>
      <w:r>
        <w:rPr>
          <w:rFonts w:ascii="Arial" w:cs="Arial" w:eastAsia="Arial" w:hAnsi="Arial"/>
          <w:sz w:val="14"/>
          <w:szCs w:val="14"/>
          <w:u w:val="single" w:color="auto"/>
          <w:color w:val="auto"/>
        </w:rPr>
        <w:t>ab initio</w:t>
      </w:r>
      <w:r>
        <w:rPr>
          <w:rFonts w:ascii="Arial" w:cs="Arial" w:eastAsia="Arial" w:hAnsi="Arial"/>
          <w:sz w:val="14"/>
          <w:szCs w:val="14"/>
          <w:color w:val="auto"/>
        </w:rPr>
        <w:t>, and the intended transferee shall acquire no rights in such shares of Capital Stock.</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920"/>
          </w:cols>
          <w:pgMar w:left="400" w:top="903" w:right="579" w:bottom="1440" w:gutter="0" w:footer="0" w:header="0"/>
        </w:sectPr>
      </w:pPr>
    </w:p>
    <w:bookmarkStart w:id="215" w:name="page216"/>
    <w:bookmarkEnd w:id="215"/>
    <w:p>
      <w:pPr>
        <w:ind w:right="20" w:firstLine="1779"/>
        <w:spacing w:after="0" w:line="253" w:lineRule="auto"/>
        <w:tabs>
          <w:tab w:leader="none" w:pos="212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To the extent that, upon a transfer of shares of Capital Stock pursuant to this Section 7.2.1(b), a violation of any provision of this Article VII would nonetheless be continuing (for example where the ownership of shares of Capital Stock by a single Trust would violate the 100 stockholder requirement applicable to REITs), then shares of Capital Stock shall be transferred to that number of Trusts, each having a distinct Trustee and a Charitable Beneficiary or Beneficiaries that are distinct from those of each other Trust, such that there is no violation of any provision of this Article VII.</w:t>
      </w:r>
    </w:p>
    <w:p>
      <w:pPr>
        <w:spacing w:after="0" w:line="198" w:lineRule="exact"/>
        <w:rPr>
          <w:sz w:val="20"/>
          <w:szCs w:val="20"/>
          <w:color w:val="auto"/>
        </w:rPr>
      </w:pPr>
    </w:p>
    <w:p>
      <w:pPr>
        <w:ind w:right="60" w:firstLine="702"/>
        <w:spacing w:after="0" w:line="272" w:lineRule="auto"/>
        <w:rPr>
          <w:sz w:val="20"/>
          <w:szCs w:val="20"/>
          <w:color w:val="auto"/>
        </w:rPr>
      </w:pPr>
      <w:r>
        <w:rPr>
          <w:rFonts w:ascii="Arial" w:cs="Arial" w:eastAsia="Arial" w:hAnsi="Arial"/>
          <w:sz w:val="13"/>
          <w:szCs w:val="13"/>
          <w:color w:val="auto"/>
        </w:rPr>
        <w:t xml:space="preserve">Section 7.2.2 </w:t>
      </w:r>
      <w:r>
        <w:rPr>
          <w:rFonts w:ascii="Arial" w:cs="Arial" w:eastAsia="Arial" w:hAnsi="Arial"/>
          <w:sz w:val="13"/>
          <w:szCs w:val="13"/>
          <w:u w:val="single" w:color="auto"/>
          <w:color w:val="auto"/>
        </w:rPr>
        <w:t>Remedies for Breach</w:t>
      </w:r>
      <w:r>
        <w:rPr>
          <w:rFonts w:ascii="Arial" w:cs="Arial" w:eastAsia="Arial" w:hAnsi="Arial"/>
          <w:sz w:val="13"/>
          <w:szCs w:val="13"/>
          <w:color w:val="auto"/>
        </w:rPr>
        <w:t xml:space="preserve">. If the Board of Directors shall at any time determine that a Transfer or other event has taken place that results in a violation of Section 7.2.1 or that a Person intends to acquire or has attempted to acquire Beneficial Ownership or Constructive Ownership of any shares of Capital Stock in violation of Section 7.2.1 (whether or not such violation is intended), the Board of Directors shall take such action as it deems advisable to refuse to give effect to or to prevent such Transfer or other event, including, without limitation, causing the Corporation to redeem shares, refusing to give effect to such Transfer on the books of the Corporation or instituting proceedings to enjoin such Transfer or other event; provided,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any Transfer or attempted Transfer or other event in violation of Section 7.2.1 shall automatically result in the transfer to the Trust described above, and, where applicable, such Transfer (or other event) shall be void </w:t>
      </w:r>
      <w:r>
        <w:rPr>
          <w:rFonts w:ascii="Arial" w:cs="Arial" w:eastAsia="Arial" w:hAnsi="Arial"/>
          <w:sz w:val="13"/>
          <w:szCs w:val="13"/>
          <w:u w:val="single" w:color="auto"/>
          <w:color w:val="auto"/>
        </w:rPr>
        <w:t>ab initio</w:t>
      </w:r>
      <w:r>
        <w:rPr>
          <w:rFonts w:ascii="Arial" w:cs="Arial" w:eastAsia="Arial" w:hAnsi="Arial"/>
          <w:sz w:val="13"/>
          <w:szCs w:val="13"/>
          <w:color w:val="auto"/>
        </w:rPr>
        <w:t xml:space="preserve"> as provided above irrespective of any action (or non-action) by the Board of Directors.</w:t>
      </w:r>
    </w:p>
    <w:p>
      <w:pPr>
        <w:spacing w:after="0" w:line="188" w:lineRule="exact"/>
        <w:rPr>
          <w:sz w:val="20"/>
          <w:szCs w:val="20"/>
          <w:color w:val="auto"/>
        </w:rPr>
      </w:pPr>
    </w:p>
    <w:p>
      <w:pPr>
        <w:ind w:firstLine="702"/>
        <w:spacing w:after="0" w:line="310" w:lineRule="auto"/>
        <w:rPr>
          <w:sz w:val="20"/>
          <w:szCs w:val="20"/>
          <w:color w:val="auto"/>
        </w:rPr>
      </w:pPr>
      <w:r>
        <w:rPr>
          <w:rFonts w:ascii="Arial" w:cs="Arial" w:eastAsia="Arial" w:hAnsi="Arial"/>
          <w:sz w:val="13"/>
          <w:szCs w:val="13"/>
          <w:color w:val="auto"/>
        </w:rPr>
        <w:t xml:space="preserve">Section 7.2.3 </w:t>
      </w:r>
      <w:r>
        <w:rPr>
          <w:rFonts w:ascii="Arial" w:cs="Arial" w:eastAsia="Arial" w:hAnsi="Arial"/>
          <w:sz w:val="13"/>
          <w:szCs w:val="13"/>
          <w:u w:val="single" w:color="auto"/>
          <w:color w:val="auto"/>
        </w:rPr>
        <w:t>Notice of Restricted Transfer</w:t>
      </w:r>
      <w:r>
        <w:rPr>
          <w:rFonts w:ascii="Arial" w:cs="Arial" w:eastAsia="Arial" w:hAnsi="Arial"/>
          <w:sz w:val="13"/>
          <w:szCs w:val="13"/>
          <w:color w:val="auto"/>
        </w:rPr>
        <w:t>. Any Person who acquires or attempts or intends to acquire Beneficial Ownership or Constructive Ownership of shares of Capital Stock that will or may violate Section 7.2.1(a) or any Person who would have owned shares of Capital Stock that resulted in a transfer to the Trust pursuant to the provisions of</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040"/>
          </w:cols>
          <w:pgMar w:left="400" w:top="821" w:right="459" w:bottom="1440" w:gutter="0" w:footer="0" w:header="0"/>
        </w:sectPr>
      </w:pPr>
    </w:p>
    <w:bookmarkStart w:id="216" w:name="page217"/>
    <w:bookmarkEnd w:id="216"/>
    <w:p>
      <w:pPr>
        <w:ind w:right="120"/>
        <w:spacing w:after="0" w:line="310" w:lineRule="auto"/>
        <w:rPr>
          <w:sz w:val="20"/>
          <w:szCs w:val="20"/>
          <w:color w:val="auto"/>
        </w:rPr>
      </w:pPr>
      <w:r>
        <w:rPr>
          <w:rFonts w:ascii="Arial" w:cs="Arial" w:eastAsia="Arial" w:hAnsi="Arial"/>
          <w:sz w:val="13"/>
          <w:szCs w:val="13"/>
          <w:color w:val="auto"/>
        </w:rPr>
        <w:t>Section 7.2.1(b)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status as a REIT.</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7.2.4 </w:t>
      </w:r>
      <w:r>
        <w:rPr>
          <w:rFonts w:ascii="Arial" w:cs="Arial" w:eastAsia="Arial" w:hAnsi="Arial"/>
          <w:sz w:val="14"/>
          <w:szCs w:val="14"/>
          <w:u w:val="single" w:color="auto"/>
          <w:color w:val="auto"/>
        </w:rPr>
        <w:t>Owners Required To Provide Information</w:t>
      </w:r>
      <w:r>
        <w:rPr>
          <w:rFonts w:ascii="Arial" w:cs="Arial" w:eastAsia="Arial" w:hAnsi="Arial"/>
          <w:sz w:val="14"/>
          <w:szCs w:val="14"/>
          <w:color w:val="auto"/>
        </w:rPr>
        <w:t>. From the Initial Date and prior to the Restriction Termination Date:</w:t>
      </w:r>
    </w:p>
    <w:p>
      <w:pPr>
        <w:spacing w:after="0" w:line="96" w:lineRule="exact"/>
        <w:rPr>
          <w:sz w:val="20"/>
          <w:szCs w:val="20"/>
          <w:color w:val="auto"/>
        </w:rPr>
      </w:pPr>
    </w:p>
    <w:p>
      <w:pPr>
        <w:ind w:firstLine="1440"/>
        <w:spacing w:after="0" w:line="308" w:lineRule="auto"/>
        <w:tabs>
          <w:tab w:leader="none" w:pos="1737"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every owner of five percent or more (or such lower percentage as required by the Code or the Treasury Regulations promulgated thereunder) of the outstanding shares of Capital Stock, within 30 days after the end of each taxable year, shall give written notice to the Corporation stating the name and address of such owner, the number of shares of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status as a REIT and to ensure compliance with the Aggregate Stock Ownership Limit; and</w:t>
      </w:r>
    </w:p>
    <w:p>
      <w:pPr>
        <w:spacing w:after="0" w:line="28" w:lineRule="exact"/>
        <w:rPr>
          <w:rFonts w:ascii="Arial" w:cs="Arial" w:eastAsia="Arial" w:hAnsi="Arial"/>
          <w:sz w:val="12"/>
          <w:szCs w:val="12"/>
          <w:color w:val="auto"/>
        </w:rPr>
      </w:pPr>
    </w:p>
    <w:p>
      <w:pPr>
        <w:ind w:right="300" w:firstLine="1440"/>
        <w:spacing w:after="0" w:line="257" w:lineRule="auto"/>
        <w:tabs>
          <w:tab w:leader="none" w:pos="1744"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each Person who is a Beneficial Owner or Constructive Owner of Capital Stock and each Person (including the stockholder of record) who is holding Capital Stock for a Beneficial Owner or Constructive Owner shall provide to the Corporation such information as the Corporation may request, in order to determine the Corporation’s status as a REIT and to comply with requirements of any taxing authority or governmental authority or to determine such compliance.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880"/>
          </w:cols>
          <w:pgMar w:left="400" w:top="903" w:right="619" w:bottom="1440" w:gutter="0" w:footer="0" w:header="0"/>
        </w:sectPr>
      </w:pPr>
    </w:p>
    <w:bookmarkStart w:id="217" w:name="page218"/>
    <w:bookmarkEnd w:id="217"/>
    <w:p>
      <w:pPr>
        <w:ind w:right="200" w:firstLine="702"/>
        <w:spacing w:after="0" w:line="270" w:lineRule="auto"/>
        <w:rPr>
          <w:sz w:val="20"/>
          <w:szCs w:val="20"/>
          <w:color w:val="auto"/>
        </w:rPr>
      </w:pPr>
      <w:r>
        <w:rPr>
          <w:rFonts w:ascii="Arial" w:cs="Arial" w:eastAsia="Arial" w:hAnsi="Arial"/>
          <w:sz w:val="14"/>
          <w:szCs w:val="14"/>
          <w:color w:val="auto"/>
        </w:rPr>
        <w:t xml:space="preserve">Section 7.2.5 </w:t>
      </w:r>
      <w:r>
        <w:rPr>
          <w:rFonts w:ascii="Arial" w:cs="Arial" w:eastAsia="Arial" w:hAnsi="Arial"/>
          <w:sz w:val="14"/>
          <w:szCs w:val="14"/>
          <w:u w:val="single" w:color="auto"/>
          <w:color w:val="auto"/>
        </w:rPr>
        <w:t>Remedies Not Limited</w:t>
      </w:r>
      <w:r>
        <w:rPr>
          <w:rFonts w:ascii="Arial" w:cs="Arial" w:eastAsia="Arial" w:hAnsi="Arial"/>
          <w:sz w:val="14"/>
          <w:szCs w:val="14"/>
          <w:color w:val="auto"/>
        </w:rPr>
        <w:t>. Subject to Section 5.7 of the Charter, nothing contained in this Section 7.2 shall limit the authority of the Board of Directors to take such other action as it deems necessary or advisable to protect the Corporation in preserving the Corporation’s status as a REIT.</w:t>
      </w:r>
    </w:p>
    <w:p>
      <w:pPr>
        <w:spacing w:after="0" w:line="176" w:lineRule="exact"/>
        <w:rPr>
          <w:sz w:val="20"/>
          <w:szCs w:val="20"/>
          <w:color w:val="auto"/>
        </w:rPr>
      </w:pPr>
    </w:p>
    <w:p>
      <w:pPr>
        <w:ind w:right="80" w:firstLine="702"/>
        <w:spacing w:after="0" w:line="295" w:lineRule="auto"/>
        <w:rPr>
          <w:sz w:val="20"/>
          <w:szCs w:val="20"/>
          <w:color w:val="auto"/>
        </w:rPr>
      </w:pPr>
      <w:r>
        <w:rPr>
          <w:rFonts w:ascii="Arial" w:cs="Arial" w:eastAsia="Arial" w:hAnsi="Arial"/>
          <w:sz w:val="12"/>
          <w:szCs w:val="12"/>
          <w:color w:val="auto"/>
        </w:rPr>
        <w:t xml:space="preserve">Section 7.2.6 </w:t>
      </w:r>
      <w:r>
        <w:rPr>
          <w:rFonts w:ascii="Arial" w:cs="Arial" w:eastAsia="Arial" w:hAnsi="Arial"/>
          <w:sz w:val="12"/>
          <w:szCs w:val="12"/>
          <w:u w:val="single" w:color="auto"/>
          <w:color w:val="auto"/>
        </w:rPr>
        <w:t>Amb</w:t>
      </w:r>
      <w:r>
        <w:rPr>
          <w:rFonts w:ascii="Arial" w:cs="Arial" w:eastAsia="Arial" w:hAnsi="Arial"/>
          <w:sz w:val="12"/>
          <w:szCs w:val="12"/>
          <w:color w:val="auto"/>
        </w:rPr>
        <w:t>ig</w:t>
      </w:r>
      <w:r>
        <w:rPr>
          <w:rFonts w:ascii="Arial" w:cs="Arial" w:eastAsia="Arial" w:hAnsi="Arial"/>
          <w:sz w:val="12"/>
          <w:szCs w:val="12"/>
          <w:u w:val="single" w:color="auto"/>
          <w:color w:val="auto"/>
        </w:rPr>
        <w:t>uity</w:t>
      </w:r>
      <w:r>
        <w:rPr>
          <w:rFonts w:ascii="Arial" w:cs="Arial" w:eastAsia="Arial" w:hAnsi="Arial"/>
          <w:sz w:val="12"/>
          <w:szCs w:val="12"/>
          <w:color w:val="auto"/>
        </w:rPr>
        <w:t>. In the case of an ambiguity in the application of any of the provisions of this Section 7.2, Section 7.3 or any definition contained in Section 7.1, the Board of Directors may determine the application of the provisions of this Section 7.2 or Section 7.3 or any such definition with respect to any situation based on the facts known to it. In the event Section</w:t>
      </w:r>
    </w:p>
    <w:p>
      <w:pPr>
        <w:jc w:val="both"/>
        <w:spacing w:after="0" w:line="269" w:lineRule="auto"/>
        <w:rPr>
          <w:sz w:val="20"/>
          <w:szCs w:val="20"/>
          <w:color w:val="auto"/>
        </w:rPr>
      </w:pPr>
      <w:r>
        <w:rPr>
          <w:rFonts w:ascii="Arial" w:cs="Arial" w:eastAsia="Arial" w:hAnsi="Arial"/>
          <w:sz w:val="13"/>
          <w:szCs w:val="13"/>
          <w:color w:val="auto"/>
        </w:rPr>
        <w:t>7.2 or 7.3 requires an action by the Board of Directors and the Charter fails to provide specific guidance with respect to such action, the Board of Directors may determine the action to be taken so long as such action is not contrary to the provisions of Sections 7.1, 7.2 or 7.3. Absent a decision to the contrary by the Board of Directors, if a Person would have (but for the remedies set forth in Section 7.2.2) acquired Beneficial Ownership or Constructive Ownership of Capital Stock in violation of Section 7.2.1, such remedies (as applicable) shall apply first to the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7.2.7 </w:t>
      </w:r>
      <w:r>
        <w:rPr>
          <w:rFonts w:ascii="Arial" w:cs="Arial" w:eastAsia="Arial" w:hAnsi="Arial"/>
          <w:sz w:val="14"/>
          <w:szCs w:val="14"/>
          <w:u w:val="single" w:color="auto"/>
          <w:color w:val="auto"/>
        </w:rPr>
        <w:t>Exceptions</w:t>
      </w:r>
      <w:r>
        <w:rPr>
          <w:rFonts w:ascii="Arial" w:cs="Arial" w:eastAsia="Arial" w:hAnsi="Arial"/>
          <w:sz w:val="14"/>
          <w:szCs w:val="14"/>
          <w:color w:val="auto"/>
        </w:rPr>
        <w:t>.</w:t>
      </w:r>
    </w:p>
    <w:p>
      <w:pPr>
        <w:spacing w:after="0" w:line="85" w:lineRule="exact"/>
        <w:rPr>
          <w:sz w:val="20"/>
          <w:szCs w:val="20"/>
          <w:color w:val="auto"/>
        </w:rPr>
      </w:pPr>
    </w:p>
    <w:p>
      <w:pPr>
        <w:ind w:right="200" w:firstLine="1779"/>
        <w:spacing w:after="0" w:line="286" w:lineRule="auto"/>
        <w:tabs>
          <w:tab w:leader="none" w:pos="2073"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Board of Directors, in its sole discretion, may exempt, prospectively or retroactively, a Person from the Common Stock Ownership Limit or the Aggregate Stock Ownership Limit, as the case may be, and may establish or increase an Excepted Holder Limit for such Person if: (i) such Person submits to the Board of Directors information satisfactory to the Board of Directors, in its reasonable discretion, demonstrating that such Person is not an individual for purposes of Section 542(a)(2) of the Code (determined</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020"/>
          </w:cols>
          <w:pgMar w:left="400" w:top="903" w:right="479" w:bottom="1440" w:gutter="0" w:footer="0" w:header="0"/>
        </w:sectPr>
      </w:pPr>
    </w:p>
    <w:bookmarkStart w:id="218" w:name="page219"/>
    <w:bookmarkEnd w:id="218"/>
    <w:p>
      <w:pPr>
        <w:spacing w:after="0" w:line="267" w:lineRule="auto"/>
        <w:rPr>
          <w:sz w:val="20"/>
          <w:szCs w:val="20"/>
          <w:color w:val="auto"/>
        </w:rPr>
      </w:pPr>
      <w:r>
        <w:rPr>
          <w:rFonts w:ascii="Arial" w:cs="Arial" w:eastAsia="Arial" w:hAnsi="Arial"/>
          <w:sz w:val="13"/>
          <w:szCs w:val="13"/>
          <w:color w:val="auto"/>
        </w:rPr>
        <w:t>taking into account Section 856(h)(3)(A) of the Code); (ii) such Person submits to the Board of Directors information satisfactory to the Board, in its reasonable discretion, demonstrating that no Person who is an individual for purposes of Section 542(a)(2) of the Code (determined taking into account Section 856(h)(3)(A) of the Code) would be considered to Beneficially Own shares of Common Stock in excess of the Common Stock Ownership Limit or Capital Stock in excess of the Aggregate Stock Ownership Limit, (iii) such Person submits to the Board of Directors information satisfactory to the Board of Directors, in its reasonable discretion, demonstrating that clauses (1), (2) and (3) of subparagraph (a)(ii) of Section 7.2.1 will not be violated by reason of such Person’s ownership of Common Stock in excess of the Common Stock Ownership Limit or Capital Stock in excess of the Aggregate Stock Ownership Limit pursuant to the exemption granted under this subparagraph 7.2.7(a); and (iv) such Person provides to the Board of Directors such representations and undertakings, if any, as the Board of Directors may, in its reasonable discretion, require to ensure that the conditions in clauses (i), (ii) and (iii) hereof are satisfied and will continue to be satisfied throughout the period during which such Person owns Common Stock in excess of the Common Stock Ownership Limit or Capital Stock in excess of the Aggregate Stock Ownership Limit pursuant to any exemption thereto granted under this subparagraph (a), and such Person agrees that any violation of such representations and undertakings or any attempted violation thereof will result in the application of the remedies set forth in Section 7.2 (including without limitation, Section 7.2.5) with respect to shares of Common Stock held in excess of the Common Stock Ownership Limit or Capital Stock held in excess of the Aggregate Stock Ownership Limit with respect to such Person (determined without regard to the exemption granted such Person under this subparagraph (a)).</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980"/>
          </w:cols>
          <w:pgMar w:left="400" w:top="903" w:right="519" w:bottom="1440" w:gutter="0" w:footer="0" w:header="0"/>
        </w:sectPr>
      </w:pPr>
    </w:p>
    <w:bookmarkStart w:id="219" w:name="page220"/>
    <w:bookmarkEnd w:id="219"/>
    <w:p>
      <w:pPr>
        <w:ind w:left="-120" w:right="160" w:firstLine="1779"/>
        <w:spacing w:after="0" w:line="286" w:lineRule="auto"/>
        <w:tabs>
          <w:tab w:leader="none" w:pos="196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Prior to granting any exception pursuant to Section 7.2.7(a), the Board of Directors may require a ruling from the Internal Revenue Service or an opinion of counsel, in either case in form and substance satisfactory to the Board of Directors as it may deem necessary or advisable in order to determine or ensure the Corporation’s status as a REIT; provided, however, that the Board of Directors shall not be obligated to require obtaining a favorable ruling or opinion in order to grant an exception hereunder.</w:t>
      </w:r>
    </w:p>
    <w:p>
      <w:pPr>
        <w:spacing w:after="0" w:line="38" w:lineRule="exact"/>
        <w:rPr>
          <w:rFonts w:ascii="Arial" w:cs="Arial" w:eastAsia="Arial" w:hAnsi="Arial"/>
          <w:sz w:val="13"/>
          <w:szCs w:val="13"/>
          <w:color w:val="auto"/>
        </w:rPr>
      </w:pPr>
    </w:p>
    <w:p>
      <w:pPr>
        <w:ind w:left="-120" w:right="240" w:firstLine="1779"/>
        <w:spacing w:after="0" w:line="269" w:lineRule="auto"/>
        <w:tabs>
          <w:tab w:leader="none" w:pos="1956" w:val="left"/>
        </w:tabs>
        <w:numPr>
          <w:ilvl w:val="0"/>
          <w:numId w:val="140"/>
        </w:numPr>
        <w:rPr>
          <w:rFonts w:ascii="Arial" w:cs="Arial" w:eastAsia="Arial" w:hAnsi="Arial"/>
          <w:sz w:val="13"/>
          <w:szCs w:val="13"/>
          <w:color w:val="auto"/>
        </w:rPr>
      </w:pPr>
      <w:r>
        <w:rPr>
          <w:rFonts w:ascii="Arial" w:cs="Arial" w:eastAsia="Arial" w:hAnsi="Arial"/>
          <w:sz w:val="13"/>
          <w:szCs w:val="13"/>
          <w:color w:val="auto"/>
        </w:rPr>
        <w:t>Subject to Section 7.2.1(a)(ii), an underwriter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or the Common Stock Ownership Limit, but only to the extent necessary to facilitate such public offering or private placement.</w:t>
      </w:r>
    </w:p>
    <w:p>
      <w:pPr>
        <w:ind w:left="-120" w:right="340" w:firstLine="1779"/>
        <w:spacing w:after="0" w:line="253" w:lineRule="auto"/>
        <w:tabs>
          <w:tab w:leader="none" w:pos="196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 connection with granting any exemption or waiver pursuant to Section 7.2.7(a), the Board of Directors may include such terms and conditions in such waiver as it determines are advisable.</w:t>
      </w:r>
    </w:p>
    <w:p>
      <w:pPr>
        <w:spacing w:after="0" w:line="69" w:lineRule="exact"/>
        <w:rPr>
          <w:rFonts w:ascii="Arial" w:cs="Arial" w:eastAsia="Arial" w:hAnsi="Arial"/>
          <w:sz w:val="14"/>
          <w:szCs w:val="14"/>
          <w:color w:val="auto"/>
        </w:rPr>
      </w:pPr>
    </w:p>
    <w:p>
      <w:pPr>
        <w:ind w:left="-120" w:firstLine="1779"/>
        <w:spacing w:after="0" w:line="257" w:lineRule="auto"/>
        <w:tabs>
          <w:tab w:leader="none" w:pos="1953"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Board of Directors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Stock Ownership Limit.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860"/>
          </w:cols>
          <w:pgMar w:left="520" w:top="821" w:right="519" w:bottom="1440" w:gutter="0" w:footer="0" w:header="0"/>
        </w:sectPr>
      </w:pPr>
    </w:p>
    <w:bookmarkStart w:id="220" w:name="page221"/>
    <w:bookmarkEnd w:id="220"/>
    <w:p>
      <w:pPr>
        <w:ind w:left="20" w:firstLine="702"/>
        <w:spacing w:after="0" w:line="247" w:lineRule="auto"/>
        <w:rPr>
          <w:sz w:val="20"/>
          <w:szCs w:val="20"/>
          <w:color w:val="auto"/>
        </w:rPr>
      </w:pPr>
      <w:r>
        <w:rPr>
          <w:rFonts w:ascii="Arial" w:cs="Arial" w:eastAsia="Arial" w:hAnsi="Arial"/>
          <w:sz w:val="14"/>
          <w:szCs w:val="14"/>
          <w:color w:val="auto"/>
        </w:rPr>
        <w:t xml:space="preserve">Section 7.2.8 </w:t>
      </w:r>
      <w:r>
        <w:rPr>
          <w:rFonts w:ascii="Arial" w:cs="Arial" w:eastAsia="Arial" w:hAnsi="Arial"/>
          <w:sz w:val="14"/>
          <w:szCs w:val="14"/>
          <w:u w:val="single" w:color="auto"/>
          <w:color w:val="auto"/>
        </w:rPr>
        <w:t>Increase or Decrease in Common Stock Ownership or Aggregate Stock Ownership Limits</w:t>
      </w:r>
      <w:r>
        <w:rPr>
          <w:rFonts w:ascii="Arial" w:cs="Arial" w:eastAsia="Arial" w:hAnsi="Arial"/>
          <w:sz w:val="14"/>
          <w:szCs w:val="14"/>
          <w:color w:val="auto"/>
        </w:rPr>
        <w:t xml:space="preserve">. Subject to Section 7.2.1(a)(ii) and this Section 7.2.8, the Board of Directors may from time to time increase or decrease the Common Stock Ownership Limit and the Aggregate Stock Ownership Limit for one or more Persons and increase or decrease the Common Stock Ownership Limit and the Aggregate Stock Ownership Limit for all other Persons. No decreased Common Stock Ownership Limit or Aggregate Stock Ownership Limit will be effective for any Person whose percentage of ownership of Capital Stock is in excess of such decreased Common Stock Ownership Limit or Aggregate Stock Ownership Limit, as applicable, until such time as such Person’s percentage of ownership of Capital Stock equals or falls below the decreased Common Stock Ownership Limit or Aggregate Stock Ownership Limit, as applicable; provided, </w:t>
      </w:r>
      <w:r>
        <w:rPr>
          <w:rFonts w:ascii="Arial" w:cs="Arial" w:eastAsia="Arial" w:hAnsi="Arial"/>
          <w:sz w:val="14"/>
          <w:szCs w:val="14"/>
          <w:u w:val="single" w:color="auto"/>
          <w:color w:val="auto"/>
        </w:rPr>
        <w:t>however</w:t>
      </w:r>
      <w:r>
        <w:rPr>
          <w:rFonts w:ascii="Arial" w:cs="Arial" w:eastAsia="Arial" w:hAnsi="Arial"/>
          <w:sz w:val="14"/>
          <w:szCs w:val="14"/>
          <w:color w:val="auto"/>
        </w:rPr>
        <w:t>, any further acquisition of Capital Stock by any such Person (other than a Person for whom an exemption has been granted pursuant to Section 7.2.7(a) or an Excepted Holder) in excess of the Capital Stock owned by such person on the date the decreased Common Stock Ownership Limit or Aggregate Stock Ownership Limit, as applicable, became effective will be in violation of the Common Stock Ownership Limit or Aggregate Stock Ownership Limit. No increase to the Common Stock Ownership Limit or Aggregate Stock Ownership Limit may be approved if the new Common Stock Ownership Limit and/or Aggregate Stock Ownership Limit would allow five or fewer Persons to Beneficially Own, in the aggregate more than 49.9% in value of the outstanding Capital Stock.</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Section 7.2.9 </w:t>
      </w:r>
      <w:r>
        <w:rPr>
          <w:rFonts w:ascii="Arial" w:cs="Arial" w:eastAsia="Arial" w:hAnsi="Arial"/>
          <w:sz w:val="14"/>
          <w:szCs w:val="14"/>
          <w:u w:val="single" w:color="auto"/>
          <w:color w:val="auto"/>
        </w:rPr>
        <w:t>Le</w:t>
      </w:r>
      <w:r>
        <w:rPr>
          <w:rFonts w:ascii="Arial" w:cs="Arial" w:eastAsia="Arial" w:hAnsi="Arial"/>
          <w:sz w:val="14"/>
          <w:szCs w:val="14"/>
          <w:color w:val="auto"/>
        </w:rPr>
        <w:t>g</w:t>
      </w:r>
      <w:r>
        <w:rPr>
          <w:rFonts w:ascii="Arial" w:cs="Arial" w:eastAsia="Arial" w:hAnsi="Arial"/>
          <w:sz w:val="14"/>
          <w:szCs w:val="14"/>
          <w:u w:val="single" w:color="auto"/>
          <w:color w:val="auto"/>
        </w:rPr>
        <w:t>end</w:t>
      </w:r>
      <w:r>
        <w:rPr>
          <w:rFonts w:ascii="Arial" w:cs="Arial" w:eastAsia="Arial" w:hAnsi="Arial"/>
          <w:sz w:val="14"/>
          <w:szCs w:val="14"/>
          <w:color w:val="auto"/>
        </w:rPr>
        <w:t>. Each certificate for shares of Capital Stock shall bear substantially the following legend:</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The shares represented by this certificate are subject to restrictions on Beneficial and Constructive Ownership and Transfer for the purpose, among others, of the Corporation’s maintenance of its status as a Real Estate Investment Trust under the Code. Subject to certain further restrictions and except as expressly provided in the Corporation’s Charter, (i) no Person may Beneficially Own or Constructively Own shares of the Corporation’s Common Stock in excess of the Common Stock Ownership Limit unless such Person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040"/>
          </w:cols>
          <w:pgMar w:left="380" w:top="903" w:right="479" w:bottom="1440" w:gutter="0" w:footer="0" w:header="0"/>
        </w:sectPr>
      </w:pPr>
    </w:p>
    <w:bookmarkStart w:id="221" w:name="page222"/>
    <w:bookmarkEnd w:id="221"/>
    <w:p>
      <w:pPr>
        <w:ind w:right="40"/>
        <w:spacing w:after="0" w:line="291" w:lineRule="auto"/>
        <w:rPr>
          <w:sz w:val="20"/>
          <w:szCs w:val="20"/>
          <w:color w:val="auto"/>
        </w:rPr>
      </w:pPr>
      <w:r>
        <w:rPr>
          <w:rFonts w:ascii="Arial" w:cs="Arial" w:eastAsia="Arial" w:hAnsi="Arial"/>
          <w:sz w:val="12"/>
          <w:szCs w:val="12"/>
          <w:color w:val="auto"/>
        </w:rPr>
        <w:t>is an Excepted Holder (in which case the Excepted Holder Limit shall be applicable); (ii) no Person may Beneficially Own or Constructively Own shares of Capital Stock of the Corporation in excess of the Aggregate Stock Ownership Limit, unless such Person is an Excepted Holder (in which case the Excepted Holder Limit shall be applicable); (iii) no Person may Beneficially Own or Constructively Own Capital Stock that would result in the Corporation being “closely held” under Section 856(h) of the Code or otherwise cause the Corporation to fail to qualify as a REIT; and</w:t>
      </w:r>
    </w:p>
    <w:p>
      <w:pPr>
        <w:spacing w:after="0" w:line="1" w:lineRule="exact"/>
        <w:rPr>
          <w:sz w:val="20"/>
          <w:szCs w:val="20"/>
          <w:color w:val="auto"/>
        </w:rPr>
      </w:pPr>
    </w:p>
    <w:p>
      <w:pPr>
        <w:ind w:firstLine="4"/>
        <w:spacing w:after="0" w:line="291" w:lineRule="auto"/>
        <w:tabs>
          <w:tab w:leader="none" w:pos="238" w:val="left"/>
        </w:tabs>
        <w:numPr>
          <w:ilvl w:val="0"/>
          <w:numId w:val="141"/>
        </w:numPr>
        <w:rPr>
          <w:rFonts w:ascii="Arial" w:cs="Arial" w:eastAsia="Arial" w:hAnsi="Arial"/>
          <w:sz w:val="12"/>
          <w:szCs w:val="12"/>
          <w:color w:val="auto"/>
        </w:rPr>
      </w:pPr>
      <w:r>
        <w:rPr>
          <w:rFonts w:ascii="Arial" w:cs="Arial" w:eastAsia="Arial" w:hAnsi="Arial"/>
          <w:sz w:val="12"/>
          <w:szCs w:val="12"/>
          <w:color w:val="auto"/>
        </w:rPr>
        <w:t xml:space="preserve">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restrictions on transfer or ownership are violated, the shares of Capital Stock represented hereby will be automatically transferred to a Trustee of a Trust for the benefit of one or more Charitable Beneficiaries. In addition, the Corporation may redeem shares upon the terms and conditions specified by the Board of Directors in its sole and absolute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Arial" w:cs="Arial" w:eastAsia="Arial" w:hAnsi="Arial"/>
          <w:sz w:val="12"/>
          <w:szCs w:val="12"/>
          <w:u w:val="single" w:color="auto"/>
          <w:color w:val="auto"/>
        </w:rPr>
        <w:t>ab initio</w:t>
      </w:r>
      <w:r>
        <w:rPr>
          <w:rFonts w:ascii="Arial" w:cs="Arial" w:eastAsia="Arial" w:hAnsi="Arial"/>
          <w:sz w:val="12"/>
          <w:szCs w:val="12"/>
          <w:color w:val="auto"/>
        </w:rPr>
        <w:t>. All capitalized terms in this legend have the meanings defined in the Charter of the Corporation, as the same may be amended from time to time, a copy of which, including the restrictions on transfer and ownership, will be furnished to each holder of Capital Stock of the Corporation on request and without charge. Requests for such a copy may be directed to the Secretary of the Corporation at its principal office.</w:t>
      </w:r>
    </w:p>
    <w:p>
      <w:pPr>
        <w:spacing w:after="0" w:line="181" w:lineRule="exact"/>
        <w:rPr>
          <w:sz w:val="20"/>
          <w:szCs w:val="20"/>
          <w:color w:val="auto"/>
        </w:rPr>
      </w:pPr>
    </w:p>
    <w:p>
      <w:pPr>
        <w:ind w:left="20" w:right="160" w:firstLine="702"/>
        <w:spacing w:after="0" w:line="270" w:lineRule="auto"/>
        <w:rPr>
          <w:sz w:val="20"/>
          <w:szCs w:val="20"/>
          <w:color w:val="auto"/>
        </w:rPr>
      </w:pPr>
      <w:r>
        <w:rPr>
          <w:rFonts w:ascii="Arial" w:cs="Arial" w:eastAsia="Arial" w:hAnsi="Arial"/>
          <w:sz w:val="14"/>
          <w:szCs w:val="14"/>
          <w:color w:val="auto"/>
        </w:rPr>
        <w:t>Instead of the foregoing legend, the certificate may state that the Corporation will furnish a full statement about certain restrictions on transferability to a stockholder on request and without charge.</w:t>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000"/>
          </w:cols>
          <w:pgMar w:left="380" w:top="903" w:right="519" w:bottom="1440" w:gutter="0" w:footer="0" w:header="0"/>
        </w:sectPr>
      </w:pPr>
    </w:p>
    <w:bookmarkStart w:id="222" w:name="page223"/>
    <w:bookmarkEnd w:id="222"/>
    <w:p>
      <w:pPr>
        <w:ind w:left="680"/>
        <w:spacing w:after="0"/>
        <w:rPr>
          <w:sz w:val="20"/>
          <w:szCs w:val="20"/>
          <w:color w:val="auto"/>
        </w:rPr>
      </w:pPr>
      <w:r>
        <w:rPr>
          <w:rFonts w:ascii="Arial" w:cs="Arial" w:eastAsia="Arial" w:hAnsi="Arial"/>
          <w:sz w:val="14"/>
          <w:szCs w:val="14"/>
          <w:color w:val="auto"/>
        </w:rPr>
        <w:t xml:space="preserve">Section 7.3 </w:t>
      </w:r>
      <w:r>
        <w:rPr>
          <w:rFonts w:ascii="Arial" w:cs="Arial" w:eastAsia="Arial" w:hAnsi="Arial"/>
          <w:sz w:val="14"/>
          <w:szCs w:val="14"/>
          <w:u w:val="single" w:color="auto"/>
          <w:color w:val="auto"/>
        </w:rPr>
        <w:t>Transfer of Capital Stock in Trust</w:t>
      </w:r>
      <w:r>
        <w:rPr>
          <w:rFonts w:ascii="Arial" w:cs="Arial" w:eastAsia="Arial" w:hAnsi="Arial"/>
          <w:sz w:val="14"/>
          <w:szCs w:val="14"/>
          <w:color w:val="auto"/>
        </w:rPr>
        <w:t>.</w:t>
      </w:r>
    </w:p>
    <w:p>
      <w:pPr>
        <w:spacing w:after="0" w:line="213" w:lineRule="exact"/>
        <w:rPr>
          <w:sz w:val="20"/>
          <w:szCs w:val="20"/>
          <w:color w:val="auto"/>
        </w:rPr>
      </w:pPr>
    </w:p>
    <w:p>
      <w:pPr>
        <w:jc w:val="both"/>
        <w:ind w:right="180" w:firstLine="702"/>
        <w:spacing w:after="0" w:line="291" w:lineRule="auto"/>
        <w:rPr>
          <w:sz w:val="20"/>
          <w:szCs w:val="20"/>
          <w:color w:val="auto"/>
        </w:rPr>
      </w:pPr>
      <w:r>
        <w:rPr>
          <w:rFonts w:ascii="Arial" w:cs="Arial" w:eastAsia="Arial" w:hAnsi="Arial"/>
          <w:sz w:val="12"/>
          <w:szCs w:val="12"/>
          <w:color w:val="auto"/>
        </w:rPr>
        <w:t xml:space="preserve">Section 7.3.1 </w:t>
      </w:r>
      <w:r>
        <w:rPr>
          <w:rFonts w:ascii="Arial" w:cs="Arial" w:eastAsia="Arial" w:hAnsi="Arial"/>
          <w:sz w:val="12"/>
          <w:szCs w:val="12"/>
          <w:u w:val="single" w:color="auto"/>
          <w:color w:val="auto"/>
        </w:rPr>
        <w:t>Ownership in Trust</w:t>
      </w:r>
      <w:r>
        <w:rPr>
          <w:rFonts w:ascii="Arial" w:cs="Arial" w:eastAsia="Arial" w:hAnsi="Arial"/>
          <w:sz w:val="12"/>
          <w:szCs w:val="12"/>
          <w:color w:val="auto"/>
        </w:rPr>
        <w:t>. Upon any purported Transfer or other event described in Section 7.2.1(b)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7.2.1(b).</w:t>
      </w:r>
    </w:p>
    <w:p>
      <w:pPr>
        <w:spacing w:after="0" w:line="1"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auto"/>
        </w:rPr>
        <w:t>The Trustee shall be appointed by the Corporation and shall be a Person unaffiliated with the Corporation and any Prohibited Owner. Each Charitable Beneficiary shall be designated by the Corporation as provided in Section 7.3.6.</w:t>
      </w:r>
    </w:p>
    <w:p>
      <w:pPr>
        <w:spacing w:after="0" w:line="186" w:lineRule="exact"/>
        <w:rPr>
          <w:sz w:val="20"/>
          <w:szCs w:val="20"/>
          <w:color w:val="auto"/>
        </w:rPr>
      </w:pPr>
    </w:p>
    <w:p>
      <w:pPr>
        <w:jc w:val="both"/>
        <w:ind w:right="200" w:firstLine="702"/>
        <w:spacing w:after="0" w:line="257" w:lineRule="auto"/>
        <w:rPr>
          <w:sz w:val="20"/>
          <w:szCs w:val="20"/>
          <w:color w:val="auto"/>
        </w:rPr>
      </w:pPr>
      <w:r>
        <w:rPr>
          <w:rFonts w:ascii="Arial" w:cs="Arial" w:eastAsia="Arial" w:hAnsi="Arial"/>
          <w:sz w:val="14"/>
          <w:szCs w:val="14"/>
          <w:color w:val="auto"/>
        </w:rPr>
        <w:t xml:space="preserve">Section 7.3.2 </w:t>
      </w:r>
      <w:r>
        <w:rPr>
          <w:rFonts w:ascii="Arial" w:cs="Arial" w:eastAsia="Arial" w:hAnsi="Arial"/>
          <w:sz w:val="14"/>
          <w:szCs w:val="14"/>
          <w:u w:val="single" w:color="auto"/>
          <w:color w:val="auto"/>
        </w:rPr>
        <w:t>Status of Shares Held b</w:t>
      </w:r>
      <w:r>
        <w:rPr>
          <w:rFonts w:ascii="Arial" w:cs="Arial" w:eastAsia="Arial" w:hAnsi="Arial"/>
          <w:sz w:val="14"/>
          <w:szCs w:val="14"/>
          <w:color w:val="auto"/>
        </w:rPr>
        <w:t>y the Trustee. Shares of Capital Stock held by the Trustee shall be issued and outstanding shares of Capital Stock.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pacing w:after="0" w:line="184" w:lineRule="exact"/>
        <w:rPr>
          <w:sz w:val="20"/>
          <w:szCs w:val="20"/>
          <w:color w:val="auto"/>
        </w:rPr>
      </w:pPr>
    </w:p>
    <w:p>
      <w:pPr>
        <w:ind w:firstLine="702"/>
        <w:spacing w:after="0" w:line="274" w:lineRule="auto"/>
        <w:rPr>
          <w:sz w:val="20"/>
          <w:szCs w:val="20"/>
          <w:color w:val="auto"/>
        </w:rPr>
      </w:pPr>
      <w:r>
        <w:rPr>
          <w:rFonts w:ascii="Arial" w:cs="Arial" w:eastAsia="Arial" w:hAnsi="Arial"/>
          <w:sz w:val="13"/>
          <w:szCs w:val="13"/>
          <w:color w:val="auto"/>
        </w:rPr>
        <w:t xml:space="preserve">Section 7.3.3 </w:t>
      </w:r>
      <w:r>
        <w:rPr>
          <w:rFonts w:ascii="Arial" w:cs="Arial" w:eastAsia="Arial" w:hAnsi="Arial"/>
          <w:sz w:val="13"/>
          <w:szCs w:val="13"/>
          <w:u w:val="single" w:color="auto"/>
          <w:color w:val="auto"/>
        </w:rPr>
        <w:t>Dividend and Votin</w:t>
      </w:r>
      <w:r>
        <w:rPr>
          <w:rFonts w:ascii="Arial" w:cs="Arial" w:eastAsia="Arial" w:hAnsi="Arial"/>
          <w:sz w:val="13"/>
          <w:szCs w:val="13"/>
          <w:color w:val="auto"/>
        </w:rPr>
        <w:t xml:space="preserve">g </w:t>
      </w:r>
      <w:r>
        <w:rPr>
          <w:rFonts w:ascii="Arial" w:cs="Arial" w:eastAsia="Arial" w:hAnsi="Arial"/>
          <w:sz w:val="13"/>
          <w:szCs w:val="13"/>
          <w:u w:val="single" w:color="auto"/>
          <w:color w:val="auto"/>
        </w:rPr>
        <w:t>Rights</w:t>
      </w:r>
      <w:r>
        <w:rPr>
          <w:rFonts w:ascii="Arial" w:cs="Arial" w:eastAsia="Arial" w:hAnsi="Arial"/>
          <w:sz w:val="13"/>
          <w:szCs w:val="13"/>
          <w:color w:val="auto"/>
        </w:rPr>
        <w:t>. The Trustee shall have all voting rights and rights to dividends or other distributions with respect to shares of Capital Stock held in the Trust, which rights shall be exercised for the exclusive benefit of the Charitable Beneficiary. Any dividend or other distribution paid prior to the discovery by the Corporation that the shares of Capital Stock have been transferred to the Trustee shall be paid by the recipient of such dividend or other distribution to the Trustee upon demand and any dividend or other distribution authorized but unpaid shall be paid when due to the Trustee. Any dividend or other distribution so paid to the Trustee shall be held in trust for the Charitable Beneficiary. The Prohibited Owner shall have no voting rights with respect to shares held in the Trust and, subject to Maryland law, effective as of the date that the shares of Capital Stock have been transferred to</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020"/>
          </w:cols>
          <w:pgMar w:left="400" w:top="891" w:right="479" w:bottom="1440" w:gutter="0" w:footer="0" w:header="0"/>
        </w:sectPr>
      </w:pPr>
    </w:p>
    <w:bookmarkStart w:id="223" w:name="page224"/>
    <w:bookmarkEnd w:id="223"/>
    <w:p>
      <w:pPr>
        <w:spacing w:after="0" w:line="274" w:lineRule="auto"/>
        <w:rPr>
          <w:sz w:val="20"/>
          <w:szCs w:val="20"/>
          <w:color w:val="auto"/>
        </w:rPr>
      </w:pPr>
      <w:r>
        <w:rPr>
          <w:rFonts w:ascii="Arial" w:cs="Arial" w:eastAsia="Arial" w:hAnsi="Arial"/>
          <w:sz w:val="13"/>
          <w:szCs w:val="13"/>
          <w:color w:val="auto"/>
        </w:rPr>
        <w:t>the Trustee, the Trustee shall have the authority (at the Trustee’s sole and absolute discretion) (i) to rescind as void any vote cast by a Prohibited Owner prior to the discovery by the Corporation that the shares of Capital Stock have been transferred to the Trustee and (ii) to recast such vote; provided, however, that if the Corporation has already taken irreversible corporate action, then the Trustee shall not have the authority to rescind and recast such vote. Notwithstanding the provisions of this Article VII, until the Corporation has received notification that shares of Capital Stock have been transferred into a Trust, the Corporation shall be entitled to rely on its stock transfer and other stockholder records for purposes of preparing lists of stockholders entitled to vote at meetings, determining the validity and authority of proxies and otherwise conducting votes and determining the other rights of stockholders.</w:t>
      </w:r>
    </w:p>
    <w:p>
      <w:pPr>
        <w:spacing w:after="0" w:line="187" w:lineRule="exact"/>
        <w:rPr>
          <w:sz w:val="20"/>
          <w:szCs w:val="20"/>
          <w:color w:val="auto"/>
        </w:rPr>
      </w:pPr>
    </w:p>
    <w:p>
      <w:pPr>
        <w:ind w:firstLine="702"/>
        <w:spacing w:after="0" w:line="248" w:lineRule="auto"/>
        <w:rPr>
          <w:sz w:val="20"/>
          <w:szCs w:val="20"/>
          <w:color w:val="auto"/>
        </w:rPr>
      </w:pPr>
      <w:r>
        <w:rPr>
          <w:rFonts w:ascii="Arial" w:cs="Arial" w:eastAsia="Arial" w:hAnsi="Arial"/>
          <w:sz w:val="14"/>
          <w:szCs w:val="14"/>
          <w:color w:val="auto"/>
        </w:rPr>
        <w:t xml:space="preserve">Section 7.3.4 </w:t>
      </w:r>
      <w:r>
        <w:rPr>
          <w:rFonts w:ascii="Arial" w:cs="Arial" w:eastAsia="Arial" w:hAnsi="Arial"/>
          <w:sz w:val="14"/>
          <w:szCs w:val="14"/>
          <w:u w:val="single" w:color="auto"/>
          <w:color w:val="auto"/>
        </w:rPr>
        <w:t>Sale of Shares b</w:t>
      </w:r>
      <w:r>
        <w:rPr>
          <w:rFonts w:ascii="Arial" w:cs="Arial" w:eastAsia="Arial" w:hAnsi="Arial"/>
          <w:sz w:val="14"/>
          <w:szCs w:val="14"/>
          <w:color w:val="auto"/>
        </w:rPr>
        <w:t>y Trustee.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Trust (</w:t>
      </w:r>
      <w:r>
        <w:rPr>
          <w:rFonts w:ascii="Arial" w:cs="Arial" w:eastAsia="Arial" w:hAnsi="Arial"/>
          <w:sz w:val="14"/>
          <w:szCs w:val="14"/>
          <w:i w:val="1"/>
          <w:iCs w:val="1"/>
          <w:color w:val="auto"/>
        </w:rPr>
        <w:t>e.g.</w:t>
      </w:r>
      <w:r>
        <w:rPr>
          <w:rFonts w:ascii="Arial" w:cs="Arial" w:eastAsia="Arial" w:hAnsi="Arial"/>
          <w:sz w:val="14"/>
          <w:szCs w:val="14"/>
          <w:color w:val="auto"/>
        </w:rPr>
        <w:t>, in the case of a gift, devise or other such transaction), the Market Price of the shares on the day of the event causing the shares to be held in the Trust and (2) the price per share received by the Trustee (net of any commissions and other expenses of sale) from the sale or other disposition of the shares held in the Trust. The Trustee may reduce the amount payable</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900"/>
          </w:cols>
          <w:pgMar w:left="400" w:top="903" w:right="599" w:bottom="1440" w:gutter="0" w:footer="0" w:header="0"/>
        </w:sectPr>
      </w:pPr>
    </w:p>
    <w:bookmarkStart w:id="224" w:name="page225"/>
    <w:bookmarkEnd w:id="224"/>
    <w:p>
      <w:pPr>
        <w:ind w:left="1" w:right="60"/>
        <w:spacing w:after="0" w:line="250" w:lineRule="auto"/>
        <w:rPr>
          <w:sz w:val="20"/>
          <w:szCs w:val="20"/>
          <w:color w:val="auto"/>
        </w:rPr>
      </w:pPr>
      <w:r>
        <w:rPr>
          <w:rFonts w:ascii="Arial" w:cs="Arial" w:eastAsia="Arial" w:hAnsi="Arial"/>
          <w:sz w:val="14"/>
          <w:szCs w:val="14"/>
          <w:color w:val="auto"/>
        </w:rPr>
        <w:t>to the Prohibited Owner by the amount of dividends and other distributions which have been paid to the Prohibited Owner and are owed by the Prohibited Owner to the Trustee pursuant to Section 7.3.3 of this Article VII.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(i) such shares shall be deemed to have been sold on behalf of the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202" w:lineRule="exact"/>
        <w:rPr>
          <w:sz w:val="20"/>
          <w:szCs w:val="20"/>
          <w:color w:val="auto"/>
        </w:rPr>
      </w:pPr>
    </w:p>
    <w:p>
      <w:pPr>
        <w:jc w:val="both"/>
        <w:ind w:left="1" w:firstLine="702"/>
        <w:spacing w:after="0" w:line="250" w:lineRule="auto"/>
        <w:rPr>
          <w:sz w:val="20"/>
          <w:szCs w:val="20"/>
          <w:color w:val="auto"/>
        </w:rPr>
      </w:pPr>
      <w:r>
        <w:rPr>
          <w:rFonts w:ascii="Arial" w:cs="Arial" w:eastAsia="Arial" w:hAnsi="Arial"/>
          <w:sz w:val="14"/>
          <w:szCs w:val="14"/>
          <w:color w:val="auto"/>
        </w:rPr>
        <w:t xml:space="preserve">Section 7.3.5 </w:t>
      </w:r>
      <w:r>
        <w:rPr>
          <w:rFonts w:ascii="Arial" w:cs="Arial" w:eastAsia="Arial" w:hAnsi="Arial"/>
          <w:sz w:val="14"/>
          <w:szCs w:val="14"/>
          <w:u w:val="single" w:color="auto"/>
          <w:color w:val="auto"/>
        </w:rPr>
        <w:t>Purchase R</w:t>
      </w:r>
      <w:r>
        <w:rPr>
          <w:rFonts w:ascii="Arial" w:cs="Arial" w:eastAsia="Arial" w:hAnsi="Arial"/>
          <w:sz w:val="14"/>
          <w:szCs w:val="14"/>
          <w:color w:val="auto"/>
        </w:rPr>
        <w:t>ig</w:t>
      </w:r>
      <w:r>
        <w:rPr>
          <w:rFonts w:ascii="Arial" w:cs="Arial" w:eastAsia="Arial" w:hAnsi="Arial"/>
          <w:sz w:val="14"/>
          <w:szCs w:val="14"/>
          <w:u w:val="single" w:color="auto"/>
          <w:color w:val="auto"/>
        </w:rPr>
        <w:t>ht in Stock Transferred to the Trustee</w:t>
      </w:r>
      <w:r>
        <w:rPr>
          <w:rFonts w:ascii="Arial" w:cs="Arial" w:eastAsia="Arial" w:hAnsi="Arial"/>
          <w:sz w:val="14"/>
          <w:szCs w:val="14"/>
          <w:color w:val="auto"/>
        </w:rPr>
        <w:t>.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w:t>
      </w:r>
    </w:p>
    <w:p>
      <w:pPr>
        <w:ind w:left="1" w:right="20" w:hanging="1"/>
        <w:spacing w:after="0" w:line="246" w:lineRule="auto"/>
        <w:tabs>
          <w:tab w:leader="none" w:pos="207"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Market Price on the date the Corporation, or its designee, accepts such offer. The Corporation may reduce the amount payable to the Prohibited Owner by the amount of dividends and other distributions which have been paid to the Prohibited Owner and are owed by the Prohibited Owner to the Trustee pursuant to Section 7.3.3 of this Article VII. The Corporation may pay the amount of such reduction to the Trustee for the benefit of the Charitable Beneficiary. The Corporation shall have the right to accept such offer until the Trustee has sold the shares held in the Trust pursuant to Section 7.3.4. Upon such a sale to the Corporation, the interest of the Charitable Beneficiary in the shares sold shall terminate and the Trustee shall distribute the net proceeds of the sale to the Prohibited Owner.</w:t>
      </w:r>
    </w:p>
    <w:p>
      <w:pPr>
        <w:spacing w:after="0" w:line="8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041"/>
          </w:cols>
          <w:pgMar w:left="399" w:top="903" w:right="459" w:bottom="1440" w:gutter="0" w:footer="0" w:header="0"/>
        </w:sectPr>
      </w:pPr>
    </w:p>
    <w:bookmarkStart w:id="225" w:name="page226"/>
    <w:bookmarkEnd w:id="225"/>
    <w:p>
      <w:pPr>
        <w:ind w:right="20" w:firstLine="702"/>
        <w:spacing w:after="0" w:line="274" w:lineRule="auto"/>
        <w:rPr>
          <w:sz w:val="20"/>
          <w:szCs w:val="20"/>
          <w:color w:val="auto"/>
        </w:rPr>
      </w:pPr>
      <w:r>
        <w:rPr>
          <w:rFonts w:ascii="Arial" w:cs="Arial" w:eastAsia="Arial" w:hAnsi="Arial"/>
          <w:sz w:val="13"/>
          <w:szCs w:val="13"/>
          <w:color w:val="auto"/>
        </w:rPr>
        <w:t xml:space="preserve">Section 7.3.6 </w:t>
      </w:r>
      <w:r>
        <w:rPr>
          <w:rFonts w:ascii="Arial" w:cs="Arial" w:eastAsia="Arial" w:hAnsi="Arial"/>
          <w:sz w:val="13"/>
          <w:szCs w:val="13"/>
          <w:u w:val="single" w:color="auto"/>
          <w:color w:val="auto"/>
        </w:rPr>
        <w:t>Des</w:t>
      </w:r>
      <w:r>
        <w:rPr>
          <w:rFonts w:ascii="Arial" w:cs="Arial" w:eastAsia="Arial" w:hAnsi="Arial"/>
          <w:sz w:val="13"/>
          <w:szCs w:val="13"/>
          <w:color w:val="auto"/>
        </w:rPr>
        <w:t>ig</w:t>
      </w:r>
      <w:r>
        <w:rPr>
          <w:rFonts w:ascii="Arial" w:cs="Arial" w:eastAsia="Arial" w:hAnsi="Arial"/>
          <w:sz w:val="13"/>
          <w:szCs w:val="13"/>
          <w:u w:val="single" w:color="auto"/>
          <w:color w:val="auto"/>
        </w:rPr>
        <w:t>nation of Charitable Beneficiaries</w:t>
      </w:r>
      <w:r>
        <w:rPr>
          <w:rFonts w:ascii="Arial" w:cs="Arial" w:eastAsia="Arial" w:hAnsi="Arial"/>
          <w:sz w:val="13"/>
          <w:szCs w:val="13"/>
          <w:color w:val="auto"/>
        </w:rPr>
        <w:t>. By written notice to the Trustee, the Corporation shall designate one or more nonprofit organizations to be the Charitable Beneficiary of the interest in the Trust such that (1) the shares of Capital Stock held in the Trust would not violate the restrictions set forth in Section 7.2.1(a) in the hands of such Charitable Beneficiary and (2) each such organization must be described in Section 501(c)(3) of the Code and contributions to each such organization must be eligible for deduction under each of Sections 170(b)(1)(A), 2055 and 2522 of the Code. Neither the failure of the Corporation to make such designation nor the failure of the Corporation to appoint the Trustee before the automatic transfer provided in Section 7.2.1(b) shall make such transfer ineffective, provided that the Corporation thereafter makes such designation and appointment.</w:t>
      </w:r>
    </w:p>
    <w:p>
      <w:pPr>
        <w:spacing w:after="0" w:line="187" w:lineRule="exact"/>
        <w:rPr>
          <w:sz w:val="20"/>
          <w:szCs w:val="20"/>
          <w:color w:val="auto"/>
        </w:rPr>
      </w:pPr>
    </w:p>
    <w:p>
      <w:pPr>
        <w:ind w:firstLine="677"/>
        <w:spacing w:after="0" w:line="257"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NYSE Transactions</w:t>
      </w:r>
      <w:r>
        <w:rPr>
          <w:rFonts w:ascii="Arial" w:cs="Arial" w:eastAsia="Arial" w:hAnsi="Arial"/>
          <w:sz w:val="14"/>
          <w:szCs w:val="14"/>
          <w:color w:val="auto"/>
        </w:rPr>
        <w:t>.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Enforcement</w:t>
      </w:r>
      <w:r>
        <w:rPr>
          <w:rFonts w:ascii="Arial" w:cs="Arial" w:eastAsia="Arial" w:hAnsi="Arial"/>
          <w:sz w:val="14"/>
          <w:szCs w:val="14"/>
          <w:color w:val="auto"/>
        </w:rPr>
        <w:t>. The Corporation is authorized specifically to seek equitable relief, including injunctive relief, to enforce the provisions of this Article VII.</w:t>
      </w:r>
    </w:p>
    <w:p>
      <w:pPr>
        <w:spacing w:after="0" w:line="213" w:lineRule="exact"/>
        <w:rPr>
          <w:sz w:val="20"/>
          <w:szCs w:val="20"/>
          <w:color w:val="auto"/>
        </w:rPr>
      </w:pPr>
    </w:p>
    <w:p>
      <w:pPr>
        <w:ind w:right="160" w:firstLine="677"/>
        <w:spacing w:after="0" w:line="270" w:lineRule="auto"/>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Non-Waiver</w:t>
      </w:r>
      <w:r>
        <w:rPr>
          <w:rFonts w:ascii="Arial" w:cs="Arial" w:eastAsia="Arial" w:hAnsi="Arial"/>
          <w:sz w:val="14"/>
          <w:szCs w:val="14"/>
          <w:color w:val="auto"/>
        </w:rPr>
        <w:t>.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7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840"/>
          </w:cols>
          <w:pgMar w:left="400" w:top="903" w:right="659" w:bottom="1440" w:gutter="0" w:footer="0" w:header="0"/>
        </w:sectPr>
      </w:pPr>
    </w:p>
    <w:bookmarkStart w:id="226" w:name="page227"/>
    <w:bookmarkEnd w:id="226"/>
    <w:p>
      <w:pPr>
        <w:jc w:val="center"/>
        <w:ind w:right="-79"/>
        <w:spacing w:after="0"/>
        <w:rPr>
          <w:sz w:val="20"/>
          <w:szCs w:val="20"/>
          <w:color w:val="auto"/>
        </w:rPr>
      </w:pPr>
      <w:r>
        <w:rPr>
          <w:rFonts w:ascii="Arial" w:cs="Arial" w:eastAsia="Arial" w:hAnsi="Arial"/>
          <w:sz w:val="14"/>
          <w:szCs w:val="14"/>
          <w:b w:val="1"/>
          <w:bCs w:val="1"/>
          <w:color w:val="auto"/>
        </w:rPr>
        <w:t>ARTICLE VIII AMENDMENTS</w:t>
      </w:r>
    </w:p>
    <w:p>
      <w:pPr>
        <w:spacing w:after="0" w:line="112" w:lineRule="exact"/>
        <w:rPr>
          <w:sz w:val="20"/>
          <w:szCs w:val="20"/>
          <w:color w:val="auto"/>
        </w:rPr>
      </w:pPr>
    </w:p>
    <w:p>
      <w:pPr>
        <w:ind w:right="20" w:firstLine="677"/>
        <w:spacing w:after="0" w:line="250" w:lineRule="auto"/>
        <w:rPr>
          <w:sz w:val="20"/>
          <w:szCs w:val="20"/>
          <w:color w:val="auto"/>
        </w:rPr>
      </w:pPr>
      <w:r>
        <w:rPr>
          <w:rFonts w:ascii="Arial" w:cs="Arial" w:eastAsia="Arial" w:hAnsi="Arial"/>
          <w:sz w:val="14"/>
          <w:szCs w:val="14"/>
          <w:color w:val="auto"/>
        </w:rPr>
        <w:t>The Corporation reserves the right from time to time to make any amendment to its Charter, now or hereafter authorized by law, including any amendment altering the terms or contract rights, as expressly set forth in the Charter, of any shares of outstanding stock. All rights and powers conferred by the Charter on stockholders, directors and officers are granted subject to this reservation. Except as otherwise provided in the Charter, any amendment to the Charter shall be valid only if declared advisable by the Board of Directors and approved by the affirmative vote of a majority of all the votes entitled to be cast on the matter. However, any amendment to Article VII or to this sentence of the Charter shall be valid only if declared advisable by the Board of Directors and approved by the affirmative vote of two-thirds of all the votes entitled to be cast on the matter.</w:t>
      </w:r>
    </w:p>
    <w:p>
      <w:pPr>
        <w:spacing w:after="0" w:line="200" w:lineRule="exact"/>
        <w:rPr>
          <w:sz w:val="20"/>
          <w:szCs w:val="20"/>
          <w:color w:val="auto"/>
        </w:rPr>
      </w:pPr>
    </w:p>
    <w:p>
      <w:pPr>
        <w:spacing w:after="0" w:line="279"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ARTICLE IX LIMITATION OF LIABILITY</w:t>
      </w:r>
    </w:p>
    <w:p>
      <w:pPr>
        <w:spacing w:after="0" w:line="100" w:lineRule="exact"/>
        <w:rPr>
          <w:sz w:val="20"/>
          <w:szCs w:val="20"/>
          <w:color w:val="auto"/>
        </w:rPr>
      </w:pPr>
    </w:p>
    <w:p>
      <w:pPr>
        <w:ind w:firstLine="677"/>
        <w:spacing w:after="0" w:line="253" w:lineRule="auto"/>
        <w:rPr>
          <w:sz w:val="20"/>
          <w:szCs w:val="20"/>
          <w:color w:val="auto"/>
        </w:rPr>
      </w:pPr>
      <w:r>
        <w:rPr>
          <w:rFonts w:ascii="Arial" w:cs="Arial" w:eastAsia="Arial" w:hAnsi="Arial"/>
          <w:sz w:val="14"/>
          <w:szCs w:val="14"/>
          <w:color w:val="auto"/>
        </w:rPr>
        <w:t>To the maximum extent that Maryland law in effect from time to time permits limitation of the liability of directors and officers of a corporation, no present or former director or officer of the Corporation shall be liable to the Corporation or its stockholders for money damages. Neither the amendment nor repeal of this Article IX, nor the adoption or amendment of any other provision of the Charter or Bylaws inconsistent with this Article IX, shall apply to or affect in any respect the applicability of the preceding sentence with respect to any act or failure to act which occurred prior to such amendment, repeal or adoption.</w:t>
      </w:r>
    </w:p>
    <w:p>
      <w:pPr>
        <w:spacing w:after="0" w:line="58" w:lineRule="exact"/>
        <w:rPr>
          <w:sz w:val="20"/>
          <w:szCs w:val="20"/>
          <w:color w:val="auto"/>
        </w:rPr>
      </w:pPr>
    </w:p>
    <w:p>
      <w:pPr>
        <w:ind w:right="620" w:firstLine="677"/>
        <w:spacing w:after="0" w:line="270" w:lineRule="auto"/>
        <w:rPr>
          <w:sz w:val="20"/>
          <w:szCs w:val="20"/>
          <w:color w:val="auto"/>
        </w:rPr>
      </w:pPr>
      <w:r>
        <w:rPr>
          <w:rFonts w:ascii="Arial" w:cs="Arial" w:eastAsia="Arial" w:hAnsi="Arial"/>
          <w:sz w:val="14"/>
          <w:szCs w:val="14"/>
          <w:u w:val="single" w:color="auto"/>
          <w:color w:val="auto"/>
        </w:rPr>
        <w:t>THIRD</w:t>
      </w:r>
      <w:r>
        <w:rPr>
          <w:rFonts w:ascii="Arial" w:cs="Arial" w:eastAsia="Arial" w:hAnsi="Arial"/>
          <w:sz w:val="14"/>
          <w:szCs w:val="14"/>
          <w:color w:val="auto"/>
        </w:rPr>
        <w:t>: The amendment to and restatement of the charter as hereinabove set forth have been duly advised by the Board of Directors and approved by the stockholders of the Corporation as required by law.</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020"/>
          </w:cols>
          <w:pgMar w:left="400" w:top="981" w:right="479" w:bottom="1440" w:gutter="0" w:footer="0" w:header="0"/>
        </w:sectPr>
      </w:pPr>
    </w:p>
    <w:bookmarkStart w:id="227" w:name="page228"/>
    <w:bookmarkEnd w:id="227"/>
    <w:p>
      <w:pPr>
        <w:ind w:left="680"/>
        <w:spacing w:after="0"/>
        <w:rPr>
          <w:sz w:val="20"/>
          <w:szCs w:val="20"/>
          <w:color w:val="auto"/>
        </w:rPr>
      </w:pPr>
      <w:r>
        <w:rPr>
          <w:rFonts w:ascii="Arial" w:cs="Arial" w:eastAsia="Arial" w:hAnsi="Arial"/>
          <w:sz w:val="14"/>
          <w:szCs w:val="14"/>
          <w:u w:val="single" w:color="auto"/>
          <w:color w:val="auto"/>
        </w:rPr>
        <w:t>FOURTH</w:t>
      </w:r>
      <w:r>
        <w:rPr>
          <w:rFonts w:ascii="Arial" w:cs="Arial" w:eastAsia="Arial" w:hAnsi="Arial"/>
          <w:sz w:val="14"/>
          <w:szCs w:val="14"/>
          <w:color w:val="auto"/>
        </w:rPr>
        <w:t>: The current address of the principal office of the Corporation is as set forth in Article IV of the foregoing amendment and restatement of the charter.</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u w:val="single" w:color="auto"/>
          <w:color w:val="auto"/>
        </w:rPr>
        <w:t>FIFTH</w:t>
      </w:r>
      <w:r>
        <w:rPr>
          <w:rFonts w:ascii="Arial" w:cs="Arial" w:eastAsia="Arial" w:hAnsi="Arial"/>
          <w:sz w:val="14"/>
          <w:szCs w:val="14"/>
          <w:color w:val="auto"/>
        </w:rPr>
        <w:t>: The name and address of the Corporation’s current resident agent are as set forth in Article IV of the foregoing amendment and restatement of the charter.</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2"/>
          <w:szCs w:val="12"/>
          <w:u w:val="single" w:color="auto"/>
          <w:color w:val="auto"/>
        </w:rPr>
        <w:t>SIXTH</w:t>
      </w:r>
      <w:r>
        <w:rPr>
          <w:rFonts w:ascii="Arial" w:cs="Arial" w:eastAsia="Arial" w:hAnsi="Arial"/>
          <w:sz w:val="12"/>
          <w:szCs w:val="12"/>
          <w:color w:val="auto"/>
        </w:rPr>
        <w:t>: The number of directors of the Corporation and the names of those currently in office are as set forth in Article V of the foregoing amendment and restatement of the charter.</w:t>
      </w:r>
    </w:p>
    <w:p>
      <w:pPr>
        <w:spacing w:after="0" w:line="108" w:lineRule="exact"/>
        <w:rPr>
          <w:sz w:val="20"/>
          <w:szCs w:val="20"/>
          <w:color w:val="auto"/>
        </w:rPr>
      </w:pPr>
    </w:p>
    <w:p>
      <w:pPr>
        <w:ind w:right="200" w:firstLine="677"/>
        <w:spacing w:after="0" w:line="244" w:lineRule="auto"/>
        <w:rPr>
          <w:sz w:val="20"/>
          <w:szCs w:val="20"/>
          <w:color w:val="auto"/>
        </w:rPr>
      </w:pPr>
      <w:r>
        <w:rPr>
          <w:rFonts w:ascii="Arial" w:cs="Arial" w:eastAsia="Arial" w:hAnsi="Arial"/>
          <w:sz w:val="14"/>
          <w:szCs w:val="14"/>
          <w:u w:val="single" w:color="auto"/>
          <w:color w:val="auto"/>
        </w:rPr>
        <w:t>SEVENTH</w:t>
      </w:r>
      <w:r>
        <w:rPr>
          <w:rFonts w:ascii="Arial" w:cs="Arial" w:eastAsia="Arial" w:hAnsi="Arial"/>
          <w:sz w:val="14"/>
          <w:szCs w:val="14"/>
          <w:color w:val="auto"/>
        </w:rPr>
        <w:t>: The total number of shares of stock which the Corporation had authority to issue immediately prior to this amendment and restatement was 1,500, consisting of 1,000 shares of Common Stock, $0.01 par value per share, and 500 shares of Performance Common Stock,</w:t>
      </w:r>
    </w:p>
    <w:p>
      <w:pPr>
        <w:spacing w:after="0"/>
        <w:rPr>
          <w:sz w:val="20"/>
          <w:szCs w:val="20"/>
          <w:color w:val="auto"/>
        </w:rPr>
      </w:pPr>
      <w:r>
        <w:rPr>
          <w:rFonts w:ascii="Arial" w:cs="Arial" w:eastAsia="Arial" w:hAnsi="Arial"/>
          <w:sz w:val="14"/>
          <w:szCs w:val="14"/>
          <w:color w:val="auto"/>
        </w:rPr>
        <w:t>$0.01 par value per share. The aggregate par value of all shares of stock having par value was $15.</w:t>
      </w:r>
    </w:p>
    <w:p>
      <w:pPr>
        <w:spacing w:after="0" w:line="96" w:lineRule="exact"/>
        <w:rPr>
          <w:sz w:val="20"/>
          <w:szCs w:val="20"/>
          <w:color w:val="auto"/>
        </w:rPr>
      </w:pPr>
    </w:p>
    <w:p>
      <w:pPr>
        <w:ind w:firstLine="677"/>
        <w:spacing w:after="0" w:line="249" w:lineRule="auto"/>
        <w:rPr>
          <w:sz w:val="20"/>
          <w:szCs w:val="20"/>
          <w:color w:val="auto"/>
        </w:rPr>
      </w:pPr>
      <w:r>
        <w:rPr>
          <w:rFonts w:ascii="Arial" w:cs="Arial" w:eastAsia="Arial" w:hAnsi="Arial"/>
          <w:sz w:val="14"/>
          <w:szCs w:val="14"/>
          <w:u w:val="single" w:color="auto"/>
          <w:color w:val="auto"/>
        </w:rPr>
        <w:t>EIGHTH</w:t>
      </w:r>
      <w:r>
        <w:rPr>
          <w:rFonts w:ascii="Arial" w:cs="Arial" w:eastAsia="Arial" w:hAnsi="Arial"/>
          <w:sz w:val="14"/>
          <w:szCs w:val="14"/>
          <w:color w:val="auto"/>
        </w:rPr>
        <w:t>: The total number of shares of stock which the Corporation has authority to issue pursuant to the foregoing amendment and restatement of the charter is 1,250,000,000, consisting of 949,000,000 shares of Class A Common Stock, $0.01 par value per share, 1,000,000 shares of Class B Common Stock, $0.01 par value per share, 50,000,000 shares of Performance Common Stock, $0.01 par value per share, and 250,000,000 shares of Preferred Stock, $0.01 par value per share, of which (a) 2,900,000 shares are classified and designated as 8.75% Series A Cumulative Redeemable Perpetual Preferred Stock, liquidation preference $25.00 per share, (b) 14,920,000 shares are classified and designated as 8.25% Series B Cumulative Redeemable Perpetual Preferred Stock, liquidation preference $25.00 per share, (c) 5,750,000 shares are classified and designated as 8.875% Series C Cumulative Redeemable Perpetual Preferred Stock, liquidation preference $25.00 per share, (d) 8,050,000 shares are</w:t>
      </w:r>
    </w:p>
    <w:p>
      <w:pPr>
        <w:spacing w:after="0" w:line="7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900"/>
          </w:cols>
          <w:pgMar w:left="400" w:top="903" w:right="599" w:bottom="1440" w:gutter="0" w:footer="0" w:header="0"/>
        </w:sectPr>
      </w:pPr>
    </w:p>
    <w:bookmarkStart w:id="228" w:name="page229"/>
    <w:bookmarkEnd w:id="228"/>
    <w:p>
      <w:pPr>
        <w:ind w:right="400"/>
        <w:spacing w:after="0" w:line="252" w:lineRule="auto"/>
        <w:rPr>
          <w:sz w:val="20"/>
          <w:szCs w:val="20"/>
          <w:color w:val="auto"/>
        </w:rPr>
      </w:pPr>
      <w:r>
        <w:rPr>
          <w:rFonts w:ascii="Arial" w:cs="Arial" w:eastAsia="Arial" w:hAnsi="Arial"/>
          <w:sz w:val="14"/>
          <w:szCs w:val="14"/>
          <w:color w:val="auto"/>
        </w:rPr>
        <w:t>classified and designated as 8.500% Series D Cumulative Redeemable Perpetual Preferred Stock, liquidation preference $25.00 per share, (e) 10,350,000 shares are classified and designated as 8.75% Series E Cumulative Redeemable Perpetual Preferred Stock, liquidation preference</w:t>
      </w:r>
    </w:p>
    <w:p>
      <w:pPr>
        <w:spacing w:after="0" w:line="1"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$25.00 per share, (f) 10,400,000 shares are classified and designated as 8.50% Series F Cumulative Redeemable Perpetual Preferred Stock, liquidation preference $25.00 per share, (g) 3,450,000 shares are classified and designated as 7.50% Series G Cumulative Redeemable Perpetual Preferred Stock, liquidation preference $25.00 per share, and (h) 11,500,000 shares are classified and designated as 7.125% Series H Cumulative Redeemable Perpetual Preferred Stock, liquidation preference $25.00 per share. The aggregate par value of all authorized shares of stock having par value is $12,500,000.</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NINTH</w:t>
      </w:r>
      <w:r>
        <w:rPr>
          <w:rFonts w:ascii="Arial" w:cs="Arial" w:eastAsia="Arial" w:hAnsi="Arial"/>
          <w:sz w:val="13"/>
          <w:szCs w:val="13"/>
          <w:color w:val="auto"/>
        </w:rPr>
        <w:t xml:space="preserve">: These Articles of Amendment and Restatement shall become effective at 4:01 p.m., New York City time, on January 10, 2017. </w:t>
      </w:r>
      <w:r>
        <w:rPr>
          <w:rFonts w:ascii="Arial" w:cs="Arial" w:eastAsia="Arial" w:hAnsi="Arial"/>
          <w:sz w:val="13"/>
          <w:szCs w:val="13"/>
          <w:u w:val="single" w:color="auto"/>
          <w:color w:val="auto"/>
        </w:rPr>
        <w:t>TENTH</w:t>
      </w:r>
      <w:r>
        <w:rPr>
          <w:rFonts w:ascii="Arial" w:cs="Arial" w:eastAsia="Arial" w:hAnsi="Arial"/>
          <w:sz w:val="13"/>
          <w:szCs w:val="13"/>
          <w:color w:val="auto"/>
        </w:rPr>
        <w:t>: The undersigned officer acknowledges</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these Articles of Amendment and Restatement to be the corporate act of the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Corporation and as to all matters or facts required to be verified under oath, the undersigned officer acknowledges that, to the best of his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knowledge, information and belief, these matters and facts are true in all material respects and that this statement is made under the penalties for perjury.</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[SIGNATURE PAGE FOLLOWS] 42</w:t>
      </w:r>
    </w:p>
    <w:p>
      <w:pPr>
        <w:sectPr>
          <w:pgSz w:w="11900" w:h="16838" w:orient="portrait"/>
          <w:cols w:equalWidth="0" w:num="1">
            <w:col w:w="11180"/>
          </w:cols>
          <w:pgMar w:left="400" w:top="903" w:right="319" w:bottom="1440" w:gutter="0" w:footer="0" w:header="0"/>
        </w:sectPr>
      </w:pPr>
    </w:p>
    <w:bookmarkStart w:id="229" w:name="page230"/>
    <w:bookmarkEnd w:id="229"/>
    <w:p>
      <w:pPr>
        <w:ind w:firstLine="677"/>
        <w:spacing w:after="0" w:line="270" w:lineRule="auto"/>
        <w:rPr>
          <w:sz w:val="20"/>
          <w:szCs w:val="20"/>
          <w:color w:val="auto"/>
        </w:rPr>
      </w:pPr>
      <w:r>
        <w:rPr>
          <w:rFonts w:ascii="Arial" w:cs="Arial" w:eastAsia="Arial" w:hAnsi="Arial"/>
          <w:sz w:val="14"/>
          <w:szCs w:val="14"/>
          <w:color w:val="auto"/>
        </w:rPr>
        <w:t>IN WITNESS WHEREOF, the Corporation has caused these Articles of Amendment and Restatement to be signed in its name and on its behalf by its President and attested to by its Secretary on this 10th day of January,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80" w:type="dxa"/>
            <w:vAlign w:val="bottom"/>
          </w:tcPr>
          <w:p>
            <w:pPr>
              <w:spacing w:after="0"/>
              <w:rPr>
                <w:sz w:val="20"/>
                <w:szCs w:val="20"/>
                <w:color w:val="auto"/>
              </w:rPr>
            </w:pPr>
            <w:r>
              <w:rPr>
                <w:rFonts w:ascii="Arial" w:cs="Arial" w:eastAsia="Arial" w:hAnsi="Arial"/>
                <w:sz w:val="14"/>
                <w:szCs w:val="14"/>
                <w:color w:val="auto"/>
              </w:rPr>
              <w:t>ATTEST:  COLONY NORTHSTAR, INC.</w:t>
            </w:r>
          </w:p>
        </w:tc>
        <w:tc>
          <w:tcPr>
            <w:tcW w:w="13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06"/>
        </w:trPr>
        <w:tc>
          <w:tcPr>
            <w:tcW w:w="4480" w:type="dxa"/>
            <w:vAlign w:val="bottom"/>
          </w:tcPr>
          <w:p>
            <w:pPr>
              <w:ind w:left="20"/>
              <w:spacing w:after="0"/>
              <w:rPr>
                <w:sz w:val="20"/>
                <w:szCs w:val="20"/>
                <w:color w:val="auto"/>
              </w:rPr>
            </w:pPr>
            <w:r>
              <w:rPr>
                <w:rFonts w:ascii="Arial" w:cs="Arial" w:eastAsia="Arial" w:hAnsi="Arial"/>
                <w:sz w:val="14"/>
                <w:szCs w:val="14"/>
                <w:color w:val="auto"/>
              </w:rPr>
              <w:t>/s/ Ronald J. Lieberrman</w:t>
            </w:r>
          </w:p>
        </w:tc>
        <w:tc>
          <w:tcPr>
            <w:tcW w:w="5780" w:type="dxa"/>
            <w:vAlign w:val="bottom"/>
            <w:gridSpan w:val="2"/>
          </w:tcPr>
          <w:p>
            <w:pPr>
              <w:ind w:left="980"/>
              <w:spacing w:after="0"/>
              <w:rPr>
                <w:sz w:val="20"/>
                <w:szCs w:val="20"/>
                <w:color w:val="auto"/>
              </w:rPr>
            </w:pPr>
            <w:r>
              <w:rPr>
                <w:rFonts w:ascii="Arial" w:cs="Arial" w:eastAsia="Arial" w:hAnsi="Arial"/>
                <w:sz w:val="14"/>
                <w:szCs w:val="14"/>
                <w:color w:val="auto"/>
              </w:rPr>
              <w:t>By:  /s/ Albert Tylis</w:t>
            </w:r>
          </w:p>
        </w:tc>
        <w:tc>
          <w:tcPr>
            <w:tcW w:w="520" w:type="dxa"/>
            <w:vAlign w:val="bottom"/>
          </w:tcPr>
          <w:p>
            <w:pPr>
              <w:ind w:left="80"/>
              <w:spacing w:after="0"/>
              <w:rPr>
                <w:sz w:val="20"/>
                <w:szCs w:val="20"/>
                <w:color w:val="auto"/>
              </w:rPr>
            </w:pPr>
            <w:r>
              <w:rPr>
                <w:rFonts w:ascii="Arial" w:cs="Arial" w:eastAsia="Arial" w:hAnsi="Arial"/>
                <w:sz w:val="14"/>
                <w:szCs w:val="14"/>
                <w:color w:val="auto"/>
                <w:w w:val="92"/>
              </w:rPr>
              <w:t>(SEAL)</w:t>
            </w:r>
          </w:p>
        </w:tc>
      </w:tr>
      <w:tr>
        <w:trPr>
          <w:trHeight w:val="194"/>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 Ronald J. Lieberman Title: Secretary</w:t>
            </w:r>
          </w:p>
        </w:tc>
        <w:tc>
          <w:tcPr>
            <w:tcW w:w="1300" w:type="dxa"/>
            <w:vAlign w:val="bottom"/>
          </w:tcPr>
          <w:p>
            <w:pPr>
              <w:spacing w:after="0"/>
              <w:rPr>
                <w:sz w:val="16"/>
                <w:szCs w:val="16"/>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Name: Albert Tylis Title: President</w:t>
            </w:r>
          </w:p>
        </w:tc>
        <w:tc>
          <w:tcPr>
            <w:tcW w:w="520" w:type="dxa"/>
            <w:vAlign w:val="bottom"/>
          </w:tcPr>
          <w:p>
            <w:pPr>
              <w:spacing w:after="0"/>
              <w:rPr>
                <w:sz w:val="16"/>
                <w:szCs w:val="16"/>
                <w:color w:val="auto"/>
              </w:rPr>
            </w:pPr>
          </w:p>
        </w:tc>
      </w:tr>
    </w:tbl>
    <w:p>
      <w:pPr>
        <w:sectPr>
          <w:pgSz w:w="11900" w:h="16838" w:orient="portrait"/>
          <w:cols w:equalWidth="0" w:num="1">
            <w:col w:w="10840"/>
          </w:cols>
          <w:pgMar w:left="400" w:top="903" w:right="659" w:bottom="1440" w:gutter="0" w:footer="0" w:header="0"/>
        </w:sectPr>
      </w:pPr>
    </w:p>
    <w:bookmarkStart w:id="230" w:name="page231"/>
    <w:bookmarkEnd w:id="230"/>
    <w:p>
      <w:pPr>
        <w:jc w:val="center"/>
        <w:ind w:right="-119"/>
        <w:spacing w:after="0"/>
        <w:rPr>
          <w:sz w:val="20"/>
          <w:szCs w:val="20"/>
          <w:color w:val="auto"/>
        </w:rPr>
      </w:pPr>
      <w:r>
        <w:rPr>
          <w:rFonts w:ascii="Arial" w:cs="Arial" w:eastAsia="Arial" w:hAnsi="Arial"/>
          <w:sz w:val="14"/>
          <w:szCs w:val="14"/>
          <w:b w:val="1"/>
          <w:bCs w:val="1"/>
          <w:color w:val="auto"/>
        </w:rPr>
        <w:t>EXHIBIT A</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SERIES A PREFERRED STOCK</w:t>
      </w:r>
    </w:p>
    <w:p>
      <w:pPr>
        <w:spacing w:after="0" w:line="197" w:lineRule="exact"/>
        <w:rPr>
          <w:sz w:val="20"/>
          <w:szCs w:val="20"/>
          <w:color w:val="auto"/>
        </w:rPr>
      </w:pPr>
    </w:p>
    <w:p>
      <w:pPr>
        <w:ind w:right="100" w:firstLine="702"/>
        <w:spacing w:after="0" w:line="276" w:lineRule="auto"/>
        <w:rPr>
          <w:sz w:val="20"/>
          <w:szCs w:val="20"/>
          <w:color w:val="auto"/>
        </w:rPr>
      </w:pPr>
      <w:r>
        <w:rPr>
          <w:rFonts w:ascii="Arial" w:cs="Arial" w:eastAsia="Arial" w:hAnsi="Arial"/>
          <w:sz w:val="13"/>
          <w:szCs w:val="13"/>
          <w:color w:val="auto"/>
        </w:rPr>
        <w:t>Under a power contained in the charter (the “</w:t>
      </w:r>
      <w:r>
        <w:rPr>
          <w:rFonts w:ascii="Arial" w:cs="Arial" w:eastAsia="Arial" w:hAnsi="Arial"/>
          <w:sz w:val="13"/>
          <w:szCs w:val="13"/>
          <w:b w:val="1"/>
          <w:bCs w:val="1"/>
          <w:color w:val="auto"/>
        </w:rPr>
        <w:t>Charter</w:t>
      </w:r>
      <w:r>
        <w:rPr>
          <w:rFonts w:ascii="Arial" w:cs="Arial" w:eastAsia="Arial" w:hAnsi="Arial"/>
          <w:sz w:val="13"/>
          <w:szCs w:val="13"/>
          <w:color w:val="auto"/>
        </w:rPr>
        <w:t>”) of Colony NorthStar,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the Board of Directors of the Corporation classified and designated 2,900,000 shares (the “</w:t>
      </w:r>
      <w:r>
        <w:rPr>
          <w:rFonts w:ascii="Arial" w:cs="Arial" w:eastAsia="Arial" w:hAnsi="Arial"/>
          <w:sz w:val="13"/>
          <w:szCs w:val="13"/>
          <w:b w:val="1"/>
          <w:bCs w:val="1"/>
          <w:color w:val="auto"/>
        </w:rPr>
        <w:t>Shares</w:t>
      </w:r>
      <w:r>
        <w:rPr>
          <w:rFonts w:ascii="Arial" w:cs="Arial" w:eastAsia="Arial" w:hAnsi="Arial"/>
          <w:sz w:val="13"/>
          <w:szCs w:val="13"/>
          <w:color w:val="auto"/>
        </w:rPr>
        <w:t>”) of the Preferred Stock (as defined in the Charter), as shares of 8.75% Series A Cumulative Redeemable Perpetual Preferred Stock, liquidation preference $25.00 per share (“</w:t>
      </w:r>
      <w:r>
        <w:rPr>
          <w:rFonts w:ascii="Arial" w:cs="Arial" w:eastAsia="Arial" w:hAnsi="Arial"/>
          <w:sz w:val="13"/>
          <w:szCs w:val="13"/>
          <w:b w:val="1"/>
          <w:bCs w:val="1"/>
          <w:color w:val="auto"/>
        </w:rPr>
        <w:t>Series A Preferred Stock</w:t>
      </w:r>
      <w:r>
        <w:rPr>
          <w:rFonts w:ascii="Arial" w:cs="Arial" w:eastAsia="Arial" w:hAnsi="Arial"/>
          <w:sz w:val="13"/>
          <w:szCs w:val="13"/>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8.75% Series A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right="240" w:firstLine="677"/>
        <w:spacing w:after="0" w:line="270"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Number of Shares and Des</w:t>
      </w:r>
      <w:r>
        <w:rPr>
          <w:rFonts w:ascii="Arial" w:cs="Arial" w:eastAsia="Arial" w:hAnsi="Arial"/>
          <w:sz w:val="14"/>
          <w:szCs w:val="14"/>
          <w:color w:val="auto"/>
        </w:rPr>
        <w:t>ig</w:t>
      </w:r>
      <w:r>
        <w:rPr>
          <w:rFonts w:ascii="Arial" w:cs="Arial" w:eastAsia="Arial" w:hAnsi="Arial"/>
          <w:sz w:val="14"/>
          <w:szCs w:val="14"/>
          <w:u w:val="single" w:color="auto"/>
          <w:color w:val="auto"/>
        </w:rPr>
        <w:t>nation</w:t>
      </w:r>
      <w:r>
        <w:rPr>
          <w:rFonts w:ascii="Arial" w:cs="Arial" w:eastAsia="Arial" w:hAnsi="Arial"/>
          <w:sz w:val="14"/>
          <w:szCs w:val="14"/>
          <w:color w:val="auto"/>
        </w:rPr>
        <w:t>. This series of Preferred Stock shall be designated as 8.75% Series A Cumulative Redeemable Perpetual Preferred Stock, liquidation preference $25.00 per share (the “</w:t>
      </w:r>
      <w:r>
        <w:rPr>
          <w:rFonts w:ascii="Arial" w:cs="Arial" w:eastAsia="Arial" w:hAnsi="Arial"/>
          <w:sz w:val="14"/>
          <w:szCs w:val="14"/>
          <w:b w:val="1"/>
          <w:bCs w:val="1"/>
          <w:color w:val="auto"/>
        </w:rPr>
        <w:t>Series A Preferred Stock</w:t>
      </w:r>
      <w:r>
        <w:rPr>
          <w:rFonts w:ascii="Arial" w:cs="Arial" w:eastAsia="Arial" w:hAnsi="Arial"/>
          <w:sz w:val="14"/>
          <w:szCs w:val="14"/>
          <w:color w:val="auto"/>
        </w:rPr>
        <w:t>”), and 2,900,000 shall be the number of shares of Preferred Stock constituting such series.</w:t>
      </w:r>
    </w:p>
    <w:p>
      <w:pPr>
        <w:spacing w:after="0" w:line="218" w:lineRule="exact"/>
        <w:rPr>
          <w:sz w:val="20"/>
          <w:szCs w:val="20"/>
          <w:color w:val="auto"/>
        </w:rPr>
      </w:pPr>
    </w:p>
    <w:p>
      <w:pPr>
        <w:ind w:left="660" w:right="1020" w:firstLine="13"/>
        <w:spacing w:after="0" w:line="348"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the Series A Preferred Stock, the following terms shall have the meanings indicated: “</w:t>
      </w:r>
      <w:r>
        <w:rPr>
          <w:rFonts w:ascii="Arial" w:cs="Arial" w:eastAsia="Arial" w:hAnsi="Arial"/>
          <w:sz w:val="14"/>
          <w:szCs w:val="14"/>
          <w:b w:val="1"/>
          <w:bCs w:val="1"/>
          <w:color w:val="auto"/>
        </w:rPr>
        <w:t>Annual Dividend Rate</w:t>
      </w:r>
      <w:r>
        <w:rPr>
          <w:rFonts w:ascii="Arial" w:cs="Arial" w:eastAsia="Arial" w:hAnsi="Arial"/>
          <w:sz w:val="14"/>
          <w:szCs w:val="14"/>
          <w:color w:val="auto"/>
        </w:rPr>
        <w:t>” shall have the meaning set forth in paragraph (a) of Section 3 hereof.</w:t>
      </w:r>
    </w:p>
    <w:p>
      <w:pPr>
        <w:spacing w:after="0" w:line="1" w:lineRule="exact"/>
        <w:rPr>
          <w:sz w:val="20"/>
          <w:szCs w:val="20"/>
          <w:color w:val="auto"/>
        </w:rPr>
      </w:pPr>
    </w:p>
    <w:p>
      <w:pPr>
        <w:ind w:left="340" w:right="6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shall mean the Board of Directors of the Corporation or any committee authorized by such Board of Directors to perform any of its responsibilities with respect to the Series A Preferred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shall mean any day other than a Saturday, Sunday or a day on which state or federally chartered banking institutions in New York, New York are not required to be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open.</w:t>
      </w:r>
    </w:p>
    <w:p>
      <w:pPr>
        <w:spacing w:after="0" w:line="115" w:lineRule="exact"/>
        <w:rPr>
          <w:sz w:val="20"/>
          <w:szCs w:val="20"/>
          <w:color w:val="auto"/>
        </w:rPr>
      </w:pPr>
    </w:p>
    <w:p>
      <w:pPr>
        <w:ind w:left="660" w:right="2900"/>
        <w:spacing w:after="0" w:line="34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shall have the meaning set forth in paragraph (a) of Section 5 hereof. “</w:t>
      </w:r>
      <w:r>
        <w:rPr>
          <w:rFonts w:ascii="Arial" w:cs="Arial" w:eastAsia="Arial" w:hAnsi="Arial"/>
          <w:sz w:val="14"/>
          <w:szCs w:val="14"/>
          <w:b w:val="1"/>
          <w:bCs w:val="1"/>
          <w:color w:val="auto"/>
        </w:rPr>
        <w:t>Charter</w:t>
      </w:r>
      <w:r>
        <w:rPr>
          <w:rFonts w:ascii="Arial" w:cs="Arial" w:eastAsia="Arial" w:hAnsi="Arial"/>
          <w:sz w:val="14"/>
          <w:szCs w:val="14"/>
          <w:color w:val="auto"/>
        </w:rPr>
        <w:t>” shall mean the charter of the Corporation.</w:t>
      </w:r>
    </w:p>
    <w:p>
      <w:pPr>
        <w:spacing w:after="0" w:line="1" w:lineRule="exact"/>
        <w:rPr>
          <w:sz w:val="20"/>
          <w:szCs w:val="20"/>
          <w:color w:val="auto"/>
        </w:rPr>
      </w:pPr>
    </w:p>
    <w:p>
      <w:pPr>
        <w:ind w:left="34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shall mean, collectively, the Class A Common Stock of the Corporation, par value $.01 per share, the Class B Common Stock of the Corporation, par value $.01 per share, and the Performance Common Stock of the Corporation, par value $.01 per share.</w:t>
      </w:r>
    </w:p>
    <w:p>
      <w:pPr>
        <w:sectPr>
          <w:pgSz w:w="11900" w:h="16838" w:orient="portrait"/>
          <w:cols w:equalWidth="0" w:num="1">
            <w:col w:w="10960"/>
          </w:cols>
          <w:pgMar w:left="400" w:top="887" w:right="539" w:bottom="1440" w:gutter="0" w:footer="0" w:header="0"/>
        </w:sectPr>
      </w:pPr>
    </w:p>
    <w:bookmarkStart w:id="231" w:name="page232"/>
    <w:bookmarkEnd w:id="231"/>
    <w:p>
      <w:pPr>
        <w:ind w:right="6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Date</w:t>
      </w:r>
      <w:r>
        <w:rPr>
          <w:rFonts w:ascii="Arial" w:cs="Arial" w:eastAsia="Arial" w:hAnsi="Arial"/>
          <w:sz w:val="14"/>
          <w:szCs w:val="14"/>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be paid on the first Business Day immediately following such Dividend Payment Date.</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shall have the meaning set forth in paragraph (a) of Section 3 hereof.</w:t>
      </w:r>
    </w:p>
    <w:p>
      <w:pPr>
        <w:spacing w:after="0" w:line="85"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Periods</w:t>
      </w:r>
      <w:r>
        <w:rPr>
          <w:rFonts w:ascii="Arial" w:cs="Arial" w:eastAsia="Arial" w:hAnsi="Arial"/>
          <w:sz w:val="13"/>
          <w:szCs w:val="13"/>
          <w:color w:val="auto"/>
        </w:rPr>
        <w:t>” shall mean quarterly dividend periods commencing on February 15, May 15, August 15 and November 15, of each year and ending on and including the day preceding the first day of the next succeeding Dividend Period (other than the initial Dividend Period with respect to each Series A Preferred Stock, which, (i) for Series A Preferred Stock issued prior to January 11, 2017, shall commence on, and include, November 15, 2016 and end on and include February 14, 2017; and (ii) for Series A Preferred Stock issued on or after January 11, 2017, shall commence on the Dividend Payment Date with respect to which dividends were actually paid on Series A Preferred Stock that were outstanding immediately preceding the issuance of such Series A Preferred Stock and end on and include the day preceding the first day of the next succeeding Dividend Period).</w:t>
      </w:r>
    </w:p>
    <w:p>
      <w:pPr>
        <w:spacing w:after="0" w:line="41"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Junior Shares</w:t>
      </w:r>
      <w:r>
        <w:rPr>
          <w:rFonts w:ascii="Arial" w:cs="Arial" w:eastAsia="Arial" w:hAnsi="Arial"/>
          <w:sz w:val="14"/>
          <w:szCs w:val="14"/>
          <w:color w:val="auto"/>
        </w:rPr>
        <w:t>” shall mean the Common Stock and any other class or series of stock of the Corporation constituting junior shares of stock within the meaning set forth in paragraph (c) of Section 9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shall have the meaning set forth in paragraph (a) of Section 4 hereof. “</w:t>
      </w:r>
      <w:r>
        <w:rPr>
          <w:rFonts w:ascii="Arial" w:cs="Arial" w:eastAsia="Arial" w:hAnsi="Arial"/>
          <w:sz w:val="14"/>
          <w:szCs w:val="14"/>
          <w:b w:val="1"/>
          <w:bCs w:val="1"/>
          <w:color w:val="auto"/>
        </w:rPr>
        <w:t>Parity Shares</w:t>
      </w:r>
      <w:r>
        <w:rPr>
          <w:rFonts w:ascii="Arial" w:cs="Arial" w:eastAsia="Arial" w:hAnsi="Arial"/>
          <w:sz w:val="14"/>
          <w:szCs w:val="14"/>
          <w:color w:val="auto"/>
        </w:rPr>
        <w:t>” shall have the meaning set forth in</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paragraph (b) of Section 9 hereof.</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shall mean any individual, firm, partnership, corporation, limited liability company or other entity, and shall include any successor (by merger or otherwise) of such entity.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set forth in paragraph (c) of Section 5 hereof. “</w:t>
      </w:r>
      <w:r>
        <w:rPr>
          <w:rFonts w:ascii="Arial" w:cs="Arial" w:eastAsia="Arial" w:hAnsi="Arial"/>
          <w:sz w:val="14"/>
          <w:szCs w:val="14"/>
          <w:b w:val="1"/>
          <w:bCs w:val="1"/>
          <w:color w:val="auto"/>
        </w:rPr>
        <w:t>Redemption Price</w:t>
      </w:r>
      <w:r>
        <w:rPr>
          <w:rFonts w:ascii="Arial" w:cs="Arial" w:eastAsia="Arial" w:hAnsi="Arial"/>
          <w:sz w:val="14"/>
          <w:szCs w:val="14"/>
          <w:color w:val="auto"/>
        </w:rPr>
        <w:t>” shall have the meaning</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set forth in paragraph (c) of Section 5 hereof. “</w:t>
      </w:r>
      <w:r>
        <w:rPr>
          <w:rFonts w:ascii="Arial" w:cs="Arial" w:eastAsia="Arial" w:hAnsi="Arial"/>
          <w:sz w:val="14"/>
          <w:szCs w:val="14"/>
          <w:b w:val="1"/>
          <w:bCs w:val="1"/>
          <w:color w:val="auto"/>
        </w:rPr>
        <w:t>Series A Preferred Stock</w:t>
      </w:r>
      <w:r>
        <w:rPr>
          <w:rFonts w:ascii="Arial" w:cs="Arial" w:eastAsia="Arial" w:hAnsi="Arial"/>
          <w:sz w:val="14"/>
          <w:szCs w:val="14"/>
          <w:color w:val="auto"/>
        </w:rPr>
        <w:t>” shall have the meaning set forth in Section 1 hereof.</w:t>
      </w:r>
    </w:p>
    <w:p>
      <w:pPr>
        <w:spacing w:after="0" w:line="38" w:lineRule="exact"/>
        <w:rPr>
          <w:sz w:val="20"/>
          <w:szCs w:val="20"/>
          <w:color w:val="auto"/>
        </w:rPr>
      </w:pPr>
    </w:p>
    <w:p>
      <w:pPr>
        <w:ind w:right="2820" w:firstLine="325"/>
        <w:spacing w:after="0" w:line="24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shall mean the 8.25% Series B Cumulative Redeemable Perpetual Preferred Stock, liquidation preference $25.00 per share.</w:t>
      </w:r>
    </w:p>
    <w:p>
      <w:pPr>
        <w:spacing w:after="0" w:line="89"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0700"/>
          </w:cols>
          <w:pgMar w:left="740" w:top="899" w:right="459" w:bottom="1440" w:gutter="0" w:footer="0" w:header="0"/>
        </w:sectPr>
      </w:pPr>
    </w:p>
    <w:bookmarkStart w:id="232" w:name="page233"/>
    <w:bookmarkEnd w:id="232"/>
    <w:p>
      <w:pPr>
        <w:ind w:left="340" w:right="27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C Preferred Stock</w:t>
      </w:r>
      <w:r>
        <w:rPr>
          <w:rFonts w:ascii="Arial" w:cs="Arial" w:eastAsia="Arial" w:hAnsi="Arial"/>
          <w:sz w:val="14"/>
          <w:szCs w:val="14"/>
          <w:color w:val="auto"/>
        </w:rPr>
        <w:t>” shall mean the 8.875% Series C Cumulative Redeemable Perpetual Preferred Stock, liquidation preference $25.00 per share.</w:t>
      </w:r>
    </w:p>
    <w:p>
      <w:pPr>
        <w:spacing w:after="0" w:line="50" w:lineRule="exact"/>
        <w:rPr>
          <w:sz w:val="20"/>
          <w:szCs w:val="20"/>
          <w:color w:val="auto"/>
        </w:rPr>
      </w:pPr>
    </w:p>
    <w:p>
      <w:pPr>
        <w:ind w:left="340" w:right="27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D Preferred Stock</w:t>
      </w:r>
      <w:r>
        <w:rPr>
          <w:rFonts w:ascii="Arial" w:cs="Arial" w:eastAsia="Arial" w:hAnsi="Arial"/>
          <w:sz w:val="14"/>
          <w:szCs w:val="14"/>
          <w:color w:val="auto"/>
        </w:rPr>
        <w:t>” shall mean the 8.500% Series D Cumulative Redeemable Perpetual Preferred Stock, liquidation preference $25.00 per share.</w:t>
      </w:r>
    </w:p>
    <w:p>
      <w:pPr>
        <w:spacing w:after="0" w:line="38" w:lineRule="exact"/>
        <w:rPr>
          <w:sz w:val="20"/>
          <w:szCs w:val="20"/>
          <w:color w:val="auto"/>
        </w:rPr>
      </w:pPr>
    </w:p>
    <w:p>
      <w:pPr>
        <w:ind w:left="340"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E Preferred Stock</w:t>
      </w:r>
      <w:r>
        <w:rPr>
          <w:rFonts w:ascii="Arial" w:cs="Arial" w:eastAsia="Arial" w:hAnsi="Arial"/>
          <w:sz w:val="14"/>
          <w:szCs w:val="14"/>
          <w:color w:val="auto"/>
        </w:rPr>
        <w:t>” shall mean the 8.75% Series E Cumulative Redeemable Perpetual Preferred Stock, liquidation preference $25.00 per share.</w:t>
      </w:r>
    </w:p>
    <w:p>
      <w:pPr>
        <w:spacing w:after="0" w:line="38" w:lineRule="exact"/>
        <w:rPr>
          <w:sz w:val="20"/>
          <w:szCs w:val="20"/>
          <w:color w:val="auto"/>
        </w:rPr>
      </w:pPr>
    </w:p>
    <w:p>
      <w:pPr>
        <w:ind w:left="340" w:right="28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F Preferred Stock</w:t>
      </w:r>
      <w:r>
        <w:rPr>
          <w:rFonts w:ascii="Arial" w:cs="Arial" w:eastAsia="Arial" w:hAnsi="Arial"/>
          <w:sz w:val="14"/>
          <w:szCs w:val="14"/>
          <w:color w:val="auto"/>
        </w:rPr>
        <w:t>” shall mean the 8.50% Series F Cumulative Redeemable Perpetual Preferred Stock, liquidation preference $25.00 per share.</w:t>
      </w:r>
    </w:p>
    <w:p>
      <w:pPr>
        <w:spacing w:after="0" w:line="38" w:lineRule="exact"/>
        <w:rPr>
          <w:sz w:val="20"/>
          <w:szCs w:val="20"/>
          <w:color w:val="auto"/>
        </w:rPr>
      </w:pPr>
    </w:p>
    <w:p>
      <w:pPr>
        <w:ind w:left="340" w:right="278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G Preferred Stock</w:t>
      </w:r>
      <w:r>
        <w:rPr>
          <w:rFonts w:ascii="Arial" w:cs="Arial" w:eastAsia="Arial" w:hAnsi="Arial"/>
          <w:sz w:val="14"/>
          <w:szCs w:val="14"/>
          <w:color w:val="auto"/>
        </w:rPr>
        <w:t>” shall mean the 7.50% Series G Cumulative Redeemable Perpetual Preferred Stock, liquidation preference $25.00 per share.</w:t>
      </w:r>
    </w:p>
    <w:p>
      <w:pPr>
        <w:spacing w:after="0" w:line="38" w:lineRule="exact"/>
        <w:rPr>
          <w:sz w:val="20"/>
          <w:szCs w:val="20"/>
          <w:color w:val="auto"/>
        </w:rPr>
      </w:pPr>
    </w:p>
    <w:p>
      <w:pPr>
        <w:ind w:left="340" w:right="27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H Preferred Stock</w:t>
      </w:r>
      <w:r>
        <w:rPr>
          <w:rFonts w:ascii="Arial" w:cs="Arial" w:eastAsia="Arial" w:hAnsi="Arial"/>
          <w:sz w:val="14"/>
          <w:szCs w:val="14"/>
          <w:color w:val="auto"/>
        </w:rPr>
        <w:t>” shall mean the 7.125% Series H Cumulative Redeemable Perpetual Preferred Stock, liquidation preference $25.00 per share.</w:t>
      </w:r>
    </w:p>
    <w:p>
      <w:pPr>
        <w:spacing w:after="0" w:line="62" w:lineRule="exact"/>
        <w:rPr>
          <w:sz w:val="20"/>
          <w:szCs w:val="20"/>
          <w:color w:val="auto"/>
        </w:rPr>
      </w:pPr>
    </w:p>
    <w:p>
      <w:pPr>
        <w:jc w:val="both"/>
        <w:ind w:left="340" w:right="38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 apart for payment</w:t>
      </w:r>
      <w:r>
        <w:rPr>
          <w:rFonts w:ascii="Arial" w:cs="Arial" w:eastAsia="Arial" w:hAnsi="Arial"/>
          <w:sz w:val="14"/>
          <w:szCs w:val="14"/>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50" w:lineRule="exact"/>
        <w:rPr>
          <w:sz w:val="20"/>
          <w:szCs w:val="20"/>
          <w:color w:val="auto"/>
        </w:rPr>
      </w:pPr>
    </w:p>
    <w:p>
      <w:pPr>
        <w:ind w:left="340" w:right="24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means American Stock Transfer &amp; Trust Company, New York, New York, or such other agent or agents of the Corporation as may be designated by the Board of Directors or its designee as the transfer agent for the Series A Preferred Stock.</w:t>
      </w:r>
    </w:p>
    <w:p>
      <w:pPr>
        <w:spacing w:after="0" w:line="86" w:lineRule="exact"/>
        <w:rPr>
          <w:sz w:val="20"/>
          <w:szCs w:val="20"/>
          <w:color w:val="auto"/>
        </w:rPr>
      </w:pPr>
    </w:p>
    <w:p>
      <w:pPr>
        <w:ind w:left="660" w:right="2860"/>
        <w:spacing w:after="0" w:line="41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Preferred Shares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Voting Stock</w:t>
      </w:r>
      <w:r>
        <w:rPr>
          <w:rFonts w:ascii="Arial" w:cs="Arial" w:eastAsia="Arial" w:hAnsi="Arial"/>
          <w:sz w:val="14"/>
          <w:szCs w:val="14"/>
          <w:color w:val="auto"/>
        </w:rPr>
        <w:t>” shall have the meaning set forth in paragraph (a) of Section 5 hereof.</w:t>
      </w:r>
    </w:p>
    <w:p>
      <w:pPr>
        <w:spacing w:after="0" w:line="1" w:lineRule="exact"/>
        <w:rPr>
          <w:sz w:val="20"/>
          <w:szCs w:val="20"/>
          <w:color w:val="auto"/>
        </w:rPr>
      </w:pPr>
    </w:p>
    <w:p>
      <w:pPr>
        <w:ind w:right="80" w:firstLine="677"/>
        <w:spacing w:after="0" w:line="252"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Dividends</w:t>
      </w:r>
      <w:r>
        <w:rPr>
          <w:rFonts w:ascii="Arial" w:cs="Arial" w:eastAsia="Arial" w:hAnsi="Arial"/>
          <w:sz w:val="14"/>
          <w:szCs w:val="14"/>
          <w:color w:val="auto"/>
        </w:rPr>
        <w:t>. (a) The holders of Series A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$2.1875 per share of Series A Preferred Stock (the “</w:t>
      </w:r>
      <w:r>
        <w:rPr>
          <w:rFonts w:ascii="Arial" w:cs="Arial" w:eastAsia="Arial" w:hAnsi="Arial"/>
          <w:sz w:val="14"/>
          <w:szCs w:val="14"/>
          <w:b w:val="1"/>
          <w:bCs w:val="1"/>
          <w:color w:val="auto"/>
        </w:rPr>
        <w:t>Annual Dividend Rate</w:t>
      </w:r>
      <w:r>
        <w:rPr>
          <w:rFonts w:ascii="Arial" w:cs="Arial" w:eastAsia="Arial" w:hAnsi="Arial"/>
          <w:sz w:val="14"/>
          <w:szCs w:val="14"/>
          <w:color w:val="auto"/>
        </w:rPr>
        <w:t>”) (equivalent to a rate of 8.75% of the Liquidation Preference per annum). Such dividends with respect to each share of Series A Preferred Stock issued prior to January 11, 2017 shall be cumulative from, and including, November 15, 2016 and with respect to each share of Series A Preferred Stock issued on or after January 11, 2017 shall be cumulative from the Dividend Payment Date with respect to which dividends were actually paid on shares of Series A Preferred Stock that were outstanding immediately preceding the issuance of such shares of Series A Preferred Stock, whether or not in any Dividend Period or Periods there shall be assets of the Corporation legally available for the payment of such dividends, and shall be payable quarterly,</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1020"/>
          </w:cols>
          <w:pgMar w:left="400" w:top="887" w:right="479" w:bottom="1440" w:gutter="0" w:footer="0" w:header="0"/>
        </w:sectPr>
      </w:pPr>
    </w:p>
    <w:bookmarkStart w:id="233" w:name="page234"/>
    <w:bookmarkEnd w:id="233"/>
    <w:p>
      <w:pPr>
        <w:ind w:right="180"/>
        <w:spacing w:after="0" w:line="247" w:lineRule="auto"/>
        <w:rPr>
          <w:sz w:val="20"/>
          <w:szCs w:val="20"/>
          <w:color w:val="auto"/>
        </w:rPr>
      </w:pPr>
      <w:r>
        <w:rPr>
          <w:rFonts w:ascii="Arial" w:cs="Arial" w:eastAsia="Arial" w:hAnsi="Arial"/>
          <w:sz w:val="14"/>
          <w:szCs w:val="14"/>
          <w:color w:val="auto"/>
        </w:rPr>
        <w:t>when, as and if authorized by the Board of Directors and declared by the Corporation, in arrears on Dividend Payment Dates, commencing with respect to each share of Series A Preferred Stock on the first Dividend Payment Date following issuance of such shares of Series A Preferred Stock. Dividends are cumulative from the most recent Dividend Payment Date to which dividends have been paid, whether or not in any Dividend Period or Periods there shall be assets legally available therefor. Each such dividend shall be payable in arrears to the holders of record of the Series A Preferred Stock, as they appear on the share records of the Corporation at the close of business on such record dates, not more than 30 days preceding the applicable Dividend Payment Date (the “</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as shall be fixed by the Board of Directors.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Accrued and unpaid dividends for any past Dividend Periods may be authorized and declared and paid at any time, without reference to any regular Dividend Payment Date, to holders of record on such date, not exceeding 45 days preceding the payment date thereof, as may be fixed by the Board of Directors. If following a Change of Control, the Series A Preferred Stock is not listed on the New York Stock Exchange or the American Stock Exchange or quoted on NASDAQ, the Annual Dividend Rate will be increased to $2.4375 per share of Series A Preferred Stock (equivalent to a rate of 9.75% of the Liquidation Preference per annum) and the holders of Series A Preferred Stock shall be entitled to receive, when, as and if authorized by the Board of Directors and declared by the Corporation out of assets legally available for that purpose, dividends payable in cash cumulative from, but excluding, the first date on which both the Change of Control has occurred and the Series A Preferred Stock is not so listed or quoted at the increased Annual Dividend Rate for as long as the Series A Preferred Stock is not so listed or quoted.</w:t>
      </w:r>
    </w:p>
    <w:p>
      <w:pPr>
        <w:spacing w:after="0" w:line="51" w:lineRule="exact"/>
        <w:rPr>
          <w:sz w:val="20"/>
          <w:szCs w:val="20"/>
          <w:color w:val="auto"/>
        </w:rPr>
      </w:pPr>
    </w:p>
    <w:p>
      <w:pPr>
        <w:ind w:right="100" w:firstLine="677"/>
        <w:spacing w:after="0" w:line="250" w:lineRule="auto"/>
        <w:tabs>
          <w:tab w:leader="none" w:pos="979"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amount of dividends payable for each full Dividend Period for the Series A Preferred Stock shall be computed by dividing the Annual Dividend Rate by four. The amount of dividends payable for the initial Dividend Period, or any other period shorter or longer than a full Dividend Period, on the Series A Preferred Stock shall be computed on the basis of twelve 30-day months and a 360-day year. Holders of Series A Preferred Stock shall not be entitled to any dividends, whether payable in cash, property or stock, in excess of cumulative dividends, as herein provided, on the Series A Preferred Stock. No interest, or sum of money in lieu of interest, shall be payable in respect of any dividend payment or payments on the Series A Preferred Stock that may be in arrears.</w:t>
      </w:r>
    </w:p>
    <w:p>
      <w:pPr>
        <w:spacing w:after="0" w:line="61" w:lineRule="exact"/>
        <w:rPr>
          <w:rFonts w:ascii="Arial" w:cs="Arial" w:eastAsia="Arial" w:hAnsi="Arial"/>
          <w:sz w:val="14"/>
          <w:szCs w:val="14"/>
          <w:color w:val="auto"/>
        </w:rPr>
      </w:pPr>
    </w:p>
    <w:p>
      <w:pPr>
        <w:ind w:firstLine="677"/>
        <w:spacing w:after="0" w:line="249" w:lineRule="auto"/>
        <w:tabs>
          <w:tab w:leader="none" w:pos="973" w:val="left"/>
        </w:tabs>
        <w:numPr>
          <w:ilvl w:val="0"/>
          <w:numId w:val="143"/>
        </w:numPr>
        <w:rPr>
          <w:rFonts w:ascii="Arial" w:cs="Arial" w:eastAsia="Arial" w:hAnsi="Arial"/>
          <w:sz w:val="14"/>
          <w:szCs w:val="14"/>
          <w:color w:val="auto"/>
        </w:rPr>
      </w:pPr>
      <w:r>
        <w:rPr>
          <w:rFonts w:ascii="Arial" w:cs="Arial" w:eastAsia="Arial" w:hAnsi="Arial"/>
          <w:sz w:val="14"/>
          <w:szCs w:val="14"/>
          <w:color w:val="auto"/>
        </w:rPr>
        <w:t>So long as any Series A Preferred Stock are outstanding, no dividends, except as described in the immediately following sentence, shall be authorized and declared or paid or set apart for payment on any series or class or classes of Parity Shares for any period unless full cumulative dividends have been or contemporaneously are authorized and declared and paid or authorized and declared and a sum sufficient for the payment thereof set apart for such payment on the Series A Preferred Stock for all past Dividend Periods. When dividends are not paid in full or a sum sufficient for such payment is not set apart, as aforesaid, all dividends authorized and declared upon Series A Preferred Stock and all dividends authorized and declared upon any other series or class or classes of Parity Shares shall be authorized and declared ratably in proportion to the respective amounts of dividends accumulated and unpaid on the Series A Preferred Stock and such Parity Shares.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1040"/>
          </w:cols>
          <w:pgMar w:left="400" w:top="903" w:right="459" w:bottom="1440" w:gutter="0" w:footer="0" w:header="0"/>
        </w:sectPr>
      </w:pPr>
    </w:p>
    <w:bookmarkStart w:id="234" w:name="page235"/>
    <w:bookmarkEnd w:id="234"/>
    <w:p>
      <w:pPr>
        <w:ind w:right="20" w:firstLine="677"/>
        <w:spacing w:after="0" w:line="270" w:lineRule="auto"/>
        <w:tabs>
          <w:tab w:leader="none" w:pos="98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So long as any Series A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a redemption, purchase or other acquisition of Common Stock made for purposes of and in compliance with requirements of an employee incentive or benefit plan of the Corporation or any subsidiary, or as permitted under Article VII of the Charter), for any consideration (or any moneys to be paid to or made available for a sinking fund for the redemption of any such shares) by the Corporation, directly or indirectly (except by conversion into or exchange for Junior Shares), unless in each case the full cumulative dividends on all outstanding Series A Preferred Stock and any other Parity Shares of the Corporation shall have been paid or set apart for payment for all past Dividend Periods with respect to the Series A Preferred Stock and all past dividend periods with respect to such Parity Shares.</w:t>
      </w:r>
    </w:p>
    <w:p>
      <w:pPr>
        <w:spacing w:after="0" w:line="191" w:lineRule="exact"/>
        <w:rPr>
          <w:sz w:val="20"/>
          <w:szCs w:val="20"/>
          <w:color w:val="auto"/>
        </w:rPr>
      </w:pPr>
    </w:p>
    <w:p>
      <w:pPr>
        <w:ind w:firstLine="677"/>
        <w:spacing w:after="0" w:line="293"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Liquidation Preference</w:t>
      </w:r>
      <w:r>
        <w:rPr>
          <w:rFonts w:ascii="Arial" w:cs="Arial" w:eastAsia="Arial" w:hAnsi="Arial"/>
          <w:sz w:val="12"/>
          <w:szCs w:val="12"/>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A Preferred Stock shall be entitled to receive Twenty-Five Dollars ($25.00) per share of the Series A Preferred Stock (the “</w:t>
      </w:r>
      <w:r>
        <w:rPr>
          <w:rFonts w:ascii="Arial" w:cs="Arial" w:eastAsia="Arial" w:hAnsi="Arial"/>
          <w:sz w:val="12"/>
          <w:szCs w:val="12"/>
          <w:b w:val="1"/>
          <w:bCs w:val="1"/>
          <w:u w:val="single" w:color="auto"/>
          <w:color w:val="auto"/>
        </w:rPr>
        <w:t>Liquidation Preference</w:t>
      </w:r>
      <w:r>
        <w:rPr>
          <w:rFonts w:ascii="Arial" w:cs="Arial" w:eastAsia="Arial" w:hAnsi="Arial"/>
          <w:sz w:val="12"/>
          <w:szCs w:val="12"/>
          <w:color w:val="auto"/>
        </w:rPr>
        <w:t>”) plus an amount equal to all dividends (whether or not earned or declared) accrued and unpaid thereon to the date of final distribution to such holder; but such holders of Series A Preferred Stock shall not be entitled to any further payment. If, upon any such liquidation, dissolution or winding up of the Corporation, the assets of the Corporation, or proceeds thereof, distributable among the holders of Series A Preferred Stock shall be insufficient to pay in full the preferential amount aforesaid and liquidating payments on any other Parity Shares, then such assets, or the proceeds thereof, shall be distributed among the holders of such Series A Preferred Stock and any such other Parity Shares ratably in accordance with the respective amounts that would be payable on such Series A Preferred Stock and any such other Parity Shares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39" w:lineRule="exact"/>
        <w:rPr>
          <w:sz w:val="20"/>
          <w:szCs w:val="20"/>
          <w:color w:val="auto"/>
        </w:rPr>
      </w:pPr>
    </w:p>
    <w:p>
      <w:pPr>
        <w:ind w:right="20" w:firstLine="677"/>
        <w:spacing w:after="0" w:line="253" w:lineRule="auto"/>
        <w:tabs>
          <w:tab w:leader="none" w:pos="876" w:val="left"/>
        </w:tabs>
        <w:numPr>
          <w:ilvl w:val="0"/>
          <w:numId w:val="145"/>
        </w:numPr>
        <w:rPr>
          <w:rFonts w:ascii="Arial" w:cs="Arial" w:eastAsia="Arial" w:hAnsi="Arial"/>
          <w:sz w:val="14"/>
          <w:szCs w:val="14"/>
          <w:color w:val="auto"/>
        </w:rPr>
      </w:pPr>
      <w:r>
        <w:rPr>
          <w:rFonts w:ascii="Arial" w:cs="Arial" w:eastAsia="Arial" w:hAnsi="Arial"/>
          <w:sz w:val="14"/>
          <w:szCs w:val="14"/>
          <w:color w:val="auto"/>
        </w:rPr>
        <w:t>Subject to the rights of the holders of shares of any series or class or classes of shares of stock ranking on a parity with or prior to the Series A Preferred Stock upon liquidation, dissolution or winding up, upon any liquidation, dissolution or winding up of the Corporation, after payment shall have been made in full to the holders of the Series A Preferred Stock, as provided in this Section 4, any series or class or classes of Junior Shares shall, subject to any respective terms and provisions applying thereto, be entitled to receive any and all assets remaining to be paid or distributed, and the holders of the Series A Preferred Stock shall not be entitled to share therein.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1040"/>
          </w:cols>
          <w:pgMar w:left="400" w:top="821" w:right="459" w:bottom="1440" w:gutter="0" w:footer="0" w:header="0"/>
        </w:sectPr>
      </w:pPr>
    </w:p>
    <w:bookmarkStart w:id="235" w:name="page236"/>
    <w:bookmarkEnd w:id="235"/>
    <w:p>
      <w:pPr>
        <w:ind w:firstLine="677"/>
        <w:spacing w:after="0" w:line="266"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Redemption at the Option of the Corporation</w:t>
      </w:r>
      <w:r>
        <w:rPr>
          <w:rFonts w:ascii="Arial" w:cs="Arial" w:eastAsia="Arial" w:hAnsi="Arial"/>
          <w:sz w:val="13"/>
          <w:szCs w:val="13"/>
          <w:color w:val="auto"/>
        </w:rPr>
        <w:t>. (a) If at any time following a change of control, the Series A Preferred Stock is not listed on the New York Stock Exchange or American Stock Exchange, or quoted on NASDAQ, the Corporation will have the option to redeem the Series A Preferred Stock, in whole but not in part, within 90 days after the first date on which both the change of control has occurred and the Series A Preferred Stock is not so listed or quoted, for cash at $25.00 per share plus accrued and unpaid dividends (whether or not declared), to the redemption date. A “</w:t>
      </w:r>
      <w:r>
        <w:rPr>
          <w:rFonts w:ascii="Arial" w:cs="Arial" w:eastAsia="Arial" w:hAnsi="Arial"/>
          <w:sz w:val="13"/>
          <w:szCs w:val="13"/>
          <w:b w:val="1"/>
          <w:bCs w:val="1"/>
          <w:color w:val="auto"/>
        </w:rPr>
        <w:t>Change of Control</w:t>
      </w:r>
      <w:r>
        <w:rPr>
          <w:rFonts w:ascii="Arial" w:cs="Arial" w:eastAsia="Arial" w:hAnsi="Arial"/>
          <w:sz w:val="13"/>
          <w:szCs w:val="13"/>
          <w:color w:val="auto"/>
        </w:rPr>
        <w:t>” shall be deemed to have occurred at such time as (i) the date a “person” or “group” (within the meaning of Sections 13(d) and 14(d) of the Securities Exchange Act of 1934, as amended (the “</w:t>
      </w:r>
      <w:r>
        <w:rPr>
          <w:rFonts w:ascii="Arial" w:cs="Arial" w:eastAsia="Arial" w:hAnsi="Arial"/>
          <w:sz w:val="13"/>
          <w:szCs w:val="13"/>
          <w:b w:val="1"/>
          <w:bCs w:val="1"/>
          <w:color w:val="auto"/>
        </w:rPr>
        <w:t>Securities Exchange Act</w:t>
      </w:r>
      <w:r>
        <w:rPr>
          <w:rFonts w:ascii="Arial" w:cs="Arial" w:eastAsia="Arial" w:hAnsi="Arial"/>
          <w:sz w:val="13"/>
          <w:szCs w:val="13"/>
          <w:color w:val="auto"/>
        </w:rPr>
        <w:t>”)) becomes 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(ii) the date the Corporation sells, transfers or otherwise disposes of all or substantially all of its assets; or (iii)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w:t>
      </w:r>
      <w:r>
        <w:rPr>
          <w:rFonts w:ascii="Arial" w:cs="Arial" w:eastAsia="Arial" w:hAnsi="Arial"/>
          <w:sz w:val="13"/>
          <w:szCs w:val="13"/>
          <w:b w:val="1"/>
          <w:bCs w:val="1"/>
          <w:color w:val="auto"/>
        </w:rPr>
        <w:t>Voting Stock</w:t>
      </w:r>
      <w:r>
        <w:rPr>
          <w:rFonts w:ascii="Arial" w:cs="Arial" w:eastAsia="Arial" w:hAnsi="Arial"/>
          <w:sz w:val="13"/>
          <w:szCs w:val="13"/>
          <w:color w:val="auto"/>
        </w:rPr>
        <w:t>” shall mean stock of any class or kind having the power to vote generally in the election of directors.</w:t>
      </w:r>
    </w:p>
    <w:p>
      <w:pPr>
        <w:spacing w:after="0" w:line="56" w:lineRule="exact"/>
        <w:rPr>
          <w:sz w:val="20"/>
          <w:szCs w:val="20"/>
          <w:color w:val="auto"/>
        </w:rPr>
      </w:pPr>
    </w:p>
    <w:p>
      <w:pPr>
        <w:jc w:val="both"/>
        <w:ind w:right="120" w:firstLine="677"/>
        <w:spacing w:after="0" w:line="295" w:lineRule="auto"/>
        <w:tabs>
          <w:tab w:leader="none" w:pos="981" w:val="left"/>
        </w:tabs>
        <w:numPr>
          <w:ilvl w:val="0"/>
          <w:numId w:val="146"/>
        </w:numPr>
        <w:rPr>
          <w:rFonts w:ascii="Arial" w:cs="Arial" w:eastAsia="Arial" w:hAnsi="Arial"/>
          <w:sz w:val="12"/>
          <w:szCs w:val="12"/>
          <w:color w:val="auto"/>
        </w:rPr>
      </w:pPr>
      <w:r>
        <w:rPr>
          <w:rFonts w:ascii="Arial" w:cs="Arial" w:eastAsia="Arial" w:hAnsi="Arial"/>
          <w:sz w:val="12"/>
          <w:szCs w:val="12"/>
          <w:color w:val="auto"/>
        </w:rPr>
        <w:t>Except as otherwise permitted by the Charter and paragraph (a) above, the Series A Preferred Stock shall not be redeemable by the Corporation prior to September 14, 2011. On and after September 14, 2011, the Corporation, at its option, may redeem the shares of Series A Preferred Stock, in whole or in part, as set forth herein, subject to the provisions described below.</w:t>
      </w:r>
    </w:p>
    <w:p>
      <w:pPr>
        <w:ind w:right="60" w:firstLine="677"/>
        <w:spacing w:after="0" w:line="301" w:lineRule="auto"/>
        <w:tabs>
          <w:tab w:leader="none" w:pos="973" w:val="left"/>
        </w:tabs>
        <w:numPr>
          <w:ilvl w:val="0"/>
          <w:numId w:val="146"/>
        </w:numPr>
        <w:rPr>
          <w:rFonts w:ascii="Arial" w:cs="Arial" w:eastAsia="Arial" w:hAnsi="Arial"/>
          <w:sz w:val="12"/>
          <w:szCs w:val="12"/>
          <w:color w:val="auto"/>
        </w:rPr>
      </w:pPr>
      <w:r>
        <w:rPr>
          <w:rFonts w:ascii="Arial" w:cs="Arial" w:eastAsia="Arial" w:hAnsi="Arial"/>
          <w:sz w:val="12"/>
          <w:szCs w:val="12"/>
          <w:color w:val="auto"/>
        </w:rPr>
        <w:t>On and after September 14, 2011, the Series A Preferred Stock shall be redeemable at the option of the Corporation, in whole or in part, at any time or from time to time, at a redemption price of $25.00 per share of Series A Preferred Stock, plus any accrued and unpaid dividends to the date fixed for redemption (the “</w:t>
      </w:r>
      <w:r>
        <w:rPr>
          <w:rFonts w:ascii="Arial" w:cs="Arial" w:eastAsia="Arial" w:hAnsi="Arial"/>
          <w:sz w:val="12"/>
          <w:szCs w:val="12"/>
          <w:b w:val="1"/>
          <w:bCs w:val="1"/>
          <w:color w:val="auto"/>
        </w:rPr>
        <w:t>Redemption Price</w:t>
      </w:r>
      <w:r>
        <w:rPr>
          <w:rFonts w:ascii="Arial" w:cs="Arial" w:eastAsia="Arial" w:hAnsi="Arial"/>
          <w:sz w:val="12"/>
          <w:szCs w:val="12"/>
          <w:color w:val="auto"/>
        </w:rPr>
        <w:t>”). Each date on which Series A Preferred Stock are to be redeemed (a “</w:t>
      </w:r>
      <w:r>
        <w:rPr>
          <w:rFonts w:ascii="Arial" w:cs="Arial" w:eastAsia="Arial" w:hAnsi="Arial"/>
          <w:sz w:val="12"/>
          <w:szCs w:val="12"/>
          <w:b w:val="1"/>
          <w:bCs w:val="1"/>
          <w:color w:val="auto"/>
        </w:rPr>
        <w:t>Redemption Date</w:t>
      </w:r>
      <w:r>
        <w:rPr>
          <w:rFonts w:ascii="Arial" w:cs="Arial" w:eastAsia="Arial" w:hAnsi="Arial"/>
          <w:sz w:val="12"/>
          <w:szCs w:val="12"/>
          <w:color w:val="auto"/>
        </w:rPr>
        <w:t>”) (which may not be before September 14, 2011) shall be selected by the Corporation, shall be specified in the notice of redemption and shall not be less than 30 days or more than 60 days after the date on which the Corporation gives, or causes to be given, notice of redemption by mail pursuant to the next paragraph.</w:t>
      </w:r>
    </w:p>
    <w:p>
      <w:pPr>
        <w:spacing w:after="0" w:line="173" w:lineRule="exact"/>
        <w:rPr>
          <w:sz w:val="20"/>
          <w:szCs w:val="20"/>
          <w:color w:val="auto"/>
        </w:rPr>
      </w:pPr>
    </w:p>
    <w:p>
      <w:pPr>
        <w:ind w:right="80" w:firstLine="677"/>
        <w:spacing w:after="0" w:line="257" w:lineRule="auto"/>
        <w:rPr>
          <w:sz w:val="20"/>
          <w:szCs w:val="20"/>
          <w:color w:val="auto"/>
        </w:rPr>
      </w:pPr>
      <w:r>
        <w:rPr>
          <w:rFonts w:ascii="Arial" w:cs="Arial" w:eastAsia="Arial" w:hAnsi="Arial"/>
          <w:sz w:val="14"/>
          <w:szCs w:val="14"/>
          <w:color w:val="auto"/>
        </w:rPr>
        <w:t>A notice of redemption (which may be contingent on the occurrence of a future event) shall be mailed, postage prepaid, not less than 30 nor more than 60 days prior to the redemption date, addressed to the respective holders of record of the Series A Preferred Stock at their respective addresses as they appear on the Corporation’s share transfer records. A failure to give such notice or any defect in the notice or in its mailing shall not affect the validity of the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1000"/>
          </w:cols>
          <w:pgMar w:left="400" w:top="903" w:right="499" w:bottom="1440" w:gutter="0" w:footer="0" w:header="0"/>
        </w:sectPr>
      </w:pPr>
    </w:p>
    <w:bookmarkStart w:id="236" w:name="page237"/>
    <w:bookmarkEnd w:id="236"/>
    <w:p>
      <w:pPr>
        <w:ind w:right="220"/>
        <w:spacing w:after="0" w:line="308" w:lineRule="auto"/>
        <w:rPr>
          <w:sz w:val="20"/>
          <w:szCs w:val="20"/>
          <w:color w:val="auto"/>
        </w:rPr>
      </w:pPr>
      <w:r>
        <w:rPr>
          <w:rFonts w:ascii="Arial" w:cs="Arial" w:eastAsia="Arial" w:hAnsi="Arial"/>
          <w:sz w:val="12"/>
          <w:szCs w:val="12"/>
          <w:color w:val="auto"/>
        </w:rPr>
        <w:t>proceedings for the redemption of any Series A Preferred Stock except as to the holder to whom notice was defective or not given. Each notice shall state: (i) the Redemption Date; (ii) the Redemption Price; (iii) the number of shares of Series A Preferred Stock to be redeemed and, if fewer than all the shares of Series A Preferred Stock held by such holder are to be redeemed, the number of such shares of Series A Preferred Stock to be redeemed from such holder; (iv) the place or places where the certificates evidencing the shares of Series A Preferred Stock are to be surrendered for payment of the Redemption Price; and (v) that distributions on the shares to be redeemed will cease to accrue on such Redemption Date except as otherwise provided herein.</w:t>
      </w:r>
    </w:p>
    <w:p>
      <w:pPr>
        <w:spacing w:after="0" w:line="40" w:lineRule="exact"/>
        <w:rPr>
          <w:sz w:val="20"/>
          <w:szCs w:val="20"/>
          <w:color w:val="auto"/>
        </w:rPr>
      </w:pPr>
    </w:p>
    <w:p>
      <w:pPr>
        <w:ind w:right="140" w:firstLine="677"/>
        <w:spacing w:after="0" w:line="250" w:lineRule="auto"/>
        <w:tabs>
          <w:tab w:leader="none" w:pos="981" w:val="left"/>
        </w:tabs>
        <w:numPr>
          <w:ilvl w:val="0"/>
          <w:numId w:val="147"/>
        </w:numPr>
        <w:rPr>
          <w:rFonts w:ascii="Arial" w:cs="Arial" w:eastAsia="Arial" w:hAnsi="Arial"/>
          <w:sz w:val="14"/>
          <w:szCs w:val="14"/>
          <w:color w:val="auto"/>
        </w:rPr>
      </w:pPr>
      <w:r>
        <w:rPr>
          <w:rFonts w:ascii="Arial" w:cs="Arial" w:eastAsia="Arial" w:hAnsi="Arial"/>
          <w:sz w:val="14"/>
          <w:szCs w:val="14"/>
          <w:color w:val="auto"/>
        </w:rPr>
        <w:t>Upon any redemption of Series A Preferred Stock, the Corporation shall pay any accrued and unpaid dividends in arrears for any Dividend Period ending on or prior to the Redemption Date. If the Redemption Date falls after a Dividend Payment Record Date and prior to the corresponding Dividend Payment Date, then each holder of Series A Preferred Stock at the close of business on such Dividend Payment Record Date shall be entitled to the dividend payable on such Series A Preferred Stock on the corresponding Dividend Payment Date notwithstanding the redemption of such Series A Preferred Stock before such Dividend Payment Date. Except as provided above, the Corporation shall make no payment or allowance for unpaid dividends, whether or not in arrears, on Series A Preferred Stock called for redemption.</w:t>
      </w:r>
    </w:p>
    <w:p>
      <w:pPr>
        <w:spacing w:after="0" w:line="61" w:lineRule="exact"/>
        <w:rPr>
          <w:rFonts w:ascii="Arial" w:cs="Arial" w:eastAsia="Arial" w:hAnsi="Arial"/>
          <w:sz w:val="14"/>
          <w:szCs w:val="14"/>
          <w:color w:val="auto"/>
        </w:rPr>
      </w:pPr>
    </w:p>
    <w:p>
      <w:pPr>
        <w:ind w:right="320" w:firstLine="677"/>
        <w:spacing w:after="0" w:line="250" w:lineRule="auto"/>
        <w:tabs>
          <w:tab w:leader="none" w:pos="973"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If full cumulative dividends on the Series A Preferred Stock and any other series or class or classes of Parity Shares of the Corporation have not been paid or declared and set apart for payment, except as otherwise permitted under the Charter, the Series A Preferred Stock may not be redeemed in part and the Corporation may not purchase, redeem or otherwise acquire Series A Preferred Stock or any Parity Shares other than in exchange for Junior Shares.</w:t>
      </w:r>
    </w:p>
    <w:p>
      <w:pPr>
        <w:ind w:firstLine="677"/>
        <w:spacing w:after="0" w:line="265" w:lineRule="auto"/>
        <w:tabs>
          <w:tab w:leader="none" w:pos="95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Notice having been mailed as aforesaid, from and after the Redemption Date (unless the Corporation shall fail to make available the amount of cash necessary to effect such redemption), (i) except as otherwise provided herein, dividends on the shares of Series A Preferred Stock so called for redemption shall cease to accrue, (ii) said shares shall no longer be deemed to be outstanding, and (iii) all rights of the holders thereof as holders of Series A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A Preferred Stock so called for redemption. No interest shall accrue for the benefit of the holder of Series A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1040"/>
          </w:cols>
          <w:pgMar w:left="400" w:top="903" w:right="459" w:bottom="1440" w:gutter="0" w:footer="0" w:header="0"/>
        </w:sectPr>
      </w:pPr>
    </w:p>
    <w:bookmarkStart w:id="237" w:name="page238"/>
    <w:bookmarkEnd w:id="237"/>
    <w:p>
      <w:pPr>
        <w:ind w:right="120" w:firstLine="677"/>
        <w:spacing w:after="0" w:line="272" w:lineRule="auto"/>
        <w:rPr>
          <w:sz w:val="20"/>
          <w:szCs w:val="20"/>
          <w:color w:val="auto"/>
        </w:rPr>
      </w:pPr>
      <w:r>
        <w:rPr>
          <w:rFonts w:ascii="Arial" w:cs="Arial" w:eastAsia="Arial" w:hAnsi="Arial"/>
          <w:sz w:val="13"/>
          <w:szCs w:val="13"/>
          <w:color w:val="auto"/>
        </w:rPr>
        <w:t>As promptly as practicable after the surrender in accordance with said notice of the certificates for any such shares of Series A Preferred Stock so redeemed (properly endorsed or assigned for transfer, if the Corporation shall so require and if the notice shall so state), such shares of Series A Preferred Stock shall be exchanged for the cash (without interest thereon) for which such shares of Series A Preferred Stock have been redeemed. If fewer than all of the outstanding shares of Series A Preferred Stock are to be redeemed, the shares of Series A Preferred Stock to be redeemed shall be selected by the Corporation from the outstanding shares of Series A Preferred Stock not previously called for redemption by lot or pro rata (as nearly as may be) or by any other method determined by the Corporation in its sole discretion to be equitable. If fewer than all the shares of Series A Preferred Stock evidenced by any certificate are redeemed, then new certificates evidencing the unredeemed shares of Series A Preferred Stock shall be issued without cost to the holder thereof.</w:t>
      </w:r>
    </w:p>
    <w:p>
      <w:pPr>
        <w:spacing w:after="0" w:line="188" w:lineRule="exact"/>
        <w:rPr>
          <w:sz w:val="20"/>
          <w:szCs w:val="20"/>
          <w:color w:val="auto"/>
        </w:rPr>
      </w:pPr>
    </w:p>
    <w:p>
      <w:pPr>
        <w:ind w:right="120" w:firstLine="677"/>
        <w:spacing w:after="0" w:line="270"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Reacquired Shares to Be Retired</w:t>
      </w:r>
      <w:r>
        <w:rPr>
          <w:rFonts w:ascii="Arial" w:cs="Arial" w:eastAsia="Arial" w:hAnsi="Arial"/>
          <w:sz w:val="14"/>
          <w:szCs w:val="14"/>
          <w:color w:val="auto"/>
        </w:rPr>
        <w:t>. All shares of Series A Preferred Stock which shall have been issued and reacquired in any manner by the Corporation shall be restored to the status of authorized but unissued shares of Preferred Stock, without designation as to series.</w:t>
      </w:r>
    </w:p>
    <w:p>
      <w:pPr>
        <w:spacing w:after="0" w:line="176" w:lineRule="exact"/>
        <w:rPr>
          <w:sz w:val="20"/>
          <w:szCs w:val="20"/>
          <w:color w:val="auto"/>
        </w:rPr>
      </w:pPr>
    </w:p>
    <w:p>
      <w:pPr>
        <w:ind w:right="180" w:firstLine="677"/>
        <w:spacing w:after="0" w:line="270"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No R</w:t>
      </w:r>
      <w:r>
        <w:rPr>
          <w:rFonts w:ascii="Arial" w:cs="Arial" w:eastAsia="Arial" w:hAnsi="Arial"/>
          <w:sz w:val="14"/>
          <w:szCs w:val="14"/>
          <w:color w:val="auto"/>
        </w:rPr>
        <w:t>ig</w:t>
      </w:r>
      <w:r>
        <w:rPr>
          <w:rFonts w:ascii="Arial" w:cs="Arial" w:eastAsia="Arial" w:hAnsi="Arial"/>
          <w:sz w:val="14"/>
          <w:szCs w:val="14"/>
          <w:u w:val="single" w:color="auto"/>
          <w:color w:val="auto"/>
        </w:rPr>
        <w:t>ht of Conversion</w:t>
      </w:r>
      <w:r>
        <w:rPr>
          <w:rFonts w:ascii="Arial" w:cs="Arial" w:eastAsia="Arial" w:hAnsi="Arial"/>
          <w:sz w:val="14"/>
          <w:szCs w:val="14"/>
          <w:color w:val="auto"/>
        </w:rPr>
        <w:t>. The Series A Preferred Stock are not convertible into or exchangeable for any other property or securities of the Corporation at the option of any holder of Series A Preferred Stock.</w:t>
      </w:r>
    </w:p>
    <w:p>
      <w:pPr>
        <w:spacing w:after="0" w:line="176" w:lineRule="exact"/>
        <w:rPr>
          <w:sz w:val="20"/>
          <w:szCs w:val="20"/>
          <w:color w:val="auto"/>
        </w:rPr>
      </w:pPr>
    </w:p>
    <w:p>
      <w:pPr>
        <w:jc w:val="both"/>
        <w:ind w:firstLine="677"/>
        <w:spacing w:after="0" w:line="25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Permissible Distributions</w:t>
      </w:r>
      <w:r>
        <w:rPr>
          <w:rFonts w:ascii="Arial" w:cs="Arial" w:eastAsia="Arial" w:hAnsi="Arial"/>
          <w:sz w:val="14"/>
          <w:szCs w:val="14"/>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Rankin</w:t>
      </w:r>
      <w:r>
        <w:rPr>
          <w:rFonts w:ascii="Arial" w:cs="Arial" w:eastAsia="Arial" w:hAnsi="Arial"/>
          <w:sz w:val="14"/>
          <w:szCs w:val="14"/>
          <w:color w:val="auto"/>
        </w:rPr>
        <w:t>g. Any class or series of stock of the Corporation shall be deemed to rank:</w:t>
      </w:r>
    </w:p>
    <w:p>
      <w:pPr>
        <w:spacing w:after="0" w:line="85" w:lineRule="exact"/>
        <w:rPr>
          <w:sz w:val="20"/>
          <w:szCs w:val="20"/>
          <w:color w:val="auto"/>
        </w:rPr>
      </w:pPr>
    </w:p>
    <w:p>
      <w:pPr>
        <w:jc w:val="both"/>
        <w:ind w:right="240" w:firstLine="677"/>
        <w:spacing w:after="0" w:line="257" w:lineRule="auto"/>
        <w:tabs>
          <w:tab w:leader="none" w:pos="97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prior to the Series A Preferred Stock,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Stock;</w:t>
      </w:r>
    </w:p>
    <w:p>
      <w:pPr>
        <w:spacing w:after="0" w:line="184" w:lineRule="exact"/>
        <w:rPr>
          <w:rFonts w:ascii="Arial" w:cs="Arial" w:eastAsia="Arial" w:hAnsi="Arial"/>
          <w:sz w:val="14"/>
          <w:szCs w:val="14"/>
          <w:color w:val="auto"/>
        </w:rPr>
      </w:pPr>
    </w:p>
    <w:p>
      <w:pPr>
        <w:jc w:val="both"/>
        <w:ind w:right="140" w:firstLine="677"/>
        <w:spacing w:after="0" w:line="278" w:lineRule="auto"/>
        <w:tabs>
          <w:tab w:leader="none" w:pos="981" w:val="left"/>
        </w:tabs>
        <w:numPr>
          <w:ilvl w:val="0"/>
          <w:numId w:val="148"/>
        </w:numPr>
        <w:rPr>
          <w:rFonts w:ascii="Arial" w:cs="Arial" w:eastAsia="Arial" w:hAnsi="Arial"/>
          <w:sz w:val="13"/>
          <w:szCs w:val="13"/>
          <w:color w:val="auto"/>
        </w:rPr>
      </w:pPr>
      <w:r>
        <w:rPr>
          <w:rFonts w:ascii="Arial" w:cs="Arial" w:eastAsia="Arial" w:hAnsi="Arial"/>
          <w:sz w:val="13"/>
          <w:szCs w:val="13"/>
          <w:color w:val="auto"/>
        </w:rPr>
        <w:t>on a parity with the Series A Preferred Stock, as to the payment of dividends and as to the distribution of assets upon liquidation, dissolution or winding up, whether or not the dividend rates, dividend payment dates or redemption or liquidation prices per share thereof be different from those of the Series A Preferred Stock, if the holders of such class or series and the Series A Preferred Stock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w:t>
      </w:r>
      <w:r>
        <w:rPr>
          <w:rFonts w:ascii="Arial" w:cs="Arial" w:eastAsia="Arial" w:hAnsi="Arial"/>
          <w:sz w:val="13"/>
          <w:szCs w:val="13"/>
          <w:b w:val="1"/>
          <w:bCs w:val="1"/>
          <w:color w:val="auto"/>
        </w:rPr>
        <w:t>Parity Shares</w:t>
      </w:r>
      <w:r>
        <w:rPr>
          <w:rFonts w:ascii="Arial" w:cs="Arial" w:eastAsia="Arial" w:hAnsi="Arial"/>
          <w:sz w:val="13"/>
          <w:szCs w:val="13"/>
          <w:color w:val="auto"/>
        </w:rPr>
        <w:t>”); and</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1000"/>
          </w:cols>
          <w:pgMar w:left="400" w:top="903" w:right="499" w:bottom="1440" w:gutter="0" w:footer="0" w:header="0"/>
        </w:sectPr>
      </w:pPr>
    </w:p>
    <w:bookmarkStart w:id="238" w:name="page239"/>
    <w:bookmarkEnd w:id="238"/>
    <w:p>
      <w:pPr>
        <w:ind w:right="100" w:firstLine="677"/>
        <w:spacing w:after="0" w:line="286" w:lineRule="auto"/>
        <w:tabs>
          <w:tab w:leader="none" w:pos="973" w:val="left"/>
        </w:tabs>
        <w:numPr>
          <w:ilvl w:val="0"/>
          <w:numId w:val="149"/>
        </w:numPr>
        <w:rPr>
          <w:rFonts w:ascii="Arial" w:cs="Arial" w:eastAsia="Arial" w:hAnsi="Arial"/>
          <w:sz w:val="13"/>
          <w:szCs w:val="13"/>
          <w:color w:val="auto"/>
        </w:rPr>
      </w:pPr>
      <w:r>
        <w:rPr>
          <w:rFonts w:ascii="Arial" w:cs="Arial" w:eastAsia="Arial" w:hAnsi="Arial"/>
          <w:sz w:val="13"/>
          <w:szCs w:val="13"/>
          <w:color w:val="auto"/>
        </w:rPr>
        <w:t>junior to the Series A Preferred Stock, as to the payment of dividends or as to the distribution of assets upon liquidation, dissolution or winding up, if such class or series of stock shall be Common Stock or if the holders of Series A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A Preferred Stock (“</w:t>
      </w:r>
      <w:r>
        <w:rPr>
          <w:rFonts w:ascii="Arial" w:cs="Arial" w:eastAsia="Arial" w:hAnsi="Arial"/>
          <w:sz w:val="13"/>
          <w:szCs w:val="13"/>
          <w:b w:val="1"/>
          <w:bCs w:val="1"/>
          <w:color w:val="auto"/>
        </w:rPr>
        <w:t>Junior Shares</w:t>
      </w:r>
      <w:r>
        <w:rPr>
          <w:rFonts w:ascii="Arial" w:cs="Arial" w:eastAsia="Arial" w:hAnsi="Arial"/>
          <w:sz w:val="13"/>
          <w:szCs w:val="13"/>
          <w:color w:val="auto"/>
        </w:rPr>
        <w:t>”).</w:t>
      </w:r>
    </w:p>
    <w:p>
      <w:pPr>
        <w:spacing w:after="0" w:line="179" w:lineRule="exact"/>
        <w:rPr>
          <w:sz w:val="20"/>
          <w:szCs w:val="20"/>
          <w:color w:val="auto"/>
        </w:rPr>
      </w:pPr>
    </w:p>
    <w:p>
      <w:pPr>
        <w:ind w:right="160" w:firstLine="677"/>
        <w:spacing w:after="0" w:line="257" w:lineRule="auto"/>
        <w:rPr>
          <w:sz w:val="20"/>
          <w:szCs w:val="20"/>
          <w:color w:val="auto"/>
        </w:rPr>
      </w:pPr>
      <w:r>
        <w:rPr>
          <w:rFonts w:ascii="Arial" w:cs="Arial" w:eastAsia="Arial" w:hAnsi="Arial"/>
          <w:sz w:val="14"/>
          <w:szCs w:val="14"/>
          <w:color w:val="auto"/>
        </w:rPr>
        <w:t>As of the date hereof, 14,920,000 authorized shares of Series B Preferred Stock, 5,750,000 authorized shares of Series C Preferred Stock, 8,050,000 authorized shares of Series D Preferred Stock, 10,350,000 authorized shares of Series E Preferred Stock, 10,400,000 authorized shares of Series F Preferred Stock, 3,450,000 authorized shares of Series G Preferred Stock and 11,500,000 authorized shares of Series H Preferred Stock are Parity Shares.</w:t>
      </w:r>
    </w:p>
    <w:p>
      <w:pPr>
        <w:spacing w:after="0" w:line="196" w:lineRule="exact"/>
        <w:rPr>
          <w:sz w:val="20"/>
          <w:szCs w:val="20"/>
          <w:color w:val="auto"/>
        </w:rPr>
      </w:pPr>
    </w:p>
    <w:p>
      <w:pPr>
        <w:ind w:firstLine="677"/>
        <w:spacing w:after="0" w:line="270"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Votin</w:t>
      </w:r>
      <w:r>
        <w:rPr>
          <w:rFonts w:ascii="Arial" w:cs="Arial" w:eastAsia="Arial" w:hAnsi="Arial"/>
          <w:sz w:val="14"/>
          <w:szCs w:val="14"/>
          <w:color w:val="auto"/>
        </w:rPr>
        <w:t>g. Except as otherwise set forth herein, the Series A Preferred Stock shall not have any relative, participating, optional or other voting rights or powers, and the consent of the holders thereof shall not be required for the taking of any corporate action.</w:t>
      </w:r>
    </w:p>
    <w:p>
      <w:pPr>
        <w:spacing w:after="0" w:line="176" w:lineRule="exact"/>
        <w:rPr>
          <w:sz w:val="20"/>
          <w:szCs w:val="20"/>
          <w:color w:val="auto"/>
        </w:rPr>
      </w:pPr>
    </w:p>
    <w:p>
      <w:pPr>
        <w:ind w:right="20" w:firstLine="677"/>
        <w:spacing w:after="0" w:line="291" w:lineRule="auto"/>
        <w:rPr>
          <w:sz w:val="20"/>
          <w:szCs w:val="20"/>
          <w:color w:val="auto"/>
        </w:rPr>
      </w:pPr>
      <w:r>
        <w:rPr>
          <w:rFonts w:ascii="Arial" w:cs="Arial" w:eastAsia="Arial" w:hAnsi="Arial"/>
          <w:sz w:val="12"/>
          <w:szCs w:val="12"/>
          <w:color w:val="auto"/>
        </w:rPr>
        <w:t>If and whenever six quarterly dividends (whether or not consecutive) payable on the Series A Preferred Stock or any series or class of Parity Shares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A Preferred Stock, together with the holders of shares of every other series or class of Parity Shares having like voting rights (shares of any such other series, the “</w:t>
      </w:r>
      <w:r>
        <w:rPr>
          <w:rFonts w:ascii="Arial" w:cs="Arial" w:eastAsia="Arial" w:hAnsi="Arial"/>
          <w:sz w:val="12"/>
          <w:szCs w:val="12"/>
          <w:b w:val="1"/>
          <w:bCs w:val="1"/>
          <w:color w:val="auto"/>
        </w:rPr>
        <w:t>Voting Preferred Shares</w:t>
      </w:r>
      <w:r>
        <w:rPr>
          <w:rFonts w:ascii="Arial" w:cs="Arial" w:eastAsia="Arial" w:hAnsi="Arial"/>
          <w:sz w:val="12"/>
          <w:szCs w:val="12"/>
          <w:color w:val="auto"/>
        </w:rPr>
        <w:t>”), voting as a single class regardless of series, shall be entitled to elect two additional directors to serve on the Board of Directors at any annual meeting of stockholders or special meeting held in place thereof, or at a special meeting of the holders of Series A Preferred Stock and the Voting Preferred Shares called as hereinafter provided. Whenever all arrears in dividends on the Series A Preferred Stock and the Voting Preferred Shares then outstanding shall have been paid and full dividends thereon for the current quarterly dividend period shall have been paid or declared and set apart for payment, then the right of the holders of the Series A Preferred Stock and the Voting Preferred Shares to elect such additional directors shall cease (but subject always to the same provision for the vesting of such voting rights in the case of any similar future arrearages in six quarterly dividends), and the terms of office of the persons elected as directors by the holders of the Series A Preferred Stock and the Voting Preferred Shares shall forthwith terminate and the number of directors constituting the Board of Directors shall be reduced accordingly. At any time after such voting power shall have been so vested in the holders of shares of Series A Preferred Stock and the Voting Preferred Shares, the Secretary of the Corporation may, and upon the written request of any holder of Series A Preferred Stock (addressed to the Secretary at the principal office of the Corporation) shall, call a special meeting of the holders of the Series A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A-9</w:t>
      </w:r>
    </w:p>
    <w:p>
      <w:pPr>
        <w:sectPr>
          <w:pgSz w:w="11900" w:h="16838" w:orient="portrait"/>
          <w:cols w:equalWidth="0" w:num="1">
            <w:col w:w="11040"/>
          </w:cols>
          <w:pgMar w:left="400" w:top="821" w:right="459" w:bottom="1440" w:gutter="0" w:footer="0" w:header="0"/>
        </w:sectPr>
      </w:pPr>
    </w:p>
    <w:bookmarkStart w:id="239" w:name="page240"/>
    <w:bookmarkEnd w:id="239"/>
    <w:p>
      <w:pPr>
        <w:spacing w:after="0" w:line="270" w:lineRule="auto"/>
        <w:rPr>
          <w:sz w:val="20"/>
          <w:szCs w:val="20"/>
          <w:color w:val="auto"/>
        </w:rPr>
      </w:pPr>
      <w:r>
        <w:rPr>
          <w:rFonts w:ascii="Arial" w:cs="Arial" w:eastAsia="Arial" w:hAnsi="Arial"/>
          <w:sz w:val="13"/>
          <w:szCs w:val="13"/>
          <w:color w:val="auto"/>
        </w:rPr>
        <w:t>meeting required to be called as above provided shall not be called by the Secretary within 20 days after receipt of such request, then any holder of Series A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A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A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91" w:lineRule="exact"/>
        <w:rPr>
          <w:sz w:val="20"/>
          <w:szCs w:val="20"/>
          <w:color w:val="auto"/>
        </w:rPr>
      </w:pPr>
    </w:p>
    <w:p>
      <w:pPr>
        <w:ind w:right="80" w:firstLine="677"/>
        <w:spacing w:after="0" w:line="286" w:lineRule="auto"/>
        <w:rPr>
          <w:sz w:val="20"/>
          <w:szCs w:val="20"/>
          <w:color w:val="auto"/>
        </w:rPr>
      </w:pPr>
      <w:r>
        <w:rPr>
          <w:rFonts w:ascii="Arial" w:cs="Arial" w:eastAsia="Arial" w:hAnsi="Arial"/>
          <w:sz w:val="13"/>
          <w:szCs w:val="13"/>
          <w:color w:val="auto"/>
        </w:rPr>
        <w:t>So long as any Series A Preferred Stock are outstanding, in addition to any other vote or consent of stockholders required by the Charter, the affirmative vote of at least 66-2/3% of the votes entitled to be cast by the holders of Series A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39" w:lineRule="exact"/>
        <w:rPr>
          <w:sz w:val="20"/>
          <w:szCs w:val="20"/>
          <w:color w:val="auto"/>
        </w:rPr>
      </w:pPr>
    </w:p>
    <w:p>
      <w:pPr>
        <w:ind w:right="120" w:firstLine="677"/>
        <w:spacing w:after="0" w:line="267" w:lineRule="auto"/>
        <w:tabs>
          <w:tab w:leader="none" w:pos="96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Any amendment, alteration or repeal of any of the provisions of the Charter or these Articles Supplementary that materially and adversely affects the voting powers, rights or preferences of the holders of the Series A Preferred Stock or the Voting Preferred Shares; provided, however, that (i) the amendment of the provisions of the Charter so as to authorize or create or to increase the authorized amount of, any Junior Shares or any shares of any class or series ranking on a parity with the Series A Preferred Stock or the Voting Preferred Shares (including any amendment to increase the amount of authorized shares of Series A Preferred Stock) shall not be deemed to materially adversely affect the voting powers, rights or preferences of the holders of Series A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A Preferred Stock, provided that: (1) the Corporation is the surviving entity and the Series A Preferred Stock remain outstanding with the terms thereof materially unchanged in any respect adverse to the holders thereof; or (2) the resulting, surviving or transferee entity is organized under the laws of any state and substitutes or exchanges the Series A Preferred Stock for other preferred stock or shares having preferences, conversion and other rights, voting powers, restrictions, limitations as to dividends, qualifications and terms and conditions of redemption thereof that are substantially similar to that of the Series A Preferred Stock (except for changes that do not materially and adversely affect the holders of Series A Preferred Stock); and provided further, that if any such amendment, alteration or repeal would materially and adversely affect any voting powers, rights or preferences of the Series A Preferred Stock or one or more but not all series of Voting Preferred Shares at the time outstanding, the affirmative vote</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A-10</w:t>
      </w:r>
    </w:p>
    <w:p>
      <w:pPr>
        <w:sectPr>
          <w:pgSz w:w="11900" w:h="16838" w:orient="portrait"/>
          <w:cols w:equalWidth="0" w:num="1">
            <w:col w:w="11040"/>
          </w:cols>
          <w:pgMar w:left="400" w:top="903" w:right="459" w:bottom="1440" w:gutter="0" w:footer="0" w:header="0"/>
        </w:sectPr>
      </w:pPr>
    </w:p>
    <w:bookmarkStart w:id="240" w:name="page241"/>
    <w:bookmarkEnd w:id="240"/>
    <w:p>
      <w:pPr>
        <w:spacing w:after="0" w:line="257" w:lineRule="auto"/>
        <w:rPr>
          <w:sz w:val="20"/>
          <w:szCs w:val="20"/>
          <w:color w:val="auto"/>
        </w:rPr>
      </w:pPr>
      <w:r>
        <w:rPr>
          <w:rFonts w:ascii="Arial" w:cs="Arial" w:eastAsia="Arial" w:hAnsi="Arial"/>
          <w:sz w:val="14"/>
          <w:szCs w:val="14"/>
          <w:color w:val="auto"/>
        </w:rPr>
        <w:t>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 66-2/3% of the votes entitled to be cast by the holders of the Series A Preferred Stock and the Voting Preferred Shares otherwise entitled to vote in accordance herewith; or</w:t>
      </w:r>
    </w:p>
    <w:p>
      <w:pPr>
        <w:spacing w:after="0" w:line="67" w:lineRule="exact"/>
        <w:rPr>
          <w:sz w:val="20"/>
          <w:szCs w:val="20"/>
          <w:color w:val="auto"/>
        </w:rPr>
      </w:pPr>
    </w:p>
    <w:p>
      <w:pPr>
        <w:ind w:right="20" w:firstLine="677"/>
        <w:spacing w:after="0" w:line="299" w:lineRule="auto"/>
        <w:tabs>
          <w:tab w:leader="none" w:pos="979"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authorization or creation of, or the increase in the authorized amount of, any shares of any class or series or any security convertible into shares of any class or series ranking prior to the Series A Preferred Stock in the distribution on any liquidation, dissolution or winding up of the Corporation or in the payment of dividends; provided, however, that, in the case of each of subparagraphs (a) and (b), no such vote of the holders of Series A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A Preferred Stock or Voting Preferred Shares, as the case may be, at the time outstanding in accordance with Section 5 hereof or, in the case of a merger, consolidation or otherwise, regardless of the date of the transaction, the holders of the Series A Preferred Stock receive in the transaction their liquidation preference plus accrued and unpaid dividends.</w:t>
      </w:r>
    </w:p>
    <w:p>
      <w:pPr>
        <w:spacing w:after="0" w:line="161" w:lineRule="exact"/>
        <w:rPr>
          <w:sz w:val="20"/>
          <w:szCs w:val="20"/>
          <w:color w:val="auto"/>
        </w:rPr>
      </w:pPr>
    </w:p>
    <w:p>
      <w:pPr>
        <w:ind w:right="140" w:firstLine="677"/>
        <w:spacing w:after="0" w:line="249"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Information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During any period in which the Corporation is not subject to Section 13 or 15(d) of the Securities Exchange Act and any shares of Series A Preferred Stock are outstanding, the Corporation will (i) transmit by mail to all holders of Series A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A Preferred Stock. The Corporation will mail the information to the holders of Series A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02" w:lineRule="exact"/>
        <w:rPr>
          <w:sz w:val="20"/>
          <w:szCs w:val="20"/>
          <w:color w:val="auto"/>
        </w:rPr>
      </w:pPr>
    </w:p>
    <w:p>
      <w:pPr>
        <w:ind w:right="120" w:firstLine="677"/>
        <w:spacing w:after="0" w:line="270"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Record Holders</w:t>
      </w:r>
      <w:r>
        <w:rPr>
          <w:rFonts w:ascii="Arial" w:cs="Arial" w:eastAsia="Arial" w:hAnsi="Arial"/>
          <w:sz w:val="14"/>
          <w:szCs w:val="14"/>
          <w:color w:val="auto"/>
        </w:rPr>
        <w:t>. The Corporation and the Transfer Agent may deem and treat the record holder of any Series A Preferred Stock as the true and lawful owner thereof for all purposes, and neither the Corporation nor the Transfer Agent shall be affected by any notice to the contrary.</w:t>
      </w:r>
    </w:p>
    <w:p>
      <w:pPr>
        <w:spacing w:after="0" w:line="176" w:lineRule="exact"/>
        <w:rPr>
          <w:sz w:val="20"/>
          <w:szCs w:val="20"/>
          <w:color w:val="auto"/>
        </w:rPr>
      </w:pPr>
    </w:p>
    <w:p>
      <w:pPr>
        <w:ind w:right="20" w:firstLine="677"/>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Restrictions on Ownership and Transfer</w:t>
      </w:r>
      <w:r>
        <w:rPr>
          <w:rFonts w:ascii="Arial" w:cs="Arial" w:eastAsia="Arial" w:hAnsi="Arial"/>
          <w:sz w:val="14"/>
          <w:szCs w:val="14"/>
          <w:color w:val="auto"/>
        </w:rPr>
        <w:t>. The Series A Preferred Stock constitute Preferred Stock, and Preferred Stock constitutes Capital Stock of the Corporation. Therefore, the Series A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A Preferred Stock of any other term or provision of the Charter.</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A-11</w:t>
      </w:r>
    </w:p>
    <w:p>
      <w:pPr>
        <w:sectPr>
          <w:pgSz w:w="11900" w:h="16838" w:orient="portrait"/>
          <w:cols w:equalWidth="0" w:num="1">
            <w:col w:w="11000"/>
          </w:cols>
          <w:pgMar w:left="400" w:top="903" w:right="499" w:bottom="1440" w:gutter="0" w:footer="0" w:header="0"/>
        </w:sectPr>
      </w:pPr>
    </w:p>
    <w:bookmarkStart w:id="241" w:name="page242"/>
    <w:bookmarkEnd w:id="241"/>
    <w:p>
      <w:pPr>
        <w:jc w:val="center"/>
        <w:ind w:right="-99"/>
        <w:spacing w:after="0"/>
        <w:rPr>
          <w:sz w:val="20"/>
          <w:szCs w:val="20"/>
          <w:color w:val="auto"/>
        </w:rPr>
      </w:pPr>
      <w:r>
        <w:rPr>
          <w:rFonts w:ascii="Arial" w:cs="Arial" w:eastAsia="Arial" w:hAnsi="Arial"/>
          <w:sz w:val="14"/>
          <w:szCs w:val="14"/>
          <w:b w:val="1"/>
          <w:bCs w:val="1"/>
          <w:color w:val="auto"/>
        </w:rPr>
        <w:t>EXHIBIT B</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SERIES B PREFERRED STOCK</w:t>
      </w:r>
    </w:p>
    <w:p>
      <w:pPr>
        <w:spacing w:after="0" w:line="197" w:lineRule="exact"/>
        <w:rPr>
          <w:sz w:val="20"/>
          <w:szCs w:val="20"/>
          <w:color w:val="auto"/>
        </w:rPr>
      </w:pPr>
    </w:p>
    <w:p>
      <w:pPr>
        <w:ind w:right="120" w:firstLine="702"/>
        <w:spacing w:after="0" w:line="276" w:lineRule="auto"/>
        <w:rPr>
          <w:sz w:val="20"/>
          <w:szCs w:val="20"/>
          <w:color w:val="auto"/>
        </w:rPr>
      </w:pPr>
      <w:r>
        <w:rPr>
          <w:rFonts w:ascii="Arial" w:cs="Arial" w:eastAsia="Arial" w:hAnsi="Arial"/>
          <w:sz w:val="13"/>
          <w:szCs w:val="13"/>
          <w:color w:val="auto"/>
        </w:rPr>
        <w:t>Under a power contained in the charter (the “</w:t>
      </w:r>
      <w:r>
        <w:rPr>
          <w:rFonts w:ascii="Arial" w:cs="Arial" w:eastAsia="Arial" w:hAnsi="Arial"/>
          <w:sz w:val="13"/>
          <w:szCs w:val="13"/>
          <w:b w:val="1"/>
          <w:bCs w:val="1"/>
          <w:color w:val="auto"/>
        </w:rPr>
        <w:t>Charter</w:t>
      </w:r>
      <w:r>
        <w:rPr>
          <w:rFonts w:ascii="Arial" w:cs="Arial" w:eastAsia="Arial" w:hAnsi="Arial"/>
          <w:sz w:val="13"/>
          <w:szCs w:val="13"/>
          <w:color w:val="auto"/>
        </w:rPr>
        <w:t>”) of Colony NorthStar,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the Board of Directors of the Corporation classified and designated 14,920,000 shares (the “</w:t>
      </w:r>
      <w:r>
        <w:rPr>
          <w:rFonts w:ascii="Arial" w:cs="Arial" w:eastAsia="Arial" w:hAnsi="Arial"/>
          <w:sz w:val="13"/>
          <w:szCs w:val="13"/>
          <w:b w:val="1"/>
          <w:bCs w:val="1"/>
          <w:color w:val="auto"/>
        </w:rPr>
        <w:t>Shares</w:t>
      </w:r>
      <w:r>
        <w:rPr>
          <w:rFonts w:ascii="Arial" w:cs="Arial" w:eastAsia="Arial" w:hAnsi="Arial"/>
          <w:sz w:val="13"/>
          <w:szCs w:val="13"/>
          <w:color w:val="auto"/>
        </w:rPr>
        <w:t>”) of the Preferred Stock (as defined in the Charter), as shares of 8.25% Series B Cumulative Redeemable Perpetual Preferred Stock, liquidation preference $25.00 per share (“</w:t>
      </w:r>
      <w:r>
        <w:rPr>
          <w:rFonts w:ascii="Arial" w:cs="Arial" w:eastAsia="Arial" w:hAnsi="Arial"/>
          <w:sz w:val="13"/>
          <w:szCs w:val="13"/>
          <w:b w:val="1"/>
          <w:bCs w:val="1"/>
          <w:color w:val="auto"/>
        </w:rPr>
        <w:t>Series B Preferred Stock</w:t>
      </w:r>
      <w:r>
        <w:rPr>
          <w:rFonts w:ascii="Arial" w:cs="Arial" w:eastAsia="Arial" w:hAnsi="Arial"/>
          <w:sz w:val="13"/>
          <w:szCs w:val="13"/>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8.25% Series B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right="260" w:firstLine="677"/>
        <w:spacing w:after="0" w:line="270"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Number of Shares and Des</w:t>
      </w:r>
      <w:r>
        <w:rPr>
          <w:rFonts w:ascii="Arial" w:cs="Arial" w:eastAsia="Arial" w:hAnsi="Arial"/>
          <w:sz w:val="14"/>
          <w:szCs w:val="14"/>
          <w:color w:val="auto"/>
        </w:rPr>
        <w:t>ig</w:t>
      </w:r>
      <w:r>
        <w:rPr>
          <w:rFonts w:ascii="Arial" w:cs="Arial" w:eastAsia="Arial" w:hAnsi="Arial"/>
          <w:sz w:val="14"/>
          <w:szCs w:val="14"/>
          <w:u w:val="single" w:color="auto"/>
          <w:color w:val="auto"/>
        </w:rPr>
        <w:t>nation</w:t>
      </w:r>
      <w:r>
        <w:rPr>
          <w:rFonts w:ascii="Arial" w:cs="Arial" w:eastAsia="Arial" w:hAnsi="Arial"/>
          <w:sz w:val="14"/>
          <w:szCs w:val="14"/>
          <w:color w:val="auto"/>
        </w:rPr>
        <w:t>. This series of Preferred Stock shall be designated as 8.25% Series B Cumulative Redeemable Perpetual Preferred Stock, liquidation preference $25.00 per share (the “</w:t>
      </w:r>
      <w:r>
        <w:rPr>
          <w:rFonts w:ascii="Arial" w:cs="Arial" w:eastAsia="Arial" w:hAnsi="Arial"/>
          <w:sz w:val="14"/>
          <w:szCs w:val="14"/>
          <w:b w:val="1"/>
          <w:bCs w:val="1"/>
          <w:color w:val="auto"/>
        </w:rPr>
        <w:t>Series B Preferred Stock</w:t>
      </w:r>
      <w:r>
        <w:rPr>
          <w:rFonts w:ascii="Arial" w:cs="Arial" w:eastAsia="Arial" w:hAnsi="Arial"/>
          <w:sz w:val="14"/>
          <w:szCs w:val="14"/>
          <w:color w:val="auto"/>
        </w:rPr>
        <w:t>”), and 14,920,000 shall be the number of shares of Preferred Stock constituting such series.</w:t>
      </w:r>
    </w:p>
    <w:p>
      <w:pPr>
        <w:spacing w:after="0" w:line="218" w:lineRule="exact"/>
        <w:rPr>
          <w:sz w:val="20"/>
          <w:szCs w:val="20"/>
          <w:color w:val="auto"/>
        </w:rPr>
      </w:pPr>
    </w:p>
    <w:p>
      <w:pPr>
        <w:ind w:left="660" w:right="1060" w:firstLine="13"/>
        <w:spacing w:after="0" w:line="348"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the Series B Preferred Stock, the following terms shall have the meanings indicated: “</w:t>
      </w:r>
      <w:r>
        <w:rPr>
          <w:rFonts w:ascii="Arial" w:cs="Arial" w:eastAsia="Arial" w:hAnsi="Arial"/>
          <w:sz w:val="14"/>
          <w:szCs w:val="14"/>
          <w:b w:val="1"/>
          <w:bCs w:val="1"/>
          <w:color w:val="auto"/>
        </w:rPr>
        <w:t>Annual Dividend Rate</w:t>
      </w:r>
      <w:r>
        <w:rPr>
          <w:rFonts w:ascii="Arial" w:cs="Arial" w:eastAsia="Arial" w:hAnsi="Arial"/>
          <w:sz w:val="14"/>
          <w:szCs w:val="14"/>
          <w:color w:val="auto"/>
        </w:rPr>
        <w:t>” shall have the meaning set forth in paragraph (a) of Section 3 hereof.</w:t>
      </w:r>
    </w:p>
    <w:p>
      <w:pPr>
        <w:spacing w:after="0" w:line="1" w:lineRule="exact"/>
        <w:rPr>
          <w:sz w:val="20"/>
          <w:szCs w:val="20"/>
          <w:color w:val="auto"/>
        </w:rPr>
      </w:pPr>
    </w:p>
    <w:p>
      <w:pPr>
        <w:ind w:left="340" w:right="8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shall mean the Board of Directors of the Corporation or any committee authorized by such Board of Directors to perform any of its responsibilities with respect to the Series B Preferred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shall mean any day other than a Saturday, Sunday or a day on which state or federally chartered banking institutions in New York, New York are not required to be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open.</w:t>
      </w:r>
    </w:p>
    <w:p>
      <w:pPr>
        <w:spacing w:after="0" w:line="115" w:lineRule="exact"/>
        <w:rPr>
          <w:sz w:val="20"/>
          <w:szCs w:val="20"/>
          <w:color w:val="auto"/>
        </w:rPr>
      </w:pPr>
    </w:p>
    <w:p>
      <w:pPr>
        <w:ind w:left="660" w:right="2920"/>
        <w:spacing w:after="0" w:line="34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shall have the meaning set forth in paragraph (a) of Section 5 hereof. “</w:t>
      </w:r>
      <w:r>
        <w:rPr>
          <w:rFonts w:ascii="Arial" w:cs="Arial" w:eastAsia="Arial" w:hAnsi="Arial"/>
          <w:sz w:val="14"/>
          <w:szCs w:val="14"/>
          <w:b w:val="1"/>
          <w:bCs w:val="1"/>
          <w:color w:val="auto"/>
        </w:rPr>
        <w:t>Charter</w:t>
      </w:r>
      <w:r>
        <w:rPr>
          <w:rFonts w:ascii="Arial" w:cs="Arial" w:eastAsia="Arial" w:hAnsi="Arial"/>
          <w:sz w:val="14"/>
          <w:szCs w:val="14"/>
          <w:color w:val="auto"/>
        </w:rPr>
        <w:t>” shall mean the charter of the Corporation.</w:t>
      </w:r>
    </w:p>
    <w:p>
      <w:pPr>
        <w:spacing w:after="0" w:line="1" w:lineRule="exact"/>
        <w:rPr>
          <w:sz w:val="20"/>
          <w:szCs w:val="20"/>
          <w:color w:val="auto"/>
        </w:rPr>
      </w:pPr>
    </w:p>
    <w:p>
      <w:pPr>
        <w:ind w:left="340" w:right="2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shall mean, collectively, the Class A Common Stock of the Corporation, par value $.01 per share, the Class B Common Stock of the Corporation, par value $.01 per share, and the Performance Common Stock of the Corporation, par value $.01 per share.</w:t>
      </w:r>
    </w:p>
    <w:p>
      <w:pPr>
        <w:spacing w:after="0" w:line="51" w:lineRule="exact"/>
        <w:rPr>
          <w:sz w:val="20"/>
          <w:szCs w:val="20"/>
          <w:color w:val="auto"/>
        </w:rPr>
      </w:pPr>
    </w:p>
    <w:p>
      <w:pPr>
        <w:ind w:left="34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Date</w:t>
      </w:r>
      <w:r>
        <w:rPr>
          <w:rFonts w:ascii="Arial" w:cs="Arial" w:eastAsia="Arial" w:hAnsi="Arial"/>
          <w:sz w:val="14"/>
          <w:szCs w:val="14"/>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be paid on the first Business Day immediately following such Dividend Payment Date.</w:t>
      </w:r>
    </w:p>
    <w:p>
      <w:pPr>
        <w:sectPr>
          <w:pgSz w:w="11900" w:h="16838" w:orient="portrait"/>
          <w:cols w:equalWidth="0" w:num="1">
            <w:col w:w="10980"/>
          </w:cols>
          <w:pgMar w:left="400" w:top="887" w:right="519" w:bottom="1440" w:gutter="0" w:footer="0" w:header="0"/>
        </w:sectPr>
      </w:pPr>
    </w:p>
    <w:bookmarkStart w:id="242" w:name="page243"/>
    <w:bookmarkEnd w:id="242"/>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shall have the meaning set forth in paragraph (a) of Section 3 hereof.</w:t>
      </w:r>
    </w:p>
    <w:p>
      <w:pPr>
        <w:spacing w:after="0" w:line="96" w:lineRule="exact"/>
        <w:rPr>
          <w:sz w:val="20"/>
          <w:szCs w:val="20"/>
          <w:color w:val="auto"/>
        </w:rPr>
      </w:pPr>
    </w:p>
    <w:p>
      <w:pPr>
        <w:ind w:right="80" w:firstLine="325"/>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Periods</w:t>
      </w:r>
      <w:r>
        <w:rPr>
          <w:rFonts w:ascii="Arial" w:cs="Arial" w:eastAsia="Arial" w:hAnsi="Arial"/>
          <w:sz w:val="13"/>
          <w:szCs w:val="13"/>
          <w:color w:val="auto"/>
        </w:rPr>
        <w:t>” shall mean quarterly dividend periods commencing on February 15, May 15, August 15 and November 15, of each year and ending on and including the day preceding the first day of the next succeeding Dividend Period (other than the initial Dividend Period with respect to each share of Series B Preferred Stock, which, (i) for Series B Preferred Stock issued prior to January 11, 2017, shall commence on, and include, November 15, 2016 and end on and include February 14, 2017; and (ii) for Series B Preferred Stock issued on or after January 11, 2017, shall commence on the Dividend Payment Date with respect to which dividends were actually paid on Series B Preferred Stock that were outstanding immediately preceding the issuance of such Series B Preferred Stock and end on and include the day preceding the first day of the next succeeding Dividend Period).</w:t>
      </w:r>
    </w:p>
    <w:p>
      <w:pPr>
        <w:spacing w:after="0" w:line="41"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Junior Shares</w:t>
      </w:r>
      <w:r>
        <w:rPr>
          <w:rFonts w:ascii="Arial" w:cs="Arial" w:eastAsia="Arial" w:hAnsi="Arial"/>
          <w:sz w:val="14"/>
          <w:szCs w:val="14"/>
          <w:color w:val="auto"/>
        </w:rPr>
        <w:t>” shall mean the Common Stock and any other class or series of stock of the Corporation constituting junior shares of stock within the meaning set forth in paragraph (c) of Section 9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shall have the meaning set forth in paragraph (a) of Section 4 hereof. “</w:t>
      </w:r>
      <w:r>
        <w:rPr>
          <w:rFonts w:ascii="Arial" w:cs="Arial" w:eastAsia="Arial" w:hAnsi="Arial"/>
          <w:sz w:val="14"/>
          <w:szCs w:val="14"/>
          <w:b w:val="1"/>
          <w:bCs w:val="1"/>
          <w:color w:val="auto"/>
        </w:rPr>
        <w:t>Parity Shares</w:t>
      </w:r>
      <w:r>
        <w:rPr>
          <w:rFonts w:ascii="Arial" w:cs="Arial" w:eastAsia="Arial" w:hAnsi="Arial"/>
          <w:sz w:val="14"/>
          <w:szCs w:val="14"/>
          <w:color w:val="auto"/>
        </w:rPr>
        <w:t>” shall have the meaning set forth in</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paragraph (b) of Section 9 hereof.</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shall mean any individual, firm, partnership, corporation, limited liability company or other entity, and shall include any successor (by merger or otherwise) of such entity.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set forth in paragraph (c) of Section 5 hereof. “</w:t>
      </w:r>
      <w:r>
        <w:rPr>
          <w:rFonts w:ascii="Arial" w:cs="Arial" w:eastAsia="Arial" w:hAnsi="Arial"/>
          <w:sz w:val="14"/>
          <w:szCs w:val="14"/>
          <w:b w:val="1"/>
          <w:bCs w:val="1"/>
          <w:color w:val="auto"/>
        </w:rPr>
        <w:t>Redemption Price</w:t>
      </w:r>
      <w:r>
        <w:rPr>
          <w:rFonts w:ascii="Arial" w:cs="Arial" w:eastAsia="Arial" w:hAnsi="Arial"/>
          <w:sz w:val="14"/>
          <w:szCs w:val="14"/>
          <w:color w:val="auto"/>
        </w:rPr>
        <w:t>” shall have the meaning set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forth in paragraph (c) of Section 5 hereof.</w:t>
      </w:r>
    </w:p>
    <w:p>
      <w:pPr>
        <w:spacing w:after="0" w:line="34"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A Preferred Stock</w:t>
      </w:r>
      <w:r>
        <w:rPr>
          <w:rFonts w:ascii="Arial" w:cs="Arial" w:eastAsia="Arial" w:hAnsi="Arial"/>
          <w:sz w:val="14"/>
          <w:szCs w:val="14"/>
          <w:color w:val="auto"/>
        </w:rPr>
        <w:t>” shall mean the 8.75% Series A Cumulative Redeemable Perpetual Preferred Stock, liquidation preference $25.00 per share.</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shall have the meaning set forth in Section 1 hereof.</w:t>
      </w:r>
    </w:p>
    <w:p>
      <w:pPr>
        <w:spacing w:after="0" w:line="73" w:lineRule="exact"/>
        <w:rPr>
          <w:sz w:val="20"/>
          <w:szCs w:val="20"/>
          <w:color w:val="auto"/>
        </w:rPr>
      </w:pPr>
    </w:p>
    <w:p>
      <w:pPr>
        <w:ind w:right="27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C Preferred Stock</w:t>
      </w:r>
      <w:r>
        <w:rPr>
          <w:rFonts w:ascii="Arial" w:cs="Arial" w:eastAsia="Arial" w:hAnsi="Arial"/>
          <w:sz w:val="14"/>
          <w:szCs w:val="14"/>
          <w:color w:val="auto"/>
        </w:rPr>
        <w:t>” shall mean the 8.875% Series C Cumulative Redeemable Perpetual Preferred Stock, liquidation preference $25.00 per share.</w:t>
      </w:r>
    </w:p>
    <w:p>
      <w:pPr>
        <w:spacing w:after="0" w:line="38" w:lineRule="exact"/>
        <w:rPr>
          <w:sz w:val="20"/>
          <w:szCs w:val="20"/>
          <w:color w:val="auto"/>
        </w:rPr>
      </w:pPr>
    </w:p>
    <w:p>
      <w:pPr>
        <w:ind w:right="27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D Preferred Stock</w:t>
      </w:r>
      <w:r>
        <w:rPr>
          <w:rFonts w:ascii="Arial" w:cs="Arial" w:eastAsia="Arial" w:hAnsi="Arial"/>
          <w:sz w:val="14"/>
          <w:szCs w:val="14"/>
          <w:color w:val="auto"/>
        </w:rPr>
        <w:t>” shall mean the 8.500% Series D Cumulative Redeemable Perpetual Preferred Stock, liquidation preference $25.00 per share.</w:t>
      </w:r>
    </w:p>
    <w:p>
      <w:pPr>
        <w:spacing w:after="0" w:line="77"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B-2</w:t>
      </w:r>
    </w:p>
    <w:p>
      <w:pPr>
        <w:sectPr>
          <w:pgSz w:w="11900" w:h="16838" w:orient="portrait"/>
          <w:cols w:equalWidth="0" w:num="1">
            <w:col w:w="10700"/>
          </w:cols>
          <w:pgMar w:left="740" w:top="887" w:right="459" w:bottom="1440" w:gutter="0" w:footer="0" w:header="0"/>
        </w:sectPr>
      </w:pPr>
    </w:p>
    <w:bookmarkStart w:id="243" w:name="page244"/>
    <w:bookmarkEnd w:id="243"/>
    <w:p>
      <w:pPr>
        <w:ind w:left="300" w:right="28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E Preferred Stock</w:t>
      </w:r>
      <w:r>
        <w:rPr>
          <w:rFonts w:ascii="Arial" w:cs="Arial" w:eastAsia="Arial" w:hAnsi="Arial"/>
          <w:sz w:val="14"/>
          <w:szCs w:val="14"/>
          <w:color w:val="auto"/>
        </w:rPr>
        <w:t>” shall mean the 8.75% Series E Cumulative Redeemable Perpetual Preferred Stock, liquidation preference $25.00 per share.</w:t>
      </w:r>
    </w:p>
    <w:p>
      <w:pPr>
        <w:spacing w:after="0" w:line="50" w:lineRule="exact"/>
        <w:rPr>
          <w:sz w:val="20"/>
          <w:szCs w:val="20"/>
          <w:color w:val="auto"/>
        </w:rPr>
      </w:pPr>
    </w:p>
    <w:p>
      <w:pPr>
        <w:ind w:left="300" w:right="288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F Preferred Stock</w:t>
      </w:r>
      <w:r>
        <w:rPr>
          <w:rFonts w:ascii="Arial" w:cs="Arial" w:eastAsia="Arial" w:hAnsi="Arial"/>
          <w:sz w:val="14"/>
          <w:szCs w:val="14"/>
          <w:color w:val="auto"/>
        </w:rPr>
        <w:t>” shall mean the 8.50% Series F Cumulative Redeemable Perpetual Preferred Stock, liquidation preference $25.00 per share.</w:t>
      </w:r>
    </w:p>
    <w:p>
      <w:pPr>
        <w:spacing w:after="0" w:line="38" w:lineRule="exact"/>
        <w:rPr>
          <w:sz w:val="20"/>
          <w:szCs w:val="20"/>
          <w:color w:val="auto"/>
        </w:rPr>
      </w:pPr>
    </w:p>
    <w:p>
      <w:pPr>
        <w:ind w:left="300"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G Preferred Stock</w:t>
      </w:r>
      <w:r>
        <w:rPr>
          <w:rFonts w:ascii="Arial" w:cs="Arial" w:eastAsia="Arial" w:hAnsi="Arial"/>
          <w:sz w:val="14"/>
          <w:szCs w:val="14"/>
          <w:color w:val="auto"/>
        </w:rPr>
        <w:t>” shall mean the 7.50% Series G Cumulative Redeemable Perpetual Preferred Stock, liquidation preference $25.00 per share.</w:t>
      </w:r>
    </w:p>
    <w:p>
      <w:pPr>
        <w:spacing w:after="0" w:line="38" w:lineRule="exact"/>
        <w:rPr>
          <w:sz w:val="20"/>
          <w:szCs w:val="20"/>
          <w:color w:val="auto"/>
        </w:rPr>
      </w:pPr>
    </w:p>
    <w:p>
      <w:pPr>
        <w:ind w:left="300" w:right="27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H Preferred Stock</w:t>
      </w:r>
      <w:r>
        <w:rPr>
          <w:rFonts w:ascii="Arial" w:cs="Arial" w:eastAsia="Arial" w:hAnsi="Arial"/>
          <w:sz w:val="14"/>
          <w:szCs w:val="14"/>
          <w:color w:val="auto"/>
        </w:rPr>
        <w:t>” shall mean the 7.125% Series H Cumulative Redeemable Perpetual Preferred Stock, liquidation preference $25.00 per share.</w:t>
      </w:r>
    </w:p>
    <w:p>
      <w:pPr>
        <w:spacing w:after="0" w:line="50" w:lineRule="exact"/>
        <w:rPr>
          <w:sz w:val="20"/>
          <w:szCs w:val="20"/>
          <w:color w:val="auto"/>
        </w:rPr>
      </w:pPr>
    </w:p>
    <w:p>
      <w:pPr>
        <w:jc w:val="both"/>
        <w:ind w:left="300" w:right="42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 apart for payment</w:t>
      </w:r>
      <w:r>
        <w:rPr>
          <w:rFonts w:ascii="Arial" w:cs="Arial" w:eastAsia="Arial" w:hAnsi="Arial"/>
          <w:sz w:val="14"/>
          <w:szCs w:val="14"/>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50" w:lineRule="exact"/>
        <w:rPr>
          <w:sz w:val="20"/>
          <w:szCs w:val="20"/>
          <w:color w:val="auto"/>
        </w:rPr>
      </w:pPr>
    </w:p>
    <w:p>
      <w:pPr>
        <w:ind w:left="300" w:right="28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means American Stock Transfer &amp; Trust Company, New York, New York, or such other agent or agents of the Corporation as may be designated by the Board of Directors or its designee as the transfer agent for the Series B Preferred Stock.</w:t>
      </w:r>
    </w:p>
    <w:p>
      <w:pPr>
        <w:spacing w:after="0" w:line="97" w:lineRule="exact"/>
        <w:rPr>
          <w:sz w:val="20"/>
          <w:szCs w:val="20"/>
          <w:color w:val="auto"/>
        </w:rPr>
      </w:pPr>
    </w:p>
    <w:p>
      <w:pPr>
        <w:ind w:left="620" w:right="2900"/>
        <w:spacing w:after="0" w:line="40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Preferred Shares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Voting Stock</w:t>
      </w:r>
      <w:r>
        <w:rPr>
          <w:rFonts w:ascii="Arial" w:cs="Arial" w:eastAsia="Arial" w:hAnsi="Arial"/>
          <w:sz w:val="14"/>
          <w:szCs w:val="14"/>
          <w:color w:val="auto"/>
        </w:rPr>
        <w:t>” shall have the meaning set forth in paragraph (a) of Section 5 hereof.</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Dividends</w:t>
      </w:r>
      <w:r>
        <w:rPr>
          <w:rFonts w:ascii="Arial" w:cs="Arial" w:eastAsia="Arial" w:hAnsi="Arial"/>
          <w:sz w:val="14"/>
          <w:szCs w:val="14"/>
          <w:color w:val="auto"/>
        </w:rPr>
        <w:t>.</w:t>
      </w:r>
    </w:p>
    <w:p>
      <w:pPr>
        <w:spacing w:after="0" w:line="85" w:lineRule="exact"/>
        <w:rPr>
          <w:sz w:val="20"/>
          <w:szCs w:val="20"/>
          <w:color w:val="auto"/>
        </w:rPr>
      </w:pPr>
    </w:p>
    <w:p>
      <w:pPr>
        <w:ind w:left="-40" w:firstLine="677"/>
        <w:spacing w:after="0" w:line="269" w:lineRule="auto"/>
        <w:tabs>
          <w:tab w:leader="none" w:pos="931"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holders of Series B Preferred Stock shall be entitled to receive, when, as and if authorized by the Board of Directors and declared by the Corporation out of assets legally available for that purpose, dividends payable in cash at the rate per annum of $2.0625 per share of Series B Preferred Stock (the “</w:t>
      </w:r>
      <w:r>
        <w:rPr>
          <w:rFonts w:ascii="Arial" w:cs="Arial" w:eastAsia="Arial" w:hAnsi="Arial"/>
          <w:sz w:val="13"/>
          <w:szCs w:val="13"/>
          <w:b w:val="1"/>
          <w:bCs w:val="1"/>
          <w:color w:val="auto"/>
        </w:rPr>
        <w:t>Annual Dividend Rate</w:t>
      </w:r>
      <w:r>
        <w:rPr>
          <w:rFonts w:ascii="Arial" w:cs="Arial" w:eastAsia="Arial" w:hAnsi="Arial"/>
          <w:sz w:val="13"/>
          <w:szCs w:val="13"/>
          <w:color w:val="auto"/>
        </w:rPr>
        <w:t>”) (equivalent to a rate of 8.25% of the Liquidation Preference per annum). Such dividends with respect to each share of Series B Preferred Stock issued prior to January 11, 2017 shall be cumulative from, and including, November 15, 2016 and with respect to each share of Series B Preferred Stock issued on or after January 11, 2017 shall be cumulative from the Dividend Payment Date with respect to which dividends were actually paid on shares of Series B Preferred Stock that were outstanding immediately preceding the issuance of such shares of Series B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B Preferred Stock on the first Dividend Payment Date following issuance of such shares of Series B Preferred Stock. Dividends are cumulative from the most recent Dividend Payment Date to which dividends have been paid,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11020"/>
          </w:cols>
          <w:pgMar w:left="440" w:top="887" w:right="439" w:bottom="1440" w:gutter="0" w:footer="0" w:header="0"/>
        </w:sectPr>
      </w:pPr>
    </w:p>
    <w:bookmarkStart w:id="244" w:name="page245"/>
    <w:bookmarkEnd w:id="244"/>
    <w:p>
      <w:pPr>
        <w:spacing w:after="0" w:line="268" w:lineRule="auto"/>
        <w:rPr>
          <w:sz w:val="20"/>
          <w:szCs w:val="20"/>
          <w:color w:val="auto"/>
        </w:rPr>
      </w:pPr>
      <w:r>
        <w:rPr>
          <w:rFonts w:ascii="Arial" w:cs="Arial" w:eastAsia="Arial" w:hAnsi="Arial"/>
          <w:sz w:val="13"/>
          <w:szCs w:val="13"/>
          <w:color w:val="auto"/>
        </w:rPr>
        <w:t>whether or not in any Dividend Period or Periods there shall be assets legally available therefor. Each such dividend shall be payable in arrears to the holders of record of the Series B Preferred Stock, as they appear on the share records of the Corporation at the close of business on such record dates, not more than 30 days preceding the applicable Dividend Payment Date (the “</w:t>
      </w:r>
      <w:r>
        <w:rPr>
          <w:rFonts w:ascii="Arial" w:cs="Arial" w:eastAsia="Arial" w:hAnsi="Arial"/>
          <w:sz w:val="13"/>
          <w:szCs w:val="13"/>
          <w:b w:val="1"/>
          <w:bCs w:val="1"/>
          <w:color w:val="auto"/>
        </w:rPr>
        <w:t>Dividend</w:t>
      </w:r>
      <w:r>
        <w:rPr>
          <w:rFonts w:ascii="Arial" w:cs="Arial" w:eastAsia="Arial" w:hAnsi="Arial"/>
          <w:sz w:val="13"/>
          <w:szCs w:val="13"/>
          <w:color w:val="auto"/>
        </w:rPr>
        <w:t xml:space="preserve"> </w:t>
      </w:r>
      <w:r>
        <w:rPr>
          <w:rFonts w:ascii="Arial" w:cs="Arial" w:eastAsia="Arial" w:hAnsi="Arial"/>
          <w:sz w:val="13"/>
          <w:szCs w:val="13"/>
          <w:b w:val="1"/>
          <w:bCs w:val="1"/>
          <w:color w:val="auto"/>
        </w:rPr>
        <w:t>Payment Record Date</w:t>
      </w:r>
      <w:r>
        <w:rPr>
          <w:rFonts w:ascii="Arial" w:cs="Arial" w:eastAsia="Arial" w:hAnsi="Arial"/>
          <w:sz w:val="13"/>
          <w:szCs w:val="13"/>
          <w:color w:val="auto"/>
        </w:rPr>
        <w:t>”), as shall be fixed by the Board of Directors. Accrued and unpaid dividends for any past Dividend Periods may be authorized and declared and paid at any time,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reference to any regular Dividend Payment Date, to holders of record on such date, not exceeding 45 days preceding the payment date thereof, as may be fixed by the Board of Directors. If following a Change of Control, the Series B Preferred Stock is not listed on the New York Stock Exchange or the American Stock Exchange or quoted on NASDAQ, the Annual Dividend Rate will be increased to $2.3125 per share of Series B Preferred Stock (equivalent to a rate of 9.25% of the Liquidation Preference per annum) and the holders of Series B Preferred Stock shall be entitled to receive, when, as and if authorized by the Board of Directors and declared by the Corporation out of assets legally available for that purpose, dividends payable in cash cumulative from, but excluding, the first date on which both the Change of Control has occurred and the Series B Preferred Stock is not so listed or quoted at the increased Annual Dividend Rate for as long as the Series B Preferred Stock is not so listed or quoted.</w:t>
      </w:r>
    </w:p>
    <w:p>
      <w:pPr>
        <w:spacing w:after="0" w:line="53" w:lineRule="exact"/>
        <w:rPr>
          <w:sz w:val="20"/>
          <w:szCs w:val="20"/>
          <w:color w:val="auto"/>
        </w:rPr>
      </w:pPr>
    </w:p>
    <w:p>
      <w:pPr>
        <w:ind w:right="60" w:firstLine="677"/>
        <w:spacing w:after="0" w:line="250" w:lineRule="auto"/>
        <w:tabs>
          <w:tab w:leader="none" w:pos="979"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amount of dividends payable for each full Dividend Period for the Series B Preferred Stock shall be computed by dividing the Annual Dividend Rate by four. The amount of dividends payable for the initial Dividend Period, or any other period shorter or longer than a full Dividend Period, on the Series B Preferred Stock shall be computed on the basis of twelve 30-day months and a 360-day year. Holders of Series B Preferred Stock shall not be entitled to any dividends, whether payable in cash, property or stock, in excess of cumulative dividends, as herein provided, on the Series B Preferred Stock. No interest, or sum of money in lieu of interest, shall be payable in respect of any dividend payment or payments on the Series B Preferred Stock that may be in arrears.</w:t>
      </w:r>
    </w:p>
    <w:p>
      <w:pPr>
        <w:spacing w:after="0" w:line="61" w:lineRule="exact"/>
        <w:rPr>
          <w:rFonts w:ascii="Arial" w:cs="Arial" w:eastAsia="Arial" w:hAnsi="Arial"/>
          <w:sz w:val="14"/>
          <w:szCs w:val="14"/>
          <w:color w:val="auto"/>
        </w:rPr>
      </w:pPr>
    </w:p>
    <w:p>
      <w:pPr>
        <w:ind w:right="60" w:firstLine="677"/>
        <w:spacing w:after="0" w:line="249" w:lineRule="auto"/>
        <w:tabs>
          <w:tab w:leader="none" w:pos="97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So long as any shares of Series B Preferred Stock are outstanding, no dividends, except as described in the immediately following sentence, shall be authorized and declared or paid or set apart for payment on any series or class or classes of Parity Shares for any period unless full cumulative dividends have been or contemporaneously are authorized and declared and paid or authorized and declared and a sum sufficient for the payment thereof set apart for such payment on the Series B Preferred Stock for all past Dividend Periods. When dividends are not paid in full or a sum sufficient for such payment is not set apart, as aforesaid, all dividends authorized and declared upon Series B Preferred Stock and all dividends authorized and declared upon any other series or class or classes of Parity Shares shall be authorized and declared ratably in proportion to the respective amounts of dividends accumulated and unpaid on the Series B Preferred Stock and such Parity Shares.</w:t>
      </w:r>
    </w:p>
    <w:p>
      <w:pPr>
        <w:spacing w:after="0" w:line="61" w:lineRule="exact"/>
        <w:rPr>
          <w:rFonts w:ascii="Arial" w:cs="Arial" w:eastAsia="Arial" w:hAnsi="Arial"/>
          <w:sz w:val="14"/>
          <w:szCs w:val="14"/>
          <w:color w:val="auto"/>
        </w:rPr>
      </w:pPr>
    </w:p>
    <w:p>
      <w:pPr>
        <w:ind w:right="140" w:firstLine="677"/>
        <w:spacing w:after="0" w:line="286" w:lineRule="auto"/>
        <w:tabs>
          <w:tab w:leader="none" w:pos="981" w:val="left"/>
        </w:tabs>
        <w:numPr>
          <w:ilvl w:val="0"/>
          <w:numId w:val="153"/>
        </w:numPr>
        <w:rPr>
          <w:rFonts w:ascii="Arial" w:cs="Arial" w:eastAsia="Arial" w:hAnsi="Arial"/>
          <w:sz w:val="13"/>
          <w:szCs w:val="13"/>
          <w:color w:val="auto"/>
        </w:rPr>
      </w:pPr>
      <w:r>
        <w:rPr>
          <w:rFonts w:ascii="Arial" w:cs="Arial" w:eastAsia="Arial" w:hAnsi="Arial"/>
          <w:sz w:val="13"/>
          <w:szCs w:val="13"/>
          <w:color w:val="auto"/>
        </w:rPr>
        <w:t>So long as any shares of Series B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a redemption, purchase or other acquisition of Common Stock made for purposes of and in</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B-4</w:t>
      </w:r>
    </w:p>
    <w:p>
      <w:pPr>
        <w:sectPr>
          <w:pgSz w:w="11900" w:h="16838" w:orient="portrait"/>
          <w:cols w:equalWidth="0" w:num="1">
            <w:col w:w="11000"/>
          </w:cols>
          <w:pgMar w:left="400" w:top="903" w:right="499" w:bottom="1440" w:gutter="0" w:footer="0" w:header="0"/>
        </w:sectPr>
      </w:pPr>
    </w:p>
    <w:bookmarkStart w:id="245" w:name="page246"/>
    <w:bookmarkEnd w:id="245"/>
    <w:p>
      <w:pPr>
        <w:ind w:right="140"/>
        <w:spacing w:after="0" w:line="278" w:lineRule="auto"/>
        <w:rPr>
          <w:sz w:val="20"/>
          <w:szCs w:val="20"/>
          <w:color w:val="auto"/>
        </w:rPr>
      </w:pPr>
      <w:r>
        <w:rPr>
          <w:rFonts w:ascii="Arial" w:cs="Arial" w:eastAsia="Arial" w:hAnsi="Arial"/>
          <w:sz w:val="13"/>
          <w:szCs w:val="13"/>
          <w:color w:val="auto"/>
        </w:rPr>
        <w:t>compliance with requirements of an employee incentive or benefit plan of the Corporation or any subsidiary, or as permitted under Article VII of the Charter), for any consideration (or any moneys to be paid to or made available for a sinking fund for the redemption of any such shares) by the Corporation, directly or indirectly (except by conversion into or exchange for Junior Shares), unless in each case the full cumulative dividends on all outstanding Series B Preferred Stock and any other Parity Shares of the Corporation shall have been paid or set apart for payment for all past Dividend Periods with respect to the Series B Preferred Stock and all past dividend periods with respect to such Parity Shares.</w:t>
      </w:r>
    </w:p>
    <w:p>
      <w:pPr>
        <w:spacing w:after="0" w:line="184" w:lineRule="exact"/>
        <w:rPr>
          <w:sz w:val="20"/>
          <w:szCs w:val="20"/>
          <w:color w:val="auto"/>
        </w:rPr>
      </w:pPr>
    </w:p>
    <w:p>
      <w:pPr>
        <w:ind w:firstLine="702"/>
        <w:spacing w:after="0" w:line="293"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Liquidation Preference</w:t>
      </w:r>
      <w:r>
        <w:rPr>
          <w:rFonts w:ascii="Arial" w:cs="Arial" w:eastAsia="Arial" w:hAnsi="Arial"/>
          <w:sz w:val="12"/>
          <w:szCs w:val="12"/>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B Preferred Stock shall be entitled to receive Twenty-Five Dollars ($25.00) per share of the Series B Preferred Stock (the “</w:t>
      </w:r>
      <w:r>
        <w:rPr>
          <w:rFonts w:ascii="Arial" w:cs="Arial" w:eastAsia="Arial" w:hAnsi="Arial"/>
          <w:sz w:val="12"/>
          <w:szCs w:val="12"/>
          <w:b w:val="1"/>
          <w:bCs w:val="1"/>
          <w:color w:val="auto"/>
        </w:rPr>
        <w:t>Liquidation Preference</w:t>
      </w:r>
      <w:r>
        <w:rPr>
          <w:rFonts w:ascii="Arial" w:cs="Arial" w:eastAsia="Arial" w:hAnsi="Arial"/>
          <w:sz w:val="12"/>
          <w:szCs w:val="12"/>
          <w:color w:val="auto"/>
        </w:rPr>
        <w:t>”) plus an amount equal to all dividends (whether or not earned or declared) accrued and unpaid thereon to the date of final distribution to such holder; but such holders of Series B Preferred Stock shall not be entitled to any further payment. If, upon any such liquidation, dissolution or winding up of the Corporation, the assets of the Corporation, or proceeds thereof, distributable among the holders of Series B Preferred Stock shall be insufficient to pay in full the preferential amount aforesaid and liquidating payments on any other Parity Shares, then such assets, or the proceeds thereof, shall be distributed among the holders of such Series B Preferred Stock and any such other Parity Shares ratably in accordance with the respective amounts that would be payable on such Series B Preferred Stock and any such other Parity Shares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39" w:lineRule="exact"/>
        <w:rPr>
          <w:sz w:val="20"/>
          <w:szCs w:val="20"/>
          <w:color w:val="auto"/>
        </w:rPr>
      </w:pPr>
    </w:p>
    <w:p>
      <w:pPr>
        <w:ind w:right="20" w:firstLine="677"/>
        <w:spacing w:after="0" w:line="253" w:lineRule="auto"/>
        <w:tabs>
          <w:tab w:leader="none" w:pos="876"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Subject to the rights of the holders of shares of any series or class or classes of shares of stock ranking on a parity with or prior to the Series B Preferred Stock upon liquidation, dissolution or winding up, upon any liquidation, dissolution or winding up of the Corporation, after payment shall have been made in full to the holders of the Series B Preferred Stock, as provided in this Section 4, any series or class or classes of Junior Shares shall, subject to any respective terms and provisions applying thereto, be entitled to receive any and all assets remaining to be paid or distributed, and the holders of the Series B Preferred Stock shall not be entitled to share therein.</w:t>
      </w:r>
    </w:p>
    <w:p>
      <w:pPr>
        <w:spacing w:after="0" w:line="198" w:lineRule="exact"/>
        <w:rPr>
          <w:sz w:val="20"/>
          <w:szCs w:val="20"/>
          <w:color w:val="auto"/>
        </w:rPr>
      </w:pPr>
    </w:p>
    <w:p>
      <w:pPr>
        <w:ind w:right="80" w:firstLine="702"/>
        <w:spacing w:after="0" w:line="250"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Redemption at the Option of the Corporation</w:t>
      </w:r>
      <w:r>
        <w:rPr>
          <w:rFonts w:ascii="Arial" w:cs="Arial" w:eastAsia="Arial" w:hAnsi="Arial"/>
          <w:sz w:val="14"/>
          <w:szCs w:val="14"/>
          <w:color w:val="auto"/>
        </w:rPr>
        <w:t>. (a) If at any time following a change of control, the Series B Preferred Stock is not listed on the New York Stock Exchange or American Stock Exchange, or quoted on NASDAQ, the Corporation will have the option to redeem the Series B Preferred Stock, in whole but not in part, within 90 days after the first date on which both the change of control has occurred and the Series B Preferred Stock is not so listed or quoted, for cash at $25.00 per share plus accrued and unpaid dividends (whether or not declared), to the redemption date. A “</w:t>
      </w:r>
      <w:r>
        <w:rPr>
          <w:rFonts w:ascii="Arial" w:cs="Arial" w:eastAsia="Arial" w:hAnsi="Arial"/>
          <w:sz w:val="14"/>
          <w:szCs w:val="14"/>
          <w:b w:val="1"/>
          <w:bCs w:val="1"/>
          <w:color w:val="auto"/>
        </w:rPr>
        <w:t>Change of Control</w:t>
      </w:r>
      <w:r>
        <w:rPr>
          <w:rFonts w:ascii="Arial" w:cs="Arial" w:eastAsia="Arial" w:hAnsi="Arial"/>
          <w:sz w:val="14"/>
          <w:szCs w:val="14"/>
          <w:color w:val="auto"/>
        </w:rPr>
        <w:t>” shall be deemed to have occurred at such time as (i) the date a “person” or “group” (within the meaning of Sections 13(d) and 14(d) of the Securities Exchange Act of 1934, as amended (the “Securities Exchange Act”)) becomes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B-5</w:t>
      </w:r>
    </w:p>
    <w:p>
      <w:pPr>
        <w:sectPr>
          <w:pgSz w:w="11900" w:h="16838" w:orient="portrait"/>
          <w:cols w:equalWidth="0" w:num="1">
            <w:col w:w="11040"/>
          </w:cols>
          <w:pgMar w:left="400" w:top="903" w:right="459" w:bottom="1440" w:gutter="0" w:footer="0" w:header="0"/>
        </w:sectPr>
      </w:pPr>
    </w:p>
    <w:bookmarkStart w:id="246" w:name="page247"/>
    <w:bookmarkEnd w:id="246"/>
    <w:p>
      <w:pPr>
        <w:spacing w:after="0" w:line="268" w:lineRule="auto"/>
        <w:rPr>
          <w:sz w:val="20"/>
          <w:szCs w:val="20"/>
          <w:color w:val="auto"/>
        </w:rPr>
      </w:pPr>
      <w:r>
        <w:rPr>
          <w:rFonts w:ascii="Arial" w:cs="Arial" w:eastAsia="Arial" w:hAnsi="Arial"/>
          <w:sz w:val="13"/>
          <w:szCs w:val="13"/>
          <w:color w:val="auto"/>
        </w:rPr>
        <w:t>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(ii) the date the Corporation sells, transfers or otherwise disposes of all or substantially all of its assets; or (iii)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w:t>
      </w:r>
      <w:r>
        <w:rPr>
          <w:rFonts w:ascii="Arial" w:cs="Arial" w:eastAsia="Arial" w:hAnsi="Arial"/>
          <w:sz w:val="13"/>
          <w:szCs w:val="13"/>
          <w:b w:val="1"/>
          <w:bCs w:val="1"/>
          <w:color w:val="auto"/>
        </w:rPr>
        <w:t>Voting Stock</w:t>
      </w:r>
      <w:r>
        <w:rPr>
          <w:rFonts w:ascii="Arial" w:cs="Arial" w:eastAsia="Arial" w:hAnsi="Arial"/>
          <w:sz w:val="13"/>
          <w:szCs w:val="13"/>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53" w:lineRule="exact"/>
        <w:rPr>
          <w:sz w:val="20"/>
          <w:szCs w:val="20"/>
          <w:color w:val="auto"/>
        </w:rPr>
      </w:pPr>
    </w:p>
    <w:p>
      <w:pPr>
        <w:jc w:val="both"/>
        <w:ind w:right="320" w:firstLine="677"/>
        <w:spacing w:after="0" w:line="295" w:lineRule="auto"/>
        <w:tabs>
          <w:tab w:leader="none" w:pos="981"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Except as otherwise permitted by the Charter and paragraph (a) above, the Series B Preferred Stock shall not be redeemable by the Corporation prior to February 7, 2012. On and after February 7, 2012, the Corporation, at its option, may redeem the shares of Series B Preferred Stock, in whole or in part, as set forth herein, subject to the provisions described below.</w:t>
      </w:r>
    </w:p>
    <w:p>
      <w:pPr>
        <w:ind w:right="120" w:firstLine="677"/>
        <w:spacing w:after="0" w:line="301" w:lineRule="auto"/>
        <w:tabs>
          <w:tab w:leader="none" w:pos="97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On and after February 7, 2012, the Series B Preferred Stock shall be redeemable at the option of the Corporation, in whole or in part, at any time or from time to time, at a redemption price of $25.00 per share of Series B Preferred Stock, plus any accrued and unpaid dividends to the date fixed for redemption (the “</w:t>
      </w:r>
      <w:r>
        <w:rPr>
          <w:rFonts w:ascii="Arial" w:cs="Arial" w:eastAsia="Arial" w:hAnsi="Arial"/>
          <w:sz w:val="12"/>
          <w:szCs w:val="12"/>
          <w:b w:val="1"/>
          <w:bCs w:val="1"/>
          <w:color w:val="auto"/>
        </w:rPr>
        <w:t>Redemption Price</w:t>
      </w:r>
      <w:r>
        <w:rPr>
          <w:rFonts w:ascii="Arial" w:cs="Arial" w:eastAsia="Arial" w:hAnsi="Arial"/>
          <w:sz w:val="12"/>
          <w:szCs w:val="12"/>
          <w:color w:val="auto"/>
        </w:rPr>
        <w:t>”). Each date on which Series B Preferred Stock are to be redeemed (a “</w:t>
      </w:r>
      <w:r>
        <w:rPr>
          <w:rFonts w:ascii="Arial" w:cs="Arial" w:eastAsia="Arial" w:hAnsi="Arial"/>
          <w:sz w:val="12"/>
          <w:szCs w:val="12"/>
          <w:b w:val="1"/>
          <w:bCs w:val="1"/>
          <w:color w:val="auto"/>
        </w:rPr>
        <w:t>Redemption Date</w:t>
      </w:r>
      <w:r>
        <w:rPr>
          <w:rFonts w:ascii="Arial" w:cs="Arial" w:eastAsia="Arial" w:hAnsi="Arial"/>
          <w:sz w:val="12"/>
          <w:szCs w:val="12"/>
          <w:color w:val="auto"/>
        </w:rPr>
        <w:t>”) (which may not be before February 7, 2012) shall be selected by the Corporation, shall be specified in the notice of redemption and shall not be less than 30 days or more than 60 days after the date on which the Corporation gives, or causes to be given, notice of redemption by mail pursuant to the next paragraph.</w:t>
      </w:r>
    </w:p>
    <w:p>
      <w:pPr>
        <w:spacing w:after="0" w:line="173" w:lineRule="exact"/>
        <w:rPr>
          <w:sz w:val="20"/>
          <w:szCs w:val="20"/>
          <w:color w:val="auto"/>
        </w:rPr>
      </w:pPr>
    </w:p>
    <w:p>
      <w:pPr>
        <w:ind w:right="120" w:firstLine="677"/>
        <w:spacing w:after="0" w:line="270" w:lineRule="auto"/>
        <w:rPr>
          <w:sz w:val="20"/>
          <w:szCs w:val="20"/>
          <w:color w:val="auto"/>
        </w:rPr>
      </w:pPr>
      <w:r>
        <w:rPr>
          <w:rFonts w:ascii="Arial" w:cs="Arial" w:eastAsia="Arial" w:hAnsi="Arial"/>
          <w:sz w:val="13"/>
          <w:szCs w:val="13"/>
          <w:color w:val="auto"/>
        </w:rPr>
        <w:t>A notice of redemption (which may be contingent on the occurrence of a future event) shall be mailed, postage prepaid, not less than 30 nor more than 60 days prior to the redemption date, addressed to the respective holders of record of the Series B Preferred Stock at their respective addresses as they appear on the Corporation’s share transfer records. A failure to give such notice or any defect in the notice or in its mailing shall not affect the validity of the proceedings for the redemption of any Series B Preferred Stock except as to the holder to whom notice was defective or not given. Each notice shall state: (i) the Redemption Date; (ii) the Redemption Price; (iii) the number of shares of Series B Preferred Stock to be redeemed and, if fewer than all the shares of Series B Preferred Stock held by such holder are to be redeemed, the number of such shares of Series B Preferred Stock to be redeemed from such holder; (iv) the place or places where the certificates evidencing the shares of Series B Preferred Stock are to be surrendered for payment of the Redemption Price; and (v) that distributions on the shares to be redeemed will cease to accrue on such Redemption Date except as otherwise provided herein.</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B-6</w:t>
      </w:r>
    </w:p>
    <w:p>
      <w:pPr>
        <w:sectPr>
          <w:pgSz w:w="11900" w:h="16838" w:orient="portrait"/>
          <w:cols w:equalWidth="0" w:num="1">
            <w:col w:w="11040"/>
          </w:cols>
          <w:pgMar w:left="400" w:top="903" w:right="459" w:bottom="1440" w:gutter="0" w:footer="0" w:header="0"/>
        </w:sectPr>
      </w:pPr>
    </w:p>
    <w:bookmarkStart w:id="247" w:name="page248"/>
    <w:bookmarkEnd w:id="247"/>
    <w:p>
      <w:pPr>
        <w:ind w:right="140" w:firstLine="677"/>
        <w:spacing w:after="0" w:line="250" w:lineRule="auto"/>
        <w:tabs>
          <w:tab w:leader="none" w:pos="981" w:val="left"/>
        </w:tabs>
        <w:numPr>
          <w:ilvl w:val="0"/>
          <w:numId w:val="156"/>
        </w:numPr>
        <w:rPr>
          <w:rFonts w:ascii="Arial" w:cs="Arial" w:eastAsia="Arial" w:hAnsi="Arial"/>
          <w:sz w:val="14"/>
          <w:szCs w:val="14"/>
          <w:color w:val="auto"/>
        </w:rPr>
      </w:pPr>
      <w:r>
        <w:rPr>
          <w:rFonts w:ascii="Arial" w:cs="Arial" w:eastAsia="Arial" w:hAnsi="Arial"/>
          <w:sz w:val="14"/>
          <w:szCs w:val="14"/>
          <w:color w:val="auto"/>
        </w:rPr>
        <w:t>Upon any redemption of Series B Preferred Stock, the Corporation shall pay any accrued and unpaid dividends in arrears for any Dividend Period ending on or prior and up to the Redemption Date. If the Redemption Date falls after a Dividend Payment Record Date and prior to the corresponding Dividend Payment Date, then each holder of Series B Preferred Stock at the close of business on such Dividend Payment Record Date shall be entitled to the dividend payable on such Series B Preferred Stock on the corresponding Dividend Payment Date notwithstanding the redemption of such Series B Preferred Stock before such Dividend Payment Date. Except as provided above, the Corporation shall make no payment or allowance for unpaid dividends, whether or not in arrears, on Series B Preferred Stock called for redemption.</w:t>
      </w:r>
    </w:p>
    <w:p>
      <w:pPr>
        <w:spacing w:after="0" w:line="61" w:lineRule="exact"/>
        <w:rPr>
          <w:rFonts w:ascii="Arial" w:cs="Arial" w:eastAsia="Arial" w:hAnsi="Arial"/>
          <w:sz w:val="14"/>
          <w:szCs w:val="14"/>
          <w:color w:val="auto"/>
        </w:rPr>
      </w:pPr>
    </w:p>
    <w:p>
      <w:pPr>
        <w:ind w:right="320" w:firstLine="677"/>
        <w:spacing w:after="0" w:line="257" w:lineRule="auto"/>
        <w:tabs>
          <w:tab w:leader="none" w:pos="973"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If full cumulative dividends on the Series B Preferred Stock and any other series or class or classes of Parity Shares of the Corporation have not been paid or declared and set apart for payment, except as otherwise permitted under the Charter, the Series B Preferred Stock may not be redeemed in part and the Corporation may not purchase, redeem or otherwise acquire Series B Preferred Stock or any Parity Shares other than in exchange for Junior Shares.</w:t>
      </w:r>
    </w:p>
    <w:p>
      <w:pPr>
        <w:spacing w:after="0" w:line="184" w:lineRule="exact"/>
        <w:rPr>
          <w:rFonts w:ascii="Arial" w:cs="Arial" w:eastAsia="Arial" w:hAnsi="Arial"/>
          <w:sz w:val="14"/>
          <w:szCs w:val="14"/>
          <w:color w:val="auto"/>
        </w:rPr>
      </w:pPr>
    </w:p>
    <w:p>
      <w:pPr>
        <w:ind w:firstLine="677"/>
        <w:spacing w:after="0" w:line="268" w:lineRule="auto"/>
        <w:tabs>
          <w:tab w:leader="none" w:pos="958" w:val="left"/>
        </w:tabs>
        <w:numPr>
          <w:ilvl w:val="0"/>
          <w:numId w:val="156"/>
        </w:numPr>
        <w:rPr>
          <w:rFonts w:ascii="Arial" w:cs="Arial" w:eastAsia="Arial" w:hAnsi="Arial"/>
          <w:sz w:val="13"/>
          <w:szCs w:val="13"/>
          <w:color w:val="auto"/>
        </w:rPr>
      </w:pPr>
      <w:r>
        <w:rPr>
          <w:rFonts w:ascii="Arial" w:cs="Arial" w:eastAsia="Arial" w:hAnsi="Arial"/>
          <w:sz w:val="13"/>
          <w:szCs w:val="13"/>
          <w:color w:val="auto"/>
        </w:rPr>
        <w:t>Notice having been mailed as aforesaid, from and after the Redemption Date (unless the Corporation shall fail to make available the amount of cash necessary to effect such redemption), (i) except as otherwise provided herein, dividends on the shares of Series B Preferred Stock so called for redemption shall cease to accrue, (ii) said shares shall no longer be deemed to be outstanding, and (iii) all rights of the holders thereof as holders of Series B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B Preferred Stock so called for redemption. No interest shall accrue for the benefit of the holder of Series B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190" w:lineRule="exact"/>
        <w:rPr>
          <w:sz w:val="20"/>
          <w:szCs w:val="20"/>
          <w:color w:val="auto"/>
        </w:rPr>
      </w:pPr>
    </w:p>
    <w:p>
      <w:pPr>
        <w:ind w:right="360" w:firstLine="677"/>
        <w:spacing w:after="0" w:line="253" w:lineRule="auto"/>
        <w:rPr>
          <w:sz w:val="20"/>
          <w:szCs w:val="20"/>
          <w:color w:val="auto"/>
        </w:rPr>
      </w:pPr>
      <w:r>
        <w:rPr>
          <w:rFonts w:ascii="Arial" w:cs="Arial" w:eastAsia="Arial" w:hAnsi="Arial"/>
          <w:sz w:val="14"/>
          <w:szCs w:val="14"/>
          <w:color w:val="auto"/>
        </w:rPr>
        <w:t>As promptly as practicable after the surrender in accordance with said notice of the certificates for any such shares of Series B Preferred Stock so redeemed (properly endorsed or assigned for transfer, if the Corporation shall so require and if the notice shall so state), such shares of Series B Preferred Stock shall be exchanged for the cash (without interest thereon) for which such shares of Series B Preferred Stock have been redeemed. If fewer than all of the outstanding shares of Series B Preferred Stock are to be redeemed, the shares of Series B Preferred Stock to be redeemed shall be selected by the Corporation from the outstanding shares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B-7</w:t>
      </w:r>
    </w:p>
    <w:p>
      <w:pPr>
        <w:sectPr>
          <w:pgSz w:w="11900" w:h="16838" w:orient="portrait"/>
          <w:cols w:equalWidth="0" w:num="1">
            <w:col w:w="11040"/>
          </w:cols>
          <w:pgMar w:left="400" w:top="821" w:right="459" w:bottom="1440" w:gutter="0" w:footer="0" w:header="0"/>
        </w:sectPr>
      </w:pPr>
    </w:p>
    <w:bookmarkStart w:id="248" w:name="page249"/>
    <w:bookmarkEnd w:id="248"/>
    <w:p>
      <w:pPr>
        <w:ind w:right="20"/>
        <w:spacing w:after="0" w:line="257" w:lineRule="auto"/>
        <w:rPr>
          <w:sz w:val="20"/>
          <w:szCs w:val="20"/>
          <w:color w:val="auto"/>
        </w:rPr>
      </w:pPr>
      <w:r>
        <w:rPr>
          <w:rFonts w:ascii="Arial" w:cs="Arial" w:eastAsia="Arial" w:hAnsi="Arial"/>
          <w:sz w:val="14"/>
          <w:szCs w:val="14"/>
          <w:color w:val="auto"/>
        </w:rPr>
        <w:t>of Series B Preferred Stock not previously called for redemption by lot or pro rata (as nearly as may be) or by any other method determined by the Corporation in its sole discretion to be equitable. If fewer than all the shares of Series B Preferred Stock evidenced by any certificate are redeemed, then new certificates evidencing the unredeemed shares of Series B Preferred Stock shall be issued without cost to the holder thereof.</w:t>
      </w:r>
    </w:p>
    <w:p>
      <w:pPr>
        <w:spacing w:after="0" w:line="184" w:lineRule="exact"/>
        <w:rPr>
          <w:sz w:val="20"/>
          <w:szCs w:val="20"/>
          <w:color w:val="auto"/>
        </w:rPr>
      </w:pPr>
    </w:p>
    <w:p>
      <w:pPr>
        <w:ind w:right="100" w:firstLine="702"/>
        <w:spacing w:after="0" w:line="270"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Reacquired Shares to Be Retired</w:t>
      </w:r>
      <w:r>
        <w:rPr>
          <w:rFonts w:ascii="Arial" w:cs="Arial" w:eastAsia="Arial" w:hAnsi="Arial"/>
          <w:sz w:val="14"/>
          <w:szCs w:val="14"/>
          <w:color w:val="auto"/>
        </w:rPr>
        <w:t>. All shares of Series B Preferred Stock which shall have been issued and reacquired in any manner by the Corporation shall be restored to the status of authorized but unissued shares of Preferred Stock, without designation as to series.</w:t>
      </w:r>
    </w:p>
    <w:p>
      <w:pPr>
        <w:spacing w:after="0" w:line="187" w:lineRule="exact"/>
        <w:rPr>
          <w:sz w:val="20"/>
          <w:szCs w:val="20"/>
          <w:color w:val="auto"/>
        </w:rPr>
      </w:pPr>
    </w:p>
    <w:p>
      <w:pPr>
        <w:ind w:right="160" w:firstLine="702"/>
        <w:spacing w:after="0" w:line="270"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No R</w:t>
      </w:r>
      <w:r>
        <w:rPr>
          <w:rFonts w:ascii="Arial" w:cs="Arial" w:eastAsia="Arial" w:hAnsi="Arial"/>
          <w:sz w:val="14"/>
          <w:szCs w:val="14"/>
          <w:color w:val="auto"/>
        </w:rPr>
        <w:t>ig</w:t>
      </w:r>
      <w:r>
        <w:rPr>
          <w:rFonts w:ascii="Arial" w:cs="Arial" w:eastAsia="Arial" w:hAnsi="Arial"/>
          <w:sz w:val="14"/>
          <w:szCs w:val="14"/>
          <w:u w:val="single" w:color="auto"/>
          <w:color w:val="auto"/>
        </w:rPr>
        <w:t>ht of Conversion</w:t>
      </w:r>
      <w:r>
        <w:rPr>
          <w:rFonts w:ascii="Arial" w:cs="Arial" w:eastAsia="Arial" w:hAnsi="Arial"/>
          <w:sz w:val="14"/>
          <w:szCs w:val="14"/>
          <w:color w:val="auto"/>
        </w:rPr>
        <w:t>. The Series B Preferred Stock are not convertible into or exchangeable for any other property or securities of the Corporation at the option of any holder of Series B Preferred Stock.</w:t>
      </w:r>
    </w:p>
    <w:p>
      <w:pPr>
        <w:spacing w:after="0" w:line="176" w:lineRule="exact"/>
        <w:rPr>
          <w:sz w:val="20"/>
          <w:szCs w:val="20"/>
          <w:color w:val="auto"/>
        </w:rPr>
      </w:pPr>
    </w:p>
    <w:p>
      <w:pPr>
        <w:jc w:val="both"/>
        <w:ind w:firstLine="702"/>
        <w:spacing w:after="0" w:line="25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Permissible Distributions</w:t>
      </w:r>
      <w:r>
        <w:rPr>
          <w:rFonts w:ascii="Arial" w:cs="Arial" w:eastAsia="Arial" w:hAnsi="Arial"/>
          <w:sz w:val="14"/>
          <w:szCs w:val="14"/>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Rankin</w:t>
      </w:r>
      <w:r>
        <w:rPr>
          <w:rFonts w:ascii="Arial" w:cs="Arial" w:eastAsia="Arial" w:hAnsi="Arial"/>
          <w:sz w:val="14"/>
          <w:szCs w:val="14"/>
          <w:color w:val="auto"/>
        </w:rPr>
        <w:t>g. Any class or series of stock of the Corporation shall be deemed to rank:</w:t>
      </w:r>
    </w:p>
    <w:p>
      <w:pPr>
        <w:spacing w:after="0" w:line="96" w:lineRule="exact"/>
        <w:rPr>
          <w:sz w:val="20"/>
          <w:szCs w:val="20"/>
          <w:color w:val="auto"/>
        </w:rPr>
      </w:pPr>
    </w:p>
    <w:p>
      <w:pPr>
        <w:jc w:val="both"/>
        <w:ind w:right="260" w:firstLine="677"/>
        <w:spacing w:after="0" w:line="257" w:lineRule="auto"/>
        <w:tabs>
          <w:tab w:leader="none" w:pos="973"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prior to the Series B Preferred Stock,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B Preferred Stock;</w:t>
      </w:r>
    </w:p>
    <w:p>
      <w:pPr>
        <w:spacing w:after="0" w:line="184" w:lineRule="exact"/>
        <w:rPr>
          <w:rFonts w:ascii="Arial" w:cs="Arial" w:eastAsia="Arial" w:hAnsi="Arial"/>
          <w:sz w:val="14"/>
          <w:szCs w:val="14"/>
          <w:color w:val="auto"/>
        </w:rPr>
      </w:pPr>
    </w:p>
    <w:p>
      <w:pPr>
        <w:jc w:val="both"/>
        <w:ind w:right="140" w:firstLine="677"/>
        <w:spacing w:after="0" w:line="278" w:lineRule="auto"/>
        <w:tabs>
          <w:tab w:leader="none" w:pos="981" w:val="left"/>
        </w:tabs>
        <w:numPr>
          <w:ilvl w:val="0"/>
          <w:numId w:val="157"/>
        </w:numPr>
        <w:rPr>
          <w:rFonts w:ascii="Arial" w:cs="Arial" w:eastAsia="Arial" w:hAnsi="Arial"/>
          <w:sz w:val="13"/>
          <w:szCs w:val="13"/>
          <w:color w:val="auto"/>
        </w:rPr>
      </w:pPr>
      <w:r>
        <w:rPr>
          <w:rFonts w:ascii="Arial" w:cs="Arial" w:eastAsia="Arial" w:hAnsi="Arial"/>
          <w:sz w:val="13"/>
          <w:szCs w:val="13"/>
          <w:color w:val="auto"/>
        </w:rPr>
        <w:t>on a parity with the Series B Preferred Stock, as to the payment of dividends and as to the distribution of assets upon liquidation, dissolution or winding up, whether or not the dividend rates, dividend payment dates or redemption or liquidation prices per share thereof be different from those of the Series B Preferred Stock, if the holders of such class or series and the Series B Preferred Stock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w:t>
      </w:r>
      <w:r>
        <w:rPr>
          <w:rFonts w:ascii="Arial" w:cs="Arial" w:eastAsia="Arial" w:hAnsi="Arial"/>
          <w:sz w:val="13"/>
          <w:szCs w:val="13"/>
          <w:b w:val="1"/>
          <w:bCs w:val="1"/>
          <w:color w:val="auto"/>
        </w:rPr>
        <w:t>Parity Shares</w:t>
      </w:r>
      <w:r>
        <w:rPr>
          <w:rFonts w:ascii="Arial" w:cs="Arial" w:eastAsia="Arial" w:hAnsi="Arial"/>
          <w:sz w:val="13"/>
          <w:szCs w:val="13"/>
          <w:color w:val="auto"/>
        </w:rPr>
        <w:t>”); and</w:t>
      </w:r>
    </w:p>
    <w:p>
      <w:pPr>
        <w:spacing w:after="0" w:line="44" w:lineRule="exact"/>
        <w:rPr>
          <w:rFonts w:ascii="Arial" w:cs="Arial" w:eastAsia="Arial" w:hAnsi="Arial"/>
          <w:sz w:val="13"/>
          <w:szCs w:val="13"/>
          <w:color w:val="auto"/>
        </w:rPr>
      </w:pPr>
    </w:p>
    <w:p>
      <w:pPr>
        <w:ind w:right="60" w:firstLine="677"/>
        <w:spacing w:after="0" w:line="286" w:lineRule="auto"/>
        <w:tabs>
          <w:tab w:leader="none" w:pos="973" w:val="left"/>
        </w:tabs>
        <w:numPr>
          <w:ilvl w:val="0"/>
          <w:numId w:val="157"/>
        </w:numPr>
        <w:rPr>
          <w:rFonts w:ascii="Arial" w:cs="Arial" w:eastAsia="Arial" w:hAnsi="Arial"/>
          <w:sz w:val="13"/>
          <w:szCs w:val="13"/>
          <w:color w:val="auto"/>
        </w:rPr>
      </w:pPr>
      <w:r>
        <w:rPr>
          <w:rFonts w:ascii="Arial" w:cs="Arial" w:eastAsia="Arial" w:hAnsi="Arial"/>
          <w:sz w:val="13"/>
          <w:szCs w:val="13"/>
          <w:color w:val="auto"/>
        </w:rPr>
        <w:t>junior to the Series B Preferred Stock, as to the payment of dividends or as to the distribution of assets upon liquidation, dissolution or winding up, if such class or series of stock shall be Common Stock or if the holders of Series B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B Preferred Stock (“</w:t>
      </w:r>
      <w:r>
        <w:rPr>
          <w:rFonts w:ascii="Arial" w:cs="Arial" w:eastAsia="Arial" w:hAnsi="Arial"/>
          <w:sz w:val="13"/>
          <w:szCs w:val="13"/>
          <w:b w:val="1"/>
          <w:bCs w:val="1"/>
          <w:color w:val="auto"/>
        </w:rPr>
        <w:t>Junior Shares</w:t>
      </w:r>
      <w:r>
        <w:rPr>
          <w:rFonts w:ascii="Arial" w:cs="Arial" w:eastAsia="Arial" w:hAnsi="Arial"/>
          <w:sz w:val="13"/>
          <w:szCs w:val="13"/>
          <w:color w:val="auto"/>
        </w:rPr>
        <w:t>”).</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B-8</w:t>
      </w:r>
    </w:p>
    <w:p>
      <w:pPr>
        <w:sectPr>
          <w:pgSz w:w="11900" w:h="16838" w:orient="portrait"/>
          <w:cols w:equalWidth="0" w:num="1">
            <w:col w:w="11000"/>
          </w:cols>
          <w:pgMar w:left="400" w:top="903" w:right="499" w:bottom="1440" w:gutter="0" w:footer="0" w:header="0"/>
        </w:sectPr>
      </w:pPr>
    </w:p>
    <w:bookmarkStart w:id="249" w:name="page250"/>
    <w:bookmarkEnd w:id="249"/>
    <w:p>
      <w:pPr>
        <w:ind w:right="160" w:firstLine="677"/>
        <w:spacing w:after="0" w:line="257" w:lineRule="auto"/>
        <w:rPr>
          <w:sz w:val="20"/>
          <w:szCs w:val="20"/>
          <w:color w:val="auto"/>
        </w:rPr>
      </w:pPr>
      <w:r>
        <w:rPr>
          <w:rFonts w:ascii="Arial" w:cs="Arial" w:eastAsia="Arial" w:hAnsi="Arial"/>
          <w:sz w:val="14"/>
          <w:szCs w:val="14"/>
          <w:color w:val="auto"/>
        </w:rPr>
        <w:t>As of the date hereof, 2,900,000 authorized shares of Series A Preferred Stock, 5,750,000 authorized shares of Series C Preferred Stock, 8,050,000 authorized shares of Series D Preferred Stock, 10,350,000 authorized shares of Series E Preferred Stock, 10,400,000 authorized shares of Series F Preferred Stock, 3,450,000 authorized shares of Series G Preferred Stock and 11,500,000 authorized shares of Series H Preferred Stock are Parity Shares.</w:t>
      </w:r>
    </w:p>
    <w:p>
      <w:pPr>
        <w:spacing w:after="0" w:line="196" w:lineRule="exact"/>
        <w:rPr>
          <w:sz w:val="20"/>
          <w:szCs w:val="20"/>
          <w:color w:val="auto"/>
        </w:rPr>
      </w:pPr>
    </w:p>
    <w:p>
      <w:pPr>
        <w:ind w:right="460" w:firstLine="702"/>
        <w:spacing w:after="0" w:line="270"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Votin</w:t>
      </w:r>
      <w:r>
        <w:rPr>
          <w:rFonts w:ascii="Arial" w:cs="Arial" w:eastAsia="Arial" w:hAnsi="Arial"/>
          <w:sz w:val="14"/>
          <w:szCs w:val="14"/>
          <w:color w:val="auto"/>
        </w:rPr>
        <w:t>g. Except as otherwise set forth herein, the Series B Preferred Stock shall not have any relative, participating, optional or other voting rights or powers, and the consent of the holders thereof shall not be required for the taking of any corporate action.</w:t>
      </w:r>
    </w:p>
    <w:p>
      <w:pPr>
        <w:spacing w:after="0" w:line="176" w:lineRule="exact"/>
        <w:rPr>
          <w:sz w:val="20"/>
          <w:szCs w:val="20"/>
          <w:color w:val="auto"/>
        </w:rPr>
      </w:pPr>
    </w:p>
    <w:p>
      <w:pPr>
        <w:ind w:firstLine="677"/>
        <w:spacing w:after="0" w:line="289" w:lineRule="auto"/>
        <w:rPr>
          <w:sz w:val="20"/>
          <w:szCs w:val="20"/>
          <w:color w:val="auto"/>
        </w:rPr>
      </w:pPr>
      <w:r>
        <w:rPr>
          <w:rFonts w:ascii="Arial" w:cs="Arial" w:eastAsia="Arial" w:hAnsi="Arial"/>
          <w:sz w:val="12"/>
          <w:szCs w:val="12"/>
          <w:color w:val="auto"/>
        </w:rPr>
        <w:t>If and whenever six quarterly dividends (whether or not consecutive) payable on the Series B Preferred Stock or any series or class of Parity Shares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B Preferred Stock, together with the holders of shares of every other series or class of Parity Shares having like voting rights (shares of any such other series, the “</w:t>
      </w:r>
      <w:r>
        <w:rPr>
          <w:rFonts w:ascii="Arial" w:cs="Arial" w:eastAsia="Arial" w:hAnsi="Arial"/>
          <w:sz w:val="12"/>
          <w:szCs w:val="12"/>
          <w:b w:val="1"/>
          <w:bCs w:val="1"/>
          <w:color w:val="auto"/>
        </w:rPr>
        <w:t>Voting Preferred Shares</w:t>
      </w:r>
      <w:r>
        <w:rPr>
          <w:rFonts w:ascii="Arial" w:cs="Arial" w:eastAsia="Arial" w:hAnsi="Arial"/>
          <w:sz w:val="12"/>
          <w:szCs w:val="12"/>
          <w:color w:val="auto"/>
        </w:rPr>
        <w:t>”), voting as a single class regardless of series, shall be entitled to elect two additional directors to serve on the Board of Directors at any annual meeting of stockholders or special meeting held in place thereof, or at a special meeting of the holders of Series B Preferred Stock and the Voting Preferred Shares called as hereinafter provided. Whenever all arrears in dividends on the Series B Preferred Stock and the Voting Preferred Shares then outstanding shall have been paid and full dividends thereon for the current quarterly dividend period shall have been paid or declared and set apart for payment, then the right of the holders of the Series B Preferred Stock and the Voting Preferred Shares to elect such additional directors shall cease (but subject always to the same provision for the vesting of such voting rights in the case of any similar future arrearages in six quarterly dividends), and the terms of office of the persons elected as directors by the holders of the Series B Preferred Stock and the Voting Preferred Shares shall forthwith terminate and the number of directors constituting the Board of Directors shall be reduced accordingly. At any time after such voting power shall have been so vested in the holders of shares of Series B Preferred Stock and the Voting Preferred Shares, the Secretary of the Corporation may, and upon the written request of any holder of Series B Preferred Stock (addressed to the Secretary at the principal office of the Corporation) shall, call a special meeting of the holders of the Series B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B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B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B-9</w:t>
      </w:r>
    </w:p>
    <w:p>
      <w:pPr>
        <w:sectPr>
          <w:pgSz w:w="11900" w:h="16838" w:orient="portrait"/>
          <w:cols w:equalWidth="0" w:num="1">
            <w:col w:w="11040"/>
          </w:cols>
          <w:pgMar w:left="400" w:top="903" w:right="459" w:bottom="1440" w:gutter="0" w:footer="0" w:header="0"/>
        </w:sectPr>
      </w:pPr>
    </w:p>
    <w:bookmarkStart w:id="250" w:name="page251"/>
    <w:bookmarkEnd w:id="250"/>
    <w:p>
      <w:pPr>
        <w:ind w:right="220"/>
        <w:spacing w:after="0" w:line="270" w:lineRule="auto"/>
        <w:rPr>
          <w:sz w:val="20"/>
          <w:szCs w:val="20"/>
          <w:color w:val="auto"/>
        </w:rPr>
      </w:pPr>
      <w:r>
        <w:rPr>
          <w:rFonts w:ascii="Arial" w:cs="Arial" w:eastAsia="Arial" w:hAnsi="Arial"/>
          <w:sz w:val="14"/>
          <w:szCs w:val="14"/>
          <w:color w:val="auto"/>
        </w:rPr>
        <w:t>holders of Series B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87" w:lineRule="exact"/>
        <w:rPr>
          <w:sz w:val="20"/>
          <w:szCs w:val="20"/>
          <w:color w:val="auto"/>
        </w:rPr>
      </w:pPr>
    </w:p>
    <w:p>
      <w:pPr>
        <w:ind w:right="200" w:firstLine="677"/>
        <w:spacing w:after="0" w:line="286" w:lineRule="auto"/>
        <w:rPr>
          <w:sz w:val="20"/>
          <w:szCs w:val="20"/>
          <w:color w:val="auto"/>
        </w:rPr>
      </w:pPr>
      <w:r>
        <w:rPr>
          <w:rFonts w:ascii="Arial" w:cs="Arial" w:eastAsia="Arial" w:hAnsi="Arial"/>
          <w:sz w:val="13"/>
          <w:szCs w:val="13"/>
          <w:color w:val="auto"/>
        </w:rPr>
        <w:t>So long as any shares of Series B Preferred Stock are outstanding, in addition to any other vote or consent of stockholders required by the Charter, the affirmative vote of at least 66-2/3% of the votes entitled to be cast by the holders of Series B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39" w:lineRule="exact"/>
        <w:rPr>
          <w:sz w:val="20"/>
          <w:szCs w:val="20"/>
          <w:color w:val="auto"/>
        </w:rPr>
      </w:pPr>
    </w:p>
    <w:p>
      <w:pPr>
        <w:ind w:firstLine="677"/>
        <w:spacing w:after="0" w:line="266" w:lineRule="auto"/>
        <w:tabs>
          <w:tab w:leader="none" w:pos="966" w:val="left"/>
        </w:tabs>
        <w:numPr>
          <w:ilvl w:val="0"/>
          <w:numId w:val="158"/>
        </w:numPr>
        <w:rPr>
          <w:rFonts w:ascii="Arial" w:cs="Arial" w:eastAsia="Arial" w:hAnsi="Arial"/>
          <w:sz w:val="13"/>
          <w:szCs w:val="13"/>
          <w:color w:val="auto"/>
        </w:rPr>
      </w:pPr>
      <w:r>
        <w:rPr>
          <w:rFonts w:ascii="Arial" w:cs="Arial" w:eastAsia="Arial" w:hAnsi="Arial"/>
          <w:sz w:val="13"/>
          <w:szCs w:val="13"/>
          <w:color w:val="auto"/>
        </w:rPr>
        <w:t>Any amendment, alteration or repeal of any of the provisions of the Charter or these Articles Supplementary that materially and adversely affects the voting powers, rights or preferences of the holders of the Series B Preferred Stock or the Voting Preferred Shares; provided, however</w:t>
      </w:r>
      <w:r>
        <w:rPr>
          <w:rFonts w:ascii="Arial" w:cs="Arial" w:eastAsia="Arial" w:hAnsi="Arial"/>
          <w:sz w:val="13"/>
          <w:szCs w:val="13"/>
          <w:i w:val="1"/>
          <w:iCs w:val="1"/>
          <w:color w:val="auto"/>
        </w:rPr>
        <w:t>,</w:t>
      </w:r>
      <w:r>
        <w:rPr>
          <w:rFonts w:ascii="Arial" w:cs="Arial" w:eastAsia="Arial" w:hAnsi="Arial"/>
          <w:sz w:val="13"/>
          <w:szCs w:val="13"/>
          <w:color w:val="auto"/>
        </w:rPr>
        <w:t xml:space="preserve"> that (i) the amendment of the provisions of the Charter so as to authorize or create or to increase the authorized amount of, any Junior Shares or any shares of any class or series ranking on a parity with the Series B Preferred Stock or the Voting Preferred Shares (including any amendment to increase the amount of authorized shares of Series B Preferred Stock) shall not be deemed to materially adversely affect the voting powers, rights or preferences of the holders of Series B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B Preferred Stock, provided that: (1) the Corporation is the surviving entity and the Series B Preferred Stock remain outstanding with the terms thereof materially unchanged in any respect adverse to the holders thereof; or (2) the resulting, surviving or transferee entity is organized under the laws of any state and substitutes or exchanges the Series B Preferred Stock for other preferred stock or shares having preferences, conversion and other rights, voting powers, restrictions, limitations as to dividends, qualifications and terms and conditions of redemption thereof that are substantially similar to that of the Series B Preferred Stock (except for changes that do not materially and adversely affect the holders of Series B Preferred Stock); and provided further, that if any such amendment, alteration or repeal would materially and adversely affect any voting powers, rights or preferences of the Series B Preferred Stock or one or more but not all series of Voting Preferred Shares at the time outstanding, the affirmative vote 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 66-2/3% of the votes entitled to be cast by the holders of the Series B Preferred Stock and the Voting Preferred Shares otherwise entitled to vote in accordance herewith; or</w:t>
      </w:r>
    </w:p>
    <w:p>
      <w:pPr>
        <w:spacing w:after="0" w:line="40" w:lineRule="exact"/>
        <w:rPr>
          <w:rFonts w:ascii="Arial" w:cs="Arial" w:eastAsia="Arial" w:hAnsi="Arial"/>
          <w:sz w:val="13"/>
          <w:szCs w:val="13"/>
          <w:color w:val="auto"/>
        </w:rPr>
      </w:pPr>
    </w:p>
    <w:p>
      <w:pPr>
        <w:ind w:left="980" w:hanging="303"/>
        <w:spacing w:after="0"/>
        <w:tabs>
          <w:tab w:leader="none" w:pos="98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authorization or creation of, or the increase in the authorized amount of, any shares of any class or series or any security convertible into shares of any class or series</w:t>
      </w:r>
    </w:p>
    <w:p>
      <w:pPr>
        <w:spacing w:after="0" w:line="26"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auto"/>
        </w:rPr>
        <w:t>ranking prior to the Series B Preferred Stock in the distribution on any liquidation, dissolution or winding up of the Corporation or in the payment of dividends; provided, however, that, in the case of each of subparagraphs (a) and (b), no such vote of the holders of Series B Preferred Stock</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B-10</w:t>
      </w:r>
    </w:p>
    <w:p>
      <w:pPr>
        <w:sectPr>
          <w:pgSz w:w="11900" w:h="16838" w:orient="portrait"/>
          <w:cols w:equalWidth="0" w:num="1">
            <w:col w:w="11040"/>
          </w:cols>
          <w:pgMar w:left="400" w:top="903" w:right="459" w:bottom="1440" w:gutter="0" w:footer="0" w:header="0"/>
        </w:sectPr>
      </w:pPr>
    </w:p>
    <w:bookmarkStart w:id="251" w:name="page252"/>
    <w:bookmarkEnd w:id="251"/>
    <w:p>
      <w:pPr>
        <w:spacing w:after="0" w:line="253" w:lineRule="auto"/>
        <w:rPr>
          <w:sz w:val="20"/>
          <w:szCs w:val="20"/>
          <w:color w:val="auto"/>
        </w:rPr>
      </w:pPr>
      <w:r>
        <w:rPr>
          <w:rFonts w:ascii="Arial" w:cs="Arial" w:eastAsia="Arial" w:hAnsi="Arial"/>
          <w:sz w:val="14"/>
          <w:szCs w:val="14"/>
          <w:color w:val="auto"/>
        </w:rPr>
        <w:t>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B Preferred Stock or Voting Preferred Shares, as the case may be, at the time outstanding in accordance with Section 5 hereof or, in the case of a merger, consolidation or otherwise, regardless of the date of the transaction, the holders of the Series B Preferred Stock receive in the transaction their liquidation preference plus accrued and unpaid dividends.</w:t>
      </w:r>
    </w:p>
    <w:p>
      <w:pPr>
        <w:spacing w:after="0" w:line="198" w:lineRule="exact"/>
        <w:rPr>
          <w:sz w:val="20"/>
          <w:szCs w:val="20"/>
          <w:color w:val="auto"/>
        </w:rPr>
      </w:pPr>
    </w:p>
    <w:p>
      <w:pPr>
        <w:ind w:right="40" w:firstLine="702"/>
        <w:spacing w:after="0" w:line="249"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Information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During any period in which the Corporation is not subject to Section 13 or 15(d) of the Securities Exchange Act and any shares of Series B Preferred Stock are outstanding, the Corporation will (i) transmit by mail to all holders of Series B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B Preferred Stock. The Corporation will mail the information to the holders of Series B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02" w:lineRule="exact"/>
        <w:rPr>
          <w:sz w:val="20"/>
          <w:szCs w:val="20"/>
          <w:color w:val="auto"/>
        </w:rPr>
      </w:pPr>
    </w:p>
    <w:p>
      <w:pPr>
        <w:ind w:right="80" w:firstLine="702"/>
        <w:spacing w:after="0" w:line="270"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Record Holders</w:t>
      </w:r>
      <w:r>
        <w:rPr>
          <w:rFonts w:ascii="Arial" w:cs="Arial" w:eastAsia="Arial" w:hAnsi="Arial"/>
          <w:sz w:val="14"/>
          <w:szCs w:val="14"/>
          <w:color w:val="auto"/>
        </w:rPr>
        <w:t>. The Corporation and the Transfer Agent may deem and treat the record holder of any Series B Preferred Stock as the true and lawful owner thereof for all purposes, and neither the Corporation nor the Transfer Agent shall be affected by any notice to the contrary.</w:t>
      </w:r>
    </w:p>
    <w:p>
      <w:pPr>
        <w:spacing w:after="0" w:line="176" w:lineRule="exact"/>
        <w:rPr>
          <w:sz w:val="20"/>
          <w:szCs w:val="20"/>
          <w:color w:val="auto"/>
        </w:rPr>
      </w:pPr>
    </w:p>
    <w:p>
      <w:pPr>
        <w:ind w:right="60" w:firstLine="702"/>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Restrictions on Ownership and Transfer</w:t>
      </w:r>
      <w:r>
        <w:rPr>
          <w:rFonts w:ascii="Arial" w:cs="Arial" w:eastAsia="Arial" w:hAnsi="Arial"/>
          <w:sz w:val="14"/>
          <w:szCs w:val="14"/>
          <w:color w:val="auto"/>
        </w:rPr>
        <w:t>. The Series B Preferred Stock constitute Preferred Stock, and Preferred Stock constitutes Capital Stock of the Corporation. Therefore, the Series B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B Preferred Stock of any other term or provision of the Charter.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B-11</w:t>
      </w:r>
    </w:p>
    <w:p>
      <w:pPr>
        <w:sectPr>
          <w:pgSz w:w="11900" w:h="16838" w:orient="portrait"/>
          <w:cols w:equalWidth="0" w:num="1">
            <w:col w:w="11040"/>
          </w:cols>
          <w:pgMar w:left="400" w:top="903" w:right="459" w:bottom="1440" w:gutter="0" w:footer="0" w:header="0"/>
        </w:sectPr>
      </w:pPr>
    </w:p>
    <w:bookmarkStart w:id="252" w:name="page253"/>
    <w:bookmarkEnd w:id="252"/>
    <w:p>
      <w:pPr>
        <w:jc w:val="center"/>
        <w:ind w:right="-179"/>
        <w:spacing w:after="0"/>
        <w:rPr>
          <w:sz w:val="20"/>
          <w:szCs w:val="20"/>
          <w:color w:val="auto"/>
        </w:rPr>
      </w:pPr>
      <w:r>
        <w:rPr>
          <w:rFonts w:ascii="Arial" w:cs="Arial" w:eastAsia="Arial" w:hAnsi="Arial"/>
          <w:sz w:val="14"/>
          <w:szCs w:val="14"/>
          <w:b w:val="1"/>
          <w:bCs w:val="1"/>
          <w:color w:val="auto"/>
        </w:rPr>
        <w:t>EXHIBIT C</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SERIES C PREFERRED STOCK</w:t>
      </w:r>
    </w:p>
    <w:p>
      <w:pPr>
        <w:spacing w:after="0" w:line="197" w:lineRule="exact"/>
        <w:rPr>
          <w:sz w:val="20"/>
          <w:szCs w:val="20"/>
          <w:color w:val="auto"/>
        </w:rPr>
      </w:pPr>
    </w:p>
    <w:p>
      <w:pPr>
        <w:ind w:firstLine="702"/>
        <w:spacing w:after="0" w:line="276" w:lineRule="auto"/>
        <w:rPr>
          <w:sz w:val="20"/>
          <w:szCs w:val="20"/>
          <w:color w:val="auto"/>
        </w:rPr>
      </w:pPr>
      <w:r>
        <w:rPr>
          <w:rFonts w:ascii="Arial" w:cs="Arial" w:eastAsia="Arial" w:hAnsi="Arial"/>
          <w:sz w:val="13"/>
          <w:szCs w:val="13"/>
          <w:color w:val="auto"/>
        </w:rPr>
        <w:t>Under a power contained in the charter (the “</w:t>
      </w:r>
      <w:r>
        <w:rPr>
          <w:rFonts w:ascii="Arial" w:cs="Arial" w:eastAsia="Arial" w:hAnsi="Arial"/>
          <w:sz w:val="13"/>
          <w:szCs w:val="13"/>
          <w:b w:val="1"/>
          <w:bCs w:val="1"/>
          <w:color w:val="auto"/>
        </w:rPr>
        <w:t>Charter</w:t>
      </w:r>
      <w:r>
        <w:rPr>
          <w:rFonts w:ascii="Arial" w:cs="Arial" w:eastAsia="Arial" w:hAnsi="Arial"/>
          <w:sz w:val="13"/>
          <w:szCs w:val="13"/>
          <w:color w:val="auto"/>
        </w:rPr>
        <w:t>”) of Colony NorthStar,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the Board of Directors of the Corporation, classified and designated 5,750,000 shares (the “</w:t>
      </w:r>
      <w:r>
        <w:rPr>
          <w:rFonts w:ascii="Arial" w:cs="Arial" w:eastAsia="Arial" w:hAnsi="Arial"/>
          <w:sz w:val="13"/>
          <w:szCs w:val="13"/>
          <w:b w:val="1"/>
          <w:bCs w:val="1"/>
          <w:color w:val="auto"/>
        </w:rPr>
        <w:t>Shares</w:t>
      </w:r>
      <w:r>
        <w:rPr>
          <w:rFonts w:ascii="Arial" w:cs="Arial" w:eastAsia="Arial" w:hAnsi="Arial"/>
          <w:sz w:val="13"/>
          <w:szCs w:val="13"/>
          <w:color w:val="auto"/>
        </w:rPr>
        <w:t>”) of the Preferred Stock (as defined in the Charter), as shares of 8.875% Series C Cumulative Redeemable Perpetual Preferred Stock, liquidation preference $25.00 per share (the “</w:t>
      </w:r>
      <w:r>
        <w:rPr>
          <w:rFonts w:ascii="Arial" w:cs="Arial" w:eastAsia="Arial" w:hAnsi="Arial"/>
          <w:sz w:val="13"/>
          <w:szCs w:val="13"/>
          <w:b w:val="1"/>
          <w:bCs w:val="1"/>
          <w:color w:val="auto"/>
        </w:rPr>
        <w:t>Series C Preferred Stock</w:t>
      </w:r>
      <w:r>
        <w:rPr>
          <w:rFonts w:ascii="Arial" w:cs="Arial" w:eastAsia="Arial" w:hAnsi="Arial"/>
          <w:sz w:val="13"/>
          <w:szCs w:val="13"/>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8.875% Series C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right="240" w:firstLine="677"/>
        <w:spacing w:after="0" w:line="310"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Number of Shares and Des</w:t>
      </w:r>
      <w:r>
        <w:rPr>
          <w:rFonts w:ascii="Arial" w:cs="Arial" w:eastAsia="Arial" w:hAnsi="Arial"/>
          <w:sz w:val="13"/>
          <w:szCs w:val="13"/>
          <w:color w:val="auto"/>
        </w:rPr>
        <w:t xml:space="preserve"> ig</w:t>
      </w:r>
      <w:r>
        <w:rPr>
          <w:rFonts w:ascii="Arial" w:cs="Arial" w:eastAsia="Arial" w:hAnsi="Arial"/>
          <w:sz w:val="13"/>
          <w:szCs w:val="13"/>
          <w:u w:val="single" w:color="auto"/>
          <w:color w:val="auto"/>
        </w:rPr>
        <w:t>nation</w:t>
      </w:r>
      <w:r>
        <w:rPr>
          <w:rFonts w:ascii="Arial" w:cs="Arial" w:eastAsia="Arial" w:hAnsi="Arial"/>
          <w:sz w:val="13"/>
          <w:szCs w:val="13"/>
          <w:color w:val="auto"/>
        </w:rPr>
        <w:t>. This series of Preferred Stock shall be designated as 8.875% Series C Cumulative Redeemable Perpetual Preferred Stock, liquidation preference $25.00 per share (the “</w:t>
      </w:r>
      <w:r>
        <w:rPr>
          <w:rFonts w:ascii="Arial" w:cs="Arial" w:eastAsia="Arial" w:hAnsi="Arial"/>
          <w:sz w:val="13"/>
          <w:szCs w:val="13"/>
          <w:b w:val="1"/>
          <w:bCs w:val="1"/>
          <w:color w:val="auto"/>
        </w:rPr>
        <w:t>Series C Preferred Stock</w:t>
      </w:r>
      <w:r>
        <w:rPr>
          <w:rFonts w:ascii="Arial" w:cs="Arial" w:eastAsia="Arial" w:hAnsi="Arial"/>
          <w:sz w:val="13"/>
          <w:szCs w:val="13"/>
          <w:color w:val="auto"/>
        </w:rPr>
        <w:t>”), and 5,750,000 shall be the number of shares of Preferred Stock constituting such series.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Definitions</w:t>
      </w:r>
      <w:r>
        <w:rPr>
          <w:rFonts w:ascii="Arial" w:cs="Arial" w:eastAsia="Arial" w:hAnsi="Arial"/>
          <w:sz w:val="13"/>
          <w:szCs w:val="13"/>
          <w:color w:val="auto"/>
        </w:rPr>
        <w:t xml:space="preserve">. For purposes of the Series C Preferred Stock, the following terms shall have the meanings indicated: </w:t>
      </w:r>
      <w:r>
        <w:rPr>
          <w:rFonts w:ascii="Arial" w:cs="Arial" w:eastAsia="Arial" w:hAnsi="Arial"/>
          <w:sz w:val="13"/>
          <w:szCs w:val="13"/>
          <w:b w:val="1"/>
          <w:bCs w:val="1"/>
          <w:color w:val="auto"/>
        </w:rPr>
        <w:t>“Alternative Conversion Consideration”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shall have the meaning set forth in paragraph (e) of Section 7 hereof. </w:t>
      </w:r>
      <w:r>
        <w:rPr>
          <w:rFonts w:ascii="Arial" w:cs="Arial" w:eastAsia="Arial" w:hAnsi="Arial"/>
          <w:sz w:val="13"/>
          <w:szCs w:val="13"/>
          <w:b w:val="1"/>
          <w:bCs w:val="1"/>
          <w:color w:val="auto"/>
        </w:rPr>
        <w:t>“Alternative Form Consideration”</w:t>
      </w:r>
      <w:r>
        <w:rPr>
          <w:rFonts w:ascii="Arial" w:cs="Arial" w:eastAsia="Arial" w:hAnsi="Arial"/>
          <w:sz w:val="13"/>
          <w:szCs w:val="13"/>
          <w:color w:val="auto"/>
        </w:rPr>
        <w:t xml:space="preserve"> shall have the meaning set forth in paragraph (e) of Section 7</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hereof.</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Dividend Rate</w:t>
      </w:r>
      <w:r>
        <w:rPr>
          <w:rFonts w:ascii="Arial" w:cs="Arial" w:eastAsia="Arial" w:hAnsi="Arial"/>
          <w:sz w:val="14"/>
          <w:szCs w:val="14"/>
          <w:color w:val="auto"/>
        </w:rPr>
        <w:t>” shall have the meaning set forth in paragraph (a) of Section 3 hereof.</w:t>
      </w:r>
    </w:p>
    <w:p>
      <w:pPr>
        <w:spacing w:after="0" w:line="85" w:lineRule="exact"/>
        <w:rPr>
          <w:sz w:val="20"/>
          <w:szCs w:val="20"/>
          <w:color w:val="auto"/>
        </w:rPr>
      </w:pPr>
    </w:p>
    <w:p>
      <w:pPr>
        <w:ind w:left="34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shall mean the Board of Directors of the Corporation or any committee authorized by such Board of Directors to perform any of its responsibilities with respect to the Series C Preferred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shall mean any day other than a Saturday, Sunday or a day on which state or federally chartered banking institutions in New York, New York are not required to be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open.</w:t>
      </w:r>
    </w:p>
    <w:p>
      <w:pPr>
        <w:spacing w:after="0" w:line="127" w:lineRule="exact"/>
        <w:rPr>
          <w:sz w:val="20"/>
          <w:szCs w:val="20"/>
          <w:color w:val="auto"/>
        </w:rPr>
      </w:pPr>
    </w:p>
    <w:p>
      <w:pPr>
        <w:ind w:left="660" w:right="900"/>
        <w:spacing w:after="0" w:line="41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Conversion Date</w:t>
      </w:r>
      <w:r>
        <w:rPr>
          <w:rFonts w:ascii="Arial" w:cs="Arial" w:eastAsia="Arial" w:hAnsi="Arial"/>
          <w:sz w:val="14"/>
          <w:szCs w:val="14"/>
          <w:color w:val="auto"/>
        </w:rPr>
        <w:t>” shall have the meaning set forth in paragraph (c) of Section 7 hereof. “</w:t>
      </w:r>
      <w:r>
        <w:rPr>
          <w:rFonts w:ascii="Arial" w:cs="Arial" w:eastAsia="Arial" w:hAnsi="Arial"/>
          <w:sz w:val="14"/>
          <w:szCs w:val="14"/>
          <w:b w:val="1"/>
          <w:bCs w:val="1"/>
          <w:color w:val="auto"/>
        </w:rPr>
        <w:t>Change of Control Conversion Right</w:t>
      </w:r>
      <w:r>
        <w:rPr>
          <w:rFonts w:ascii="Arial" w:cs="Arial" w:eastAsia="Arial" w:hAnsi="Arial"/>
          <w:sz w:val="14"/>
          <w:szCs w:val="14"/>
          <w:color w:val="auto"/>
        </w:rPr>
        <w:t>” shall have the meaning set forth in paragraph (a) of Section 7 hereof.</w:t>
      </w:r>
    </w:p>
    <w:p>
      <w:pPr>
        <w:sectPr>
          <w:pgSz w:w="11900" w:h="16838" w:orient="portrait"/>
          <w:cols w:equalWidth="0" w:num="1">
            <w:col w:w="10900"/>
          </w:cols>
          <w:pgMar w:left="400" w:top="887" w:right="599" w:bottom="1440" w:gutter="0" w:footer="0" w:header="0"/>
        </w:sectPr>
      </w:pPr>
    </w:p>
    <w:bookmarkStart w:id="253" w:name="page254"/>
    <w:bookmarkEnd w:id="253"/>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shall have the meaning set forth in paragraph (a) of Section 5 hereof. “</w:t>
      </w:r>
      <w:r>
        <w:rPr>
          <w:rFonts w:ascii="Arial" w:cs="Arial" w:eastAsia="Arial" w:hAnsi="Arial"/>
          <w:sz w:val="14"/>
          <w:szCs w:val="14"/>
          <w:b w:val="1"/>
          <w:bCs w:val="1"/>
          <w:color w:val="auto"/>
        </w:rPr>
        <w:t>Charter</w:t>
      </w:r>
      <w:r>
        <w:rPr>
          <w:rFonts w:ascii="Arial" w:cs="Arial" w:eastAsia="Arial" w:hAnsi="Arial"/>
          <w:sz w:val="14"/>
          <w:szCs w:val="14"/>
          <w:color w:val="auto"/>
        </w:rPr>
        <w:t>” shall mean the charter of the</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Corporation.</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 Common Stock</w:t>
      </w:r>
      <w:r>
        <w:rPr>
          <w:rFonts w:ascii="Arial" w:cs="Arial" w:eastAsia="Arial" w:hAnsi="Arial"/>
          <w:sz w:val="14"/>
          <w:szCs w:val="14"/>
          <w:color w:val="auto"/>
        </w:rPr>
        <w:t>” shall mean the Class A Common Stock of the Corporation, par value $.01 per share.</w:t>
      </w:r>
    </w:p>
    <w:p>
      <w:pPr>
        <w:spacing w:after="0" w:line="96"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xml:space="preserve"> ” shall mean, collectively, the Class A Common Stock, the Class B Common Stock of the Corporation, par value $.01 per share, and the Performance Common Stock of the Corporation, par value $.01 per share.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Common Stock Conversion Consideration</w:t>
      </w:r>
      <w:r>
        <w:rPr>
          <w:rFonts w:ascii="Arial" w:cs="Arial" w:eastAsia="Arial" w:hAnsi="Arial"/>
          <w:sz w:val="13"/>
          <w:szCs w:val="13"/>
          <w:color w:val="auto"/>
        </w:rPr>
        <w:t>” shall have the meaning set forth in paragraph (a) of Section 7 hereof. “</w:t>
      </w:r>
      <w:r>
        <w:rPr>
          <w:rFonts w:ascii="Arial" w:cs="Arial" w:eastAsia="Arial" w:hAnsi="Arial"/>
          <w:sz w:val="13"/>
          <w:szCs w:val="13"/>
          <w:b w:val="1"/>
          <w:bCs w:val="1"/>
          <w:color w:val="auto"/>
        </w:rPr>
        <w:t>Common Stock Price</w:t>
      </w:r>
      <w:r>
        <w:rPr>
          <w:rFonts w:ascii="Arial" w:cs="Arial" w:eastAsia="Arial" w:hAnsi="Arial"/>
          <w:sz w:val="13"/>
          <w:szCs w:val="13"/>
          <w:color w:val="auto"/>
        </w:rPr>
        <w:t>” shall have the meaning set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forth in paragraph (d) of Section 7 hereof.</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“Conversion Consideration” </w:t>
      </w:r>
      <w:r>
        <w:rPr>
          <w:rFonts w:ascii="Arial" w:cs="Arial" w:eastAsia="Arial" w:hAnsi="Arial"/>
          <w:sz w:val="14"/>
          <w:szCs w:val="14"/>
          <w:color w:val="auto"/>
        </w:rPr>
        <w:t>shall have the meaning set forth in paragraph (e) of Section 7 hereof.</w:t>
      </w:r>
      <w:r>
        <w:rPr>
          <w:rFonts w:ascii="Arial" w:cs="Arial" w:eastAsia="Arial" w:hAnsi="Arial"/>
          <w:sz w:val="14"/>
          <w:szCs w:val="14"/>
          <w:b w:val="1"/>
          <w:bCs w:val="1"/>
          <w:color w:val="auto"/>
        </w:rPr>
        <w:t xml:space="preserve"> “Conversion Rate” </w:t>
      </w:r>
      <w:r>
        <w:rPr>
          <w:rFonts w:ascii="Arial" w:cs="Arial" w:eastAsia="Arial" w:hAnsi="Arial"/>
          <w:sz w:val="14"/>
          <w:szCs w:val="14"/>
          <w:color w:val="auto"/>
        </w:rPr>
        <w:t>shall have the meaning set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forth in paragraph (a) of Section 7 hereof. </w:t>
      </w:r>
      <w:r>
        <w:rPr>
          <w:rFonts w:ascii="Arial" w:cs="Arial" w:eastAsia="Arial" w:hAnsi="Arial"/>
          <w:sz w:val="14"/>
          <w:szCs w:val="14"/>
          <w:b w:val="1"/>
          <w:bCs w:val="1"/>
          <w:color w:val="auto"/>
        </w:rPr>
        <w:t>“Depository”</w:t>
      </w:r>
      <w:r>
        <w:rPr>
          <w:rFonts w:ascii="Arial" w:cs="Arial" w:eastAsia="Arial" w:hAnsi="Arial"/>
          <w:sz w:val="14"/>
          <w:szCs w:val="14"/>
          <w:color w:val="auto"/>
        </w:rPr>
        <w:t xml:space="preserve"> shall have the meaning set forth in paragraph (l) of Section 7 hereof.</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Parity Stock</w:t>
      </w:r>
      <w:r>
        <w:rPr>
          <w:rFonts w:ascii="Arial" w:cs="Arial" w:eastAsia="Arial" w:hAnsi="Arial"/>
          <w:sz w:val="14"/>
          <w:szCs w:val="14"/>
          <w:color w:val="auto"/>
        </w:rPr>
        <w:t>” shall have the meaning set forth in paragraph (c) of Section 3 hereof.</w:t>
      </w:r>
    </w:p>
    <w:p>
      <w:pPr>
        <w:spacing w:after="0" w:line="85" w:lineRule="exact"/>
        <w:rPr>
          <w:sz w:val="20"/>
          <w:szCs w:val="20"/>
          <w:color w:val="auto"/>
        </w:rPr>
      </w:pPr>
    </w:p>
    <w:p>
      <w:pPr>
        <w:jc w:val="both"/>
        <w:ind w:right="100" w:firstLine="325"/>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Payment Date</w:t>
      </w:r>
      <w:r>
        <w:rPr>
          <w:rFonts w:ascii="Arial" w:cs="Arial" w:eastAsia="Arial" w:hAnsi="Arial"/>
          <w:sz w:val="13"/>
          <w:szCs w:val="13"/>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instead be paid on the first Business Day immediately following such Dividend Payment Date without any adjustment to the amount of the dividend due on that Dividend Payment Date on account of such delay.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shall have the meaning set forth in paragraph (a) of Section 3 hereof.</w:t>
      </w:r>
    </w:p>
    <w:p>
      <w:pPr>
        <w:spacing w:after="0" w:line="96" w:lineRule="exact"/>
        <w:rPr>
          <w:sz w:val="20"/>
          <w:szCs w:val="20"/>
          <w:color w:val="auto"/>
        </w:rPr>
      </w:pPr>
    </w:p>
    <w:p>
      <w:pPr>
        <w:jc w:val="both"/>
        <w:ind w:right="280" w:firstLine="325"/>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Period</w:t>
      </w:r>
      <w:r>
        <w:rPr>
          <w:rFonts w:ascii="Arial" w:cs="Arial" w:eastAsia="Arial" w:hAnsi="Arial"/>
          <w:sz w:val="13"/>
          <w:szCs w:val="13"/>
          <w:color w:val="auto"/>
        </w:rPr>
        <w:t>” shall mean a quarterly dividend period commencing on, and including, a Dividend Payment Date and ending on, but excluding, the next succeeding Dividend Payment Date (other than the initial Dividend Period with respect to each share of Series C Preferred Stock, which, (i) for shares of Series C Preferred Stock issued prior to January 11, 2017, shall commence on, and include, November 15, 2016 and end on, but exclude, the first Dividend Payment Date; and (ii) for shares of Series C Preferred</w:t>
      </w:r>
    </w:p>
    <w:p>
      <w:pPr>
        <w:spacing w:after="0" w:line="6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C-2</w:t>
      </w:r>
    </w:p>
    <w:p>
      <w:pPr>
        <w:sectPr>
          <w:pgSz w:w="11900" w:h="16838" w:orient="portrait"/>
          <w:cols w:equalWidth="0" w:num="1">
            <w:col w:w="10600"/>
          </w:cols>
          <w:pgMar w:left="740" w:top="946" w:right="559" w:bottom="1440" w:gutter="0" w:footer="0" w:header="0"/>
        </w:sectPr>
      </w:pPr>
    </w:p>
    <w:bookmarkStart w:id="254" w:name="page255"/>
    <w:bookmarkEnd w:id="254"/>
    <w:p>
      <w:pPr>
        <w:spacing w:after="0" w:line="310" w:lineRule="auto"/>
        <w:rPr>
          <w:sz w:val="20"/>
          <w:szCs w:val="20"/>
          <w:color w:val="auto"/>
        </w:rPr>
      </w:pPr>
      <w:r>
        <w:rPr>
          <w:rFonts w:ascii="Arial" w:cs="Arial" w:eastAsia="Arial" w:hAnsi="Arial"/>
          <w:sz w:val="13"/>
          <w:szCs w:val="13"/>
          <w:color w:val="auto"/>
        </w:rPr>
        <w:t>Stock issued on or after January 11, 2017, shall commence on, and include, the Dividend Payment Date with respect to which dividends were actually paid on Series C Preferred Stock that were outstanding immediately preceding the issuance of such Series C Preferred Stock and end on, but exclude, the next succeeding Dividend Payment Date).</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“DTC” </w:t>
      </w:r>
      <w:r>
        <w:rPr>
          <w:rFonts w:ascii="Arial" w:cs="Arial" w:eastAsia="Arial" w:hAnsi="Arial"/>
          <w:sz w:val="14"/>
          <w:szCs w:val="14"/>
          <w:color w:val="auto"/>
        </w:rPr>
        <w:t>shall have the meaning set forth in paragraph (l) of Section 7 hereof.</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“Exchange Cap” </w:t>
      </w:r>
      <w:r>
        <w:rPr>
          <w:rFonts w:ascii="Arial" w:cs="Arial" w:eastAsia="Arial" w:hAnsi="Arial"/>
          <w:sz w:val="14"/>
          <w:szCs w:val="14"/>
          <w:color w:val="auto"/>
        </w:rPr>
        <w:t>shall have the meaning set forth in paragraph (b) of Section 7 hereof.</w:t>
      </w:r>
    </w:p>
    <w:p>
      <w:pPr>
        <w:spacing w:after="0" w:line="85"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Junior Shares</w:t>
      </w:r>
      <w:r>
        <w:rPr>
          <w:rFonts w:ascii="Arial" w:cs="Arial" w:eastAsia="Arial" w:hAnsi="Arial"/>
          <w:sz w:val="14"/>
          <w:szCs w:val="14"/>
          <w:color w:val="auto"/>
        </w:rPr>
        <w:t>” shall mean the Common Stock and any other class or series of stock of the Corporation constituting junior shares of stock within the meaning set forth in paragraph (c) of Section 9 hereof.</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xml:space="preserve"> shall have the meaning set forth in paragraph (a) of Section 4 hereof.</w:t>
      </w:r>
    </w:p>
    <w:p>
      <w:pPr>
        <w:spacing w:after="0" w:line="85" w:lineRule="exact"/>
        <w:rPr>
          <w:sz w:val="20"/>
          <w:szCs w:val="20"/>
          <w:color w:val="auto"/>
        </w:rPr>
      </w:pPr>
    </w:p>
    <w:p>
      <w:pPr>
        <w:ind w:left="320" w:right="240"/>
        <w:spacing w:after="0" w:line="40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shall mean any individual, firm, partnership, corporation, limited liability company or other entity, and shall include any successor (by merger or otherwise) of such entity. “</w:t>
      </w:r>
      <w:r>
        <w:rPr>
          <w:rFonts w:ascii="Arial" w:cs="Arial" w:eastAsia="Arial" w:hAnsi="Arial"/>
          <w:sz w:val="14"/>
          <w:szCs w:val="14"/>
          <w:b w:val="1"/>
          <w:bCs w:val="1"/>
          <w:color w:val="auto"/>
        </w:rPr>
        <w:t>Preferred Directors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set forth in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paragraph (c) of Section 5 hereof. “</w:t>
      </w:r>
      <w:r>
        <w:rPr>
          <w:rFonts w:ascii="Arial" w:cs="Arial" w:eastAsia="Arial" w:hAnsi="Arial"/>
          <w:sz w:val="14"/>
          <w:szCs w:val="14"/>
          <w:b w:val="1"/>
          <w:bCs w:val="1"/>
          <w:color w:val="auto"/>
        </w:rPr>
        <w:t>Redemption Price</w:t>
      </w:r>
      <w:r>
        <w:rPr>
          <w:rFonts w:ascii="Arial" w:cs="Arial" w:eastAsia="Arial" w:hAnsi="Arial"/>
          <w:sz w:val="14"/>
          <w:szCs w:val="14"/>
          <w:color w:val="auto"/>
        </w:rPr>
        <w:t>” shall have the meaning set forth in paragraph (a) of Section 5 hereof.</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“Securities Exchange Act” </w:t>
      </w:r>
      <w:r>
        <w:rPr>
          <w:rFonts w:ascii="Arial" w:cs="Arial" w:eastAsia="Arial" w:hAnsi="Arial"/>
          <w:sz w:val="14"/>
          <w:szCs w:val="14"/>
          <w:color w:val="auto"/>
        </w:rPr>
        <w:t>shall have the meaning set forth in paragraph (a) of Section 5 hereof.</w:t>
      </w:r>
    </w:p>
    <w:p>
      <w:pPr>
        <w:spacing w:after="0" w:line="73"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A Preferred Stock</w:t>
      </w:r>
      <w:r>
        <w:rPr>
          <w:rFonts w:ascii="Arial" w:cs="Arial" w:eastAsia="Arial" w:hAnsi="Arial"/>
          <w:sz w:val="14"/>
          <w:szCs w:val="14"/>
          <w:color w:val="auto"/>
        </w:rPr>
        <w:t>” shall mean the 8.75% Series A Cumulative Redeemable Perpetual Preferred Stock, liquidation preference $25.00 per share.</w:t>
      </w:r>
    </w:p>
    <w:p>
      <w:pPr>
        <w:spacing w:after="0" w:line="38"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shall mean the 8.25% Series B Cumulative Redeemable Perpetual Preferred Stock, liquidation preference $25.00 per share.</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C Preferred Stock</w:t>
      </w:r>
      <w:r>
        <w:rPr>
          <w:rFonts w:ascii="Arial" w:cs="Arial" w:eastAsia="Arial" w:hAnsi="Arial"/>
          <w:sz w:val="14"/>
          <w:szCs w:val="14"/>
          <w:color w:val="auto"/>
        </w:rPr>
        <w:t>” shall have the meaning set forth in Section 1 hereof.</w:t>
      </w:r>
    </w:p>
    <w:p>
      <w:pPr>
        <w:spacing w:after="0" w:line="73" w:lineRule="exact"/>
        <w:rPr>
          <w:sz w:val="20"/>
          <w:szCs w:val="20"/>
          <w:color w:val="auto"/>
        </w:rPr>
      </w:pPr>
    </w:p>
    <w:p>
      <w:pPr>
        <w:ind w:right="27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D Preferred Stock</w:t>
      </w:r>
      <w:r>
        <w:rPr>
          <w:rFonts w:ascii="Arial" w:cs="Arial" w:eastAsia="Arial" w:hAnsi="Arial"/>
          <w:sz w:val="14"/>
          <w:szCs w:val="14"/>
          <w:color w:val="auto"/>
        </w:rPr>
        <w:t>” shall mean the 8.500% Series D Cumulative Redeemable Perpetual Preferred Stock, liquidation preference $25.00 per share.</w:t>
      </w:r>
    </w:p>
    <w:p>
      <w:pPr>
        <w:spacing w:after="0" w:line="38" w:lineRule="exact"/>
        <w:rPr>
          <w:sz w:val="20"/>
          <w:szCs w:val="20"/>
          <w:color w:val="auto"/>
        </w:rPr>
      </w:pPr>
    </w:p>
    <w:p>
      <w:pPr>
        <w:ind w:right="28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E Preferred Stock</w:t>
      </w:r>
      <w:r>
        <w:rPr>
          <w:rFonts w:ascii="Arial" w:cs="Arial" w:eastAsia="Arial" w:hAnsi="Arial"/>
          <w:sz w:val="14"/>
          <w:szCs w:val="14"/>
          <w:color w:val="auto"/>
        </w:rPr>
        <w:t>” shall mean the 8.75% Series E Cumulative Redeemable Perpetual Preferred Stock, liquidation preference $25.00 per share.</w:t>
      </w:r>
    </w:p>
    <w:p>
      <w:pPr>
        <w:spacing w:after="0" w:line="38" w:lineRule="exact"/>
        <w:rPr>
          <w:sz w:val="20"/>
          <w:szCs w:val="20"/>
          <w:color w:val="auto"/>
        </w:rPr>
      </w:pPr>
    </w:p>
    <w:p>
      <w:pPr>
        <w:ind w:right="28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F Preferred Stock</w:t>
      </w:r>
      <w:r>
        <w:rPr>
          <w:rFonts w:ascii="Arial" w:cs="Arial" w:eastAsia="Arial" w:hAnsi="Arial"/>
          <w:sz w:val="14"/>
          <w:szCs w:val="14"/>
          <w:color w:val="auto"/>
        </w:rPr>
        <w:t>” shall mean the 8.50% Series F Cumulative Redeemable Perpetual Preferred Stock, liquidation preference $25.00 per share.</w:t>
      </w:r>
    </w:p>
    <w:p>
      <w:pPr>
        <w:spacing w:after="0" w:line="77"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C-3</w:t>
      </w:r>
    </w:p>
    <w:p>
      <w:pPr>
        <w:sectPr>
          <w:pgSz w:w="11900" w:h="16838" w:orient="portrait"/>
          <w:cols w:equalWidth="0" w:num="1">
            <w:col w:w="10700"/>
          </w:cols>
          <w:pgMar w:left="740" w:top="903" w:right="459" w:bottom="1440" w:gutter="0" w:footer="0" w:header="0"/>
        </w:sectPr>
      </w:pPr>
    </w:p>
    <w:bookmarkStart w:id="255" w:name="page256"/>
    <w:bookmarkEnd w:id="255"/>
    <w:p>
      <w:pPr>
        <w:ind w:left="340" w:right="27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G Preferred Stock</w:t>
      </w:r>
      <w:r>
        <w:rPr>
          <w:rFonts w:ascii="Arial" w:cs="Arial" w:eastAsia="Arial" w:hAnsi="Arial"/>
          <w:sz w:val="14"/>
          <w:szCs w:val="14"/>
          <w:color w:val="auto"/>
        </w:rPr>
        <w:t>” shall mean the 7.50% Series G Cumulative Redeemable Perpetual Preferred Stock, liquidation preference $25.00 per share.</w:t>
      </w:r>
    </w:p>
    <w:p>
      <w:pPr>
        <w:spacing w:after="0" w:line="50" w:lineRule="exact"/>
        <w:rPr>
          <w:sz w:val="20"/>
          <w:szCs w:val="20"/>
          <w:color w:val="auto"/>
        </w:rPr>
      </w:pPr>
    </w:p>
    <w:p>
      <w:pPr>
        <w:ind w:left="340" w:right="270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H Preferred Stock</w:t>
      </w:r>
      <w:r>
        <w:rPr>
          <w:rFonts w:ascii="Arial" w:cs="Arial" w:eastAsia="Arial" w:hAnsi="Arial"/>
          <w:sz w:val="14"/>
          <w:szCs w:val="14"/>
          <w:color w:val="auto"/>
        </w:rPr>
        <w:t>” shall mean the 7.125% Series H Cumulative Redeemable Perpetual Preferred Stock, liquidation preference $25.00 per share.</w:t>
      </w:r>
    </w:p>
    <w:p>
      <w:pPr>
        <w:spacing w:after="0" w:line="50" w:lineRule="exact"/>
        <w:rPr>
          <w:sz w:val="20"/>
          <w:szCs w:val="20"/>
          <w:color w:val="auto"/>
        </w:rPr>
      </w:pPr>
    </w:p>
    <w:p>
      <w:pPr>
        <w:jc w:val="both"/>
        <w:ind w:left="340" w:right="36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 apart for payment</w:t>
      </w:r>
      <w:r>
        <w:rPr>
          <w:rFonts w:ascii="Arial" w:cs="Arial" w:eastAsia="Arial" w:hAnsi="Arial"/>
          <w:sz w:val="14"/>
          <w:szCs w:val="14"/>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“Share Cap” </w:t>
      </w:r>
      <w:r>
        <w:rPr>
          <w:rFonts w:ascii="Arial" w:cs="Arial" w:eastAsia="Arial" w:hAnsi="Arial"/>
          <w:sz w:val="14"/>
          <w:szCs w:val="14"/>
          <w:color w:val="auto"/>
        </w:rPr>
        <w:t>shall have the meaning set forth in paragraph (a) of Section 7 hereof.</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“Share Split” </w:t>
      </w:r>
      <w:r>
        <w:rPr>
          <w:rFonts w:ascii="Arial" w:cs="Arial" w:eastAsia="Arial" w:hAnsi="Arial"/>
          <w:sz w:val="14"/>
          <w:szCs w:val="14"/>
          <w:color w:val="auto"/>
        </w:rPr>
        <w:t>shall have the meaning set forth in paragraph (b) of Section 7 hereof.</w:t>
      </w:r>
    </w:p>
    <w:p>
      <w:pPr>
        <w:spacing w:after="0" w:line="96" w:lineRule="exact"/>
        <w:rPr>
          <w:sz w:val="20"/>
          <w:szCs w:val="20"/>
          <w:color w:val="auto"/>
        </w:rPr>
      </w:pPr>
    </w:p>
    <w:p>
      <w:pPr>
        <w:ind w:left="340" w:right="22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means American Stock Transfer &amp; Trust Company, New York, New York, or such other agent or agents of the Corporation as may be designated by the Board of Directors or its designee as the transfer agent for the Series C Preferred Stock.</w:t>
      </w:r>
    </w:p>
    <w:p>
      <w:pPr>
        <w:spacing w:after="0" w:line="86" w:lineRule="exact"/>
        <w:rPr>
          <w:sz w:val="20"/>
          <w:szCs w:val="20"/>
          <w:color w:val="auto"/>
        </w:rPr>
      </w:pPr>
    </w:p>
    <w:p>
      <w:pPr>
        <w:ind w:left="660" w:right="2840"/>
        <w:spacing w:after="0" w:line="41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Preferred Shares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Voting Stock</w:t>
      </w:r>
      <w:r>
        <w:rPr>
          <w:rFonts w:ascii="Arial" w:cs="Arial" w:eastAsia="Arial" w:hAnsi="Arial"/>
          <w:sz w:val="14"/>
          <w:szCs w:val="14"/>
          <w:color w:val="auto"/>
        </w:rPr>
        <w:t>” shall have the meaning set forth in paragraph (a) of Section 5 hereof.</w:t>
      </w:r>
    </w:p>
    <w:p>
      <w:pPr>
        <w:spacing w:after="0" w:line="1" w:lineRule="exact"/>
        <w:rPr>
          <w:sz w:val="20"/>
          <w:szCs w:val="20"/>
          <w:color w:val="auto"/>
        </w:rPr>
      </w:pPr>
    </w:p>
    <w:p>
      <w:pPr>
        <w:ind w:right="80" w:firstLine="677"/>
        <w:spacing w:after="0" w:line="252"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Dividends.</w:t>
      </w:r>
      <w:r>
        <w:rPr>
          <w:rFonts w:ascii="Arial" w:cs="Arial" w:eastAsia="Arial" w:hAnsi="Arial"/>
          <w:sz w:val="14"/>
          <w:szCs w:val="14"/>
          <w:color w:val="auto"/>
        </w:rPr>
        <w:t xml:space="preserve"> (a) The holders of Series C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$2.21875 per share of Series C Preferred Stock (the “</w:t>
      </w:r>
      <w:r>
        <w:rPr>
          <w:rFonts w:ascii="Arial" w:cs="Arial" w:eastAsia="Arial" w:hAnsi="Arial"/>
          <w:sz w:val="13"/>
          <w:szCs w:val="13"/>
          <w:b w:val="1"/>
          <w:bCs w:val="1"/>
          <w:color w:val="auto"/>
        </w:rPr>
        <w:t>Annual Dividend Rate</w:t>
      </w:r>
      <w:r>
        <w:rPr>
          <w:rFonts w:ascii="Arial" w:cs="Arial" w:eastAsia="Arial" w:hAnsi="Arial"/>
          <w:sz w:val="13"/>
          <w:szCs w:val="13"/>
          <w:color w:val="auto"/>
        </w:rPr>
        <w:t>”) (equivalent to a rate of 8.875% of the Liquidation Preference per annum). Such dividends with respect to each share of Series C Preferred Stock issued prior to January 11, 2017 shall be cumulative from, and including, November 15, 2016 and with respect to each share of Series C Preferred Stock issued on or after January 11, 2017 shall be cumulative from, and including, the Dividend Payment Date with respect to which dividends were actually paid on shares of Series C Preferred Stock that were outstanding immediately preceding the issuance of such shares of Series C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C Preferred Stock on the first Dividend Payment Date following issuance of such shares of Series C Preferred Stock. Dividends are cumulative from the most recent Dividend Payment Date to which dividends have been paid, whether or not in any Dividend Period or Periods there shall be</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C-4</w:t>
      </w:r>
    </w:p>
    <w:p>
      <w:pPr>
        <w:sectPr>
          <w:pgSz w:w="11900" w:h="16838" w:orient="portrait"/>
          <w:cols w:equalWidth="0" w:num="1">
            <w:col w:w="11000"/>
          </w:cols>
          <w:pgMar w:left="400" w:top="887" w:right="499" w:bottom="1440" w:gutter="0" w:footer="0" w:header="0"/>
        </w:sectPr>
      </w:pPr>
    </w:p>
    <w:bookmarkStart w:id="256" w:name="page257"/>
    <w:bookmarkEnd w:id="256"/>
    <w:p>
      <w:pPr>
        <w:ind w:right="120"/>
        <w:spacing w:after="0" w:line="278" w:lineRule="auto"/>
        <w:rPr>
          <w:sz w:val="20"/>
          <w:szCs w:val="20"/>
          <w:color w:val="auto"/>
        </w:rPr>
      </w:pPr>
      <w:r>
        <w:rPr>
          <w:rFonts w:ascii="Arial" w:cs="Arial" w:eastAsia="Arial" w:hAnsi="Arial"/>
          <w:sz w:val="13"/>
          <w:szCs w:val="13"/>
          <w:color w:val="auto"/>
        </w:rPr>
        <w:t>assets legally available therefor. Each such dividend shall be payable in arrears to the holders of record of the Series C Preferred Stock, as they appear on the share records of the Corporation at the close of business on such record dates, not more than 30 days preceding the applicable Dividend Payment Date (the “</w:t>
      </w:r>
      <w:r>
        <w:rPr>
          <w:rFonts w:ascii="Arial" w:cs="Arial" w:eastAsia="Arial" w:hAnsi="Arial"/>
          <w:sz w:val="13"/>
          <w:szCs w:val="13"/>
          <w:b w:val="1"/>
          <w:bCs w:val="1"/>
          <w:color w:val="auto"/>
        </w:rPr>
        <w:t>Dividend Payment Record Date</w:t>
      </w:r>
      <w:r>
        <w:rPr>
          <w:rFonts w:ascii="Arial" w:cs="Arial" w:eastAsia="Arial" w:hAnsi="Arial"/>
          <w:sz w:val="13"/>
          <w:szCs w:val="13"/>
          <w:color w:val="auto"/>
        </w:rPr>
        <w:t>”), as shall be fixed by the Board of Directors. Accrued and unpaid dividends for any past Dividend Periods may be authorized and declared and paid at any time, without reference to any regular Dividend Payment Date, to holders of record on such date, not exceeding 30 days preceding the payment date thereof, as may be fixed by the Board of Directors.</w:t>
      </w:r>
    </w:p>
    <w:p>
      <w:pPr>
        <w:spacing w:after="0" w:line="56" w:lineRule="exact"/>
        <w:rPr>
          <w:sz w:val="20"/>
          <w:szCs w:val="20"/>
          <w:color w:val="auto"/>
        </w:rPr>
      </w:pPr>
    </w:p>
    <w:p>
      <w:pPr>
        <w:ind w:right="60" w:firstLine="677"/>
        <w:spacing w:after="0" w:line="250" w:lineRule="auto"/>
        <w:tabs>
          <w:tab w:leader="none" w:pos="979"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amount of dividends payable for each full Dividend Period for the Series C Preferred Stock shall be computed by dividing the Annual Dividend Rate by four. The amount of dividends payable for the initial Dividend Period, or any other period shorter or longer than a full Dividend Period, on the Series C Preferred Stock shall be computed on the basis of twelve 30-day months and a 360-day year. Holders of Series C Preferred Stock shall not be entitled to any dividends, whether payable in cash, property or stock, in excess of cumulative dividends, as herein provided, on the Series C Preferred Stock. No interest, or sum of money in lieu of interest, shall be payable in respect of any dividend payment or payments on the Series C Preferred Stock that may be in arrears.</w:t>
      </w:r>
    </w:p>
    <w:p>
      <w:pPr>
        <w:spacing w:after="0" w:line="61" w:lineRule="exact"/>
        <w:rPr>
          <w:rFonts w:ascii="Arial" w:cs="Arial" w:eastAsia="Arial" w:hAnsi="Arial"/>
          <w:sz w:val="14"/>
          <w:szCs w:val="14"/>
          <w:color w:val="auto"/>
        </w:rPr>
      </w:pPr>
    </w:p>
    <w:p>
      <w:pPr>
        <w:ind w:right="180" w:firstLine="677"/>
        <w:spacing w:after="0" w:line="299" w:lineRule="auto"/>
        <w:tabs>
          <w:tab w:leader="none" w:pos="973" w:val="left"/>
        </w:tabs>
        <w:numPr>
          <w:ilvl w:val="0"/>
          <w:numId w:val="159"/>
        </w:numPr>
        <w:rPr>
          <w:rFonts w:ascii="Arial" w:cs="Arial" w:eastAsia="Arial" w:hAnsi="Arial"/>
          <w:sz w:val="12"/>
          <w:szCs w:val="12"/>
          <w:color w:val="auto"/>
        </w:rPr>
      </w:pPr>
      <w:r>
        <w:rPr>
          <w:rFonts w:ascii="Arial" w:cs="Arial" w:eastAsia="Arial" w:hAnsi="Arial"/>
          <w:sz w:val="12"/>
          <w:szCs w:val="12"/>
          <w:color w:val="auto"/>
        </w:rPr>
        <w:t>So long as any shares of Series C Preferred Stock are outstanding, no dividends, except as described in the immediately following sentence, shall be authorized and declared or paid or set apart for payment on any series or class or classes of capital stock of the Corporation ranking on a parity with the Series C Preferred Stock as to payment of dividends (“</w:t>
      </w:r>
      <w:r>
        <w:rPr>
          <w:rFonts w:ascii="Arial" w:cs="Arial" w:eastAsia="Arial" w:hAnsi="Arial"/>
          <w:sz w:val="12"/>
          <w:szCs w:val="12"/>
          <w:b w:val="1"/>
          <w:bCs w:val="1"/>
          <w:color w:val="auto"/>
        </w:rPr>
        <w:t>Dividend</w:t>
      </w:r>
      <w:r>
        <w:rPr>
          <w:rFonts w:ascii="Arial" w:cs="Arial" w:eastAsia="Arial" w:hAnsi="Arial"/>
          <w:sz w:val="12"/>
          <w:szCs w:val="12"/>
          <w:color w:val="auto"/>
        </w:rPr>
        <w:t xml:space="preserve"> </w:t>
      </w:r>
      <w:r>
        <w:rPr>
          <w:rFonts w:ascii="Arial" w:cs="Arial" w:eastAsia="Arial" w:hAnsi="Arial"/>
          <w:sz w:val="12"/>
          <w:szCs w:val="12"/>
          <w:b w:val="1"/>
          <w:bCs w:val="1"/>
          <w:color w:val="auto"/>
        </w:rPr>
        <w:t>Parity Stock</w:t>
      </w:r>
      <w:r>
        <w:rPr>
          <w:rFonts w:ascii="Arial" w:cs="Arial" w:eastAsia="Arial" w:hAnsi="Arial"/>
          <w:sz w:val="12"/>
          <w:szCs w:val="12"/>
          <w:color w:val="auto"/>
        </w:rPr>
        <w:t>”) for any period unless full cumulative dividends have been or contemporaneously are authorized, declared and paid or authorized, declared and a sum sufficient for the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thereof set apart for such payment on the Series C Preferred Stock for all past Dividend Periods. When dividends are not paid in full or a sum sufficient for such payment is not set apart, as aforesaid, all dividends authorized and declared upon Series C Preferred Stock and all dividends authorized and declared upon any series or class or classes of Dividend Parity Stock shall be authorized and declared ratably in proportion to the respective amounts of dividends accrued and unpaid on the Series C Preferred Stock and such Dividend Parity Stock.</w:t>
      </w:r>
    </w:p>
    <w:p>
      <w:pPr>
        <w:spacing w:after="0" w:line="32" w:lineRule="exact"/>
        <w:rPr>
          <w:rFonts w:ascii="Arial" w:cs="Arial" w:eastAsia="Arial" w:hAnsi="Arial"/>
          <w:sz w:val="12"/>
          <w:szCs w:val="12"/>
          <w:color w:val="auto"/>
        </w:rPr>
      </w:pPr>
    </w:p>
    <w:p>
      <w:pPr>
        <w:ind w:firstLine="677"/>
        <w:spacing w:after="0" w:line="270" w:lineRule="auto"/>
        <w:tabs>
          <w:tab w:leader="none" w:pos="981" w:val="left"/>
        </w:tabs>
        <w:numPr>
          <w:ilvl w:val="0"/>
          <w:numId w:val="159"/>
        </w:numPr>
        <w:rPr>
          <w:rFonts w:ascii="Arial" w:cs="Arial" w:eastAsia="Arial" w:hAnsi="Arial"/>
          <w:sz w:val="13"/>
          <w:szCs w:val="13"/>
          <w:color w:val="auto"/>
        </w:rPr>
      </w:pPr>
      <w:r>
        <w:rPr>
          <w:rFonts w:ascii="Arial" w:cs="Arial" w:eastAsia="Arial" w:hAnsi="Arial"/>
          <w:sz w:val="13"/>
          <w:szCs w:val="13"/>
          <w:color w:val="auto"/>
        </w:rPr>
        <w:t>So long as any shares of Series C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(i) a redemption, purchase or other acquisition of Common Stock made for purposes of and in compliance with requirements of an employee incentive or benefit plan of the Corporation or any subsidiary, (ii) pursuant to Article VII of the Charter, (iii) as a result of a reclassification of such Junior Shares for or into other Junior Shares, or (iv)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by the Corporation, directly or indirectly (except by conversion into or exchange for Junior Shares), unless in each case the</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000"/>
          </w:cols>
          <w:pgMar w:left="400" w:top="903" w:right="499" w:bottom="1440" w:gutter="0" w:footer="0" w:header="0"/>
        </w:sectPr>
      </w:pPr>
    </w:p>
    <w:bookmarkStart w:id="257" w:name="page258"/>
    <w:bookmarkEnd w:id="257"/>
    <w:p>
      <w:pPr>
        <w:ind w:right="100"/>
        <w:spacing w:after="0" w:line="270" w:lineRule="auto"/>
        <w:rPr>
          <w:sz w:val="20"/>
          <w:szCs w:val="20"/>
          <w:color w:val="auto"/>
        </w:rPr>
      </w:pPr>
      <w:r>
        <w:rPr>
          <w:rFonts w:ascii="Arial" w:cs="Arial" w:eastAsia="Arial" w:hAnsi="Arial"/>
          <w:sz w:val="14"/>
          <w:szCs w:val="14"/>
          <w:color w:val="auto"/>
        </w:rPr>
        <w:t>full cumulative dividends on all outstanding Series C Preferred Stock and any Dividend Parity Stock of the Corporation shall have been paid or set apart for payment for all past Dividend Periods with respect to the Series C Preferred Stock and all past dividend periods with respect to such Dividend Parity Stock.</w:t>
      </w:r>
    </w:p>
    <w:p>
      <w:pPr>
        <w:spacing w:after="0" w:line="176" w:lineRule="exact"/>
        <w:rPr>
          <w:sz w:val="20"/>
          <w:szCs w:val="20"/>
          <w:color w:val="auto"/>
        </w:rPr>
      </w:pPr>
    </w:p>
    <w:p>
      <w:pPr>
        <w:ind w:right="40" w:firstLine="677"/>
        <w:spacing w:after="0" w:line="268"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C Preferred Stock shall be entitled to receive $25.00 per share of the Series C Preferred Stock (the “</w:t>
      </w:r>
      <w:r>
        <w:rPr>
          <w:rFonts w:ascii="Arial" w:cs="Arial" w:eastAsia="Arial" w:hAnsi="Arial"/>
          <w:sz w:val="13"/>
          <w:szCs w:val="13"/>
          <w:b w:val="1"/>
          <w:bCs w:val="1"/>
          <w:color w:val="auto"/>
        </w:rPr>
        <w:t>Liquidation Preference</w:t>
      </w:r>
      <w:r>
        <w:rPr>
          <w:rFonts w:ascii="Arial" w:cs="Arial" w:eastAsia="Arial" w:hAnsi="Arial"/>
          <w:sz w:val="13"/>
          <w:szCs w:val="13"/>
          <w:color w:val="auto"/>
        </w:rPr>
        <w:t>”) plus an amount equal to all dividends (whether or not earned or declared) accrued and unpaid thereon to the date of final distribution to such holder; but such holders of Series C Preferred Stock shall not be entitled to any further payment. If, upon any such liquidation, dissolution or winding up of the Corporation, the assets of the Corporation, or proceeds thereof, distributable among the holders of Series C Preferred Stock shall be insufficient to pay in full the preferential amount aforesaid and liquidating payments on any other capital stock of the Corporation ranking on a parity with the Series C Preferred Stock as to such distribution, then such assets, or the proceeds thereof, shall be distributed among the holders of such Series C Preferred Stock and any such other stock ratably in accordance with the respective amounts that would be payable on such Series C Preferred Stock and any such other stock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50" w:lineRule="exact"/>
        <w:rPr>
          <w:sz w:val="20"/>
          <w:szCs w:val="20"/>
          <w:color w:val="auto"/>
        </w:rPr>
      </w:pPr>
    </w:p>
    <w:p>
      <w:pPr>
        <w:ind w:firstLine="677"/>
        <w:spacing w:after="0" w:line="253" w:lineRule="auto"/>
        <w:tabs>
          <w:tab w:leader="none" w:pos="876" w:val="left"/>
        </w:tabs>
        <w:numPr>
          <w:ilvl w:val="0"/>
          <w:numId w:val="160"/>
        </w:numPr>
        <w:rPr>
          <w:rFonts w:ascii="Arial" w:cs="Arial" w:eastAsia="Arial" w:hAnsi="Arial"/>
          <w:sz w:val="14"/>
          <w:szCs w:val="14"/>
          <w:color w:val="auto"/>
        </w:rPr>
      </w:pPr>
      <w:r>
        <w:rPr>
          <w:rFonts w:ascii="Arial" w:cs="Arial" w:eastAsia="Arial" w:hAnsi="Arial"/>
          <w:sz w:val="14"/>
          <w:szCs w:val="14"/>
          <w:color w:val="auto"/>
        </w:rPr>
        <w:t>Subject to the rights of the holders of shares of any series or class or classes of shares of stock ranking on a parity with or prior to the Series C Preferred Stock upon liquidation, dissolution or winding up, upon any liquidation, dissolution or winding up of the Corporation, after payment shall have been made in full to the holders of the Series C Preferred Stock, as provided in this Section 4, any series or class or classes of Junior Shares shall, subject to any respective terms and provisions applying thereto, be entitled to receive any and all assets remaining to be paid or distributed, and the holders of the Series C Preferred Stock shall not be entitled to share therein.</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Redemption at the Option of the Corporation</w:t>
      </w:r>
      <w:r>
        <w:rPr>
          <w:rFonts w:ascii="Arial" w:cs="Arial" w:eastAsia="Arial" w:hAnsi="Arial"/>
          <w:sz w:val="14"/>
          <w:szCs w:val="14"/>
          <w:color w:val="auto"/>
        </w:rPr>
        <w:t>.</w:t>
      </w:r>
    </w:p>
    <w:p>
      <w:pPr>
        <w:spacing w:after="0" w:line="85" w:lineRule="exact"/>
        <w:rPr>
          <w:sz w:val="20"/>
          <w:szCs w:val="20"/>
          <w:color w:val="auto"/>
        </w:rPr>
      </w:pPr>
    </w:p>
    <w:p>
      <w:pPr>
        <w:ind w:right="200" w:firstLine="677"/>
        <w:spacing w:after="0" w:line="302" w:lineRule="auto"/>
        <w:tabs>
          <w:tab w:leader="none" w:pos="973" w:val="left"/>
        </w:tabs>
        <w:numPr>
          <w:ilvl w:val="0"/>
          <w:numId w:val="161"/>
        </w:numPr>
        <w:rPr>
          <w:rFonts w:ascii="Arial" w:cs="Arial" w:eastAsia="Arial" w:hAnsi="Arial"/>
          <w:sz w:val="12"/>
          <w:szCs w:val="12"/>
          <w:color w:val="auto"/>
        </w:rPr>
      </w:pPr>
      <w:r>
        <w:rPr>
          <w:rFonts w:ascii="Arial" w:cs="Arial" w:eastAsia="Arial" w:hAnsi="Arial"/>
          <w:sz w:val="12"/>
          <w:szCs w:val="12"/>
          <w:color w:val="auto"/>
        </w:rPr>
        <w:t>Notwithstanding anything to the contrary contained in Section 7(a), upon the occurrence of a Change of Control, the Corporation may, at its option, upon not less than 30 nor more than 90 days’ written notice, redeem the Series C Preferred Stock, in whole, at any time, or in part, from time to time, within 120 days after the first date on which such Change of Control occurred, for cash at a redemption price of $25.00 per share, plus any accrued and unpaid dividends thereon (whether or not declared) to, but not including, the date fixed for redemption (the “</w:t>
      </w:r>
      <w:r>
        <w:rPr>
          <w:rFonts w:ascii="Arial" w:cs="Arial" w:eastAsia="Arial" w:hAnsi="Arial"/>
          <w:sz w:val="12"/>
          <w:szCs w:val="12"/>
          <w:b w:val="1"/>
          <w:bCs w:val="1"/>
          <w:color w:val="auto"/>
        </w:rPr>
        <w:t>Redemption Price</w:t>
      </w:r>
      <w:r>
        <w:rPr>
          <w:rFonts w:ascii="Arial" w:cs="Arial" w:eastAsia="Arial" w:hAnsi="Arial"/>
          <w:sz w:val="12"/>
          <w:szCs w:val="12"/>
          <w:color w:val="auto"/>
        </w:rPr>
        <w:t>”); provided that, if the Redemption Date is after a Dividend Payment Record Date and prior to the corresponding Dividend Payment Date, no additional amount for such accrued and unpaid dividend will be included in the Redemption Price and the dividend payments on such Dividend Payment Date shall be made pursuant to Section 5(d). If,</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020"/>
          </w:cols>
          <w:pgMar w:left="400" w:top="903" w:right="479" w:bottom="1440" w:gutter="0" w:footer="0" w:header="0"/>
        </w:sectPr>
      </w:pPr>
    </w:p>
    <w:bookmarkStart w:id="258" w:name="page259"/>
    <w:bookmarkEnd w:id="258"/>
    <w:p>
      <w:pPr>
        <w:ind w:left="1" w:right="80"/>
        <w:spacing w:after="0" w:line="266" w:lineRule="auto"/>
        <w:rPr>
          <w:sz w:val="20"/>
          <w:szCs w:val="20"/>
          <w:color w:val="auto"/>
        </w:rPr>
      </w:pPr>
      <w:r>
        <w:rPr>
          <w:rFonts w:ascii="Arial" w:cs="Arial" w:eastAsia="Arial" w:hAnsi="Arial"/>
          <w:sz w:val="13"/>
          <w:szCs w:val="13"/>
          <w:color w:val="auto"/>
        </w:rPr>
        <w:t>prior to the Change of Control Conversion Date, the Corporation has provided notice of its election to redeem some or all of the shares of Series C Preferred Stock pursuant to this Section 5, the holders of Series C Preferred Stock will not have the Change of Control Conversion Right (as hereinafter defined) with respect to the shares called for redemption. If the Corporation elects to redeem any shares of Series C Preferred Stock as described in this Section 5(a), it may use any available cash to pay the Redemption Price, and it will not be required to pay the Redemption Price only out of the proceeds from the issuance of other equity securities or any other specific source. A “</w:t>
      </w:r>
      <w:r>
        <w:rPr>
          <w:rFonts w:ascii="Arial" w:cs="Arial" w:eastAsia="Arial" w:hAnsi="Arial"/>
          <w:sz w:val="13"/>
          <w:szCs w:val="13"/>
          <w:b w:val="1"/>
          <w:bCs w:val="1"/>
          <w:color w:val="auto"/>
        </w:rPr>
        <w:t>Change of Control</w:t>
      </w:r>
      <w:r>
        <w:rPr>
          <w:rFonts w:ascii="Arial" w:cs="Arial" w:eastAsia="Arial" w:hAnsi="Arial"/>
          <w:sz w:val="13"/>
          <w:szCs w:val="13"/>
          <w:color w:val="auto"/>
        </w:rPr>
        <w:t>” shall be deemed to have occurred at such time as (i) (A) the date a “person”, including any syndicate or group deemed to be a person within the meaning of Sections 13(d)</w:t>
      </w:r>
    </w:p>
    <w:p>
      <w:pPr>
        <w:spacing w:after="0" w:line="2" w:lineRule="exact"/>
        <w:rPr>
          <w:sz w:val="20"/>
          <w:szCs w:val="20"/>
          <w:color w:val="auto"/>
        </w:rPr>
      </w:pPr>
    </w:p>
    <w:p>
      <w:pPr>
        <w:ind w:left="1" w:hanging="1"/>
        <w:spacing w:after="0" w:line="289" w:lineRule="auto"/>
        <w:tabs>
          <w:tab w:leader="none" w:pos="20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and 14(d)(2) of the Securities Exchange Act of 1934, as amended (the “</w:t>
      </w:r>
      <w:r>
        <w:rPr>
          <w:rFonts w:ascii="Arial" w:cs="Arial" w:eastAsia="Arial" w:hAnsi="Arial"/>
          <w:sz w:val="12"/>
          <w:szCs w:val="12"/>
          <w:b w:val="1"/>
          <w:bCs w:val="1"/>
          <w:color w:val="auto"/>
        </w:rPr>
        <w:t>Securities Exchange Act</w:t>
      </w:r>
      <w:r>
        <w:rPr>
          <w:rFonts w:ascii="Arial" w:cs="Arial" w:eastAsia="Arial" w:hAnsi="Arial"/>
          <w:sz w:val="12"/>
          <w:szCs w:val="12"/>
          <w:color w:val="auto"/>
        </w:rPr>
        <w:t>”) becomes 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or (B)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and (ii) following the closing of any transaction referred to in clause (i), neither the Corporation nor the acquiring or surviving entity has a class of common equity securities (or American Depositary Receipts representing such securities) listed on the New York Stock Exchange, the NYSE MKT or the NASDAQ Stock Market, or listed or quoted on an exchange or quotation system that is a successor to any such securities exchange. “</w:t>
      </w:r>
      <w:r>
        <w:rPr>
          <w:rFonts w:ascii="Arial" w:cs="Arial" w:eastAsia="Arial" w:hAnsi="Arial"/>
          <w:sz w:val="12"/>
          <w:szCs w:val="12"/>
          <w:b w:val="1"/>
          <w:bCs w:val="1"/>
          <w:color w:val="auto"/>
        </w:rPr>
        <w:t>Voting Stock</w:t>
      </w:r>
      <w:r>
        <w:rPr>
          <w:rFonts w:ascii="Arial" w:cs="Arial" w:eastAsia="Arial" w:hAnsi="Arial"/>
          <w:sz w:val="12"/>
          <w:szCs w:val="12"/>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42" w:lineRule="exact"/>
        <w:rPr>
          <w:rFonts w:ascii="Arial" w:cs="Arial" w:eastAsia="Arial" w:hAnsi="Arial"/>
          <w:sz w:val="12"/>
          <w:szCs w:val="12"/>
          <w:color w:val="auto"/>
        </w:rPr>
      </w:pPr>
    </w:p>
    <w:p>
      <w:pPr>
        <w:ind w:left="1" w:right="60" w:firstLine="677"/>
        <w:spacing w:after="0" w:line="295" w:lineRule="auto"/>
        <w:tabs>
          <w:tab w:leader="none" w:pos="1010" w:val="left"/>
        </w:tabs>
        <w:numPr>
          <w:ilvl w:val="1"/>
          <w:numId w:val="162"/>
        </w:numPr>
        <w:rPr>
          <w:rFonts w:ascii="Arial" w:cs="Arial" w:eastAsia="Arial" w:hAnsi="Arial"/>
          <w:sz w:val="12"/>
          <w:szCs w:val="12"/>
          <w:color w:val="auto"/>
        </w:rPr>
      </w:pPr>
      <w:r>
        <w:rPr>
          <w:rFonts w:ascii="Arial" w:cs="Arial" w:eastAsia="Arial" w:hAnsi="Arial"/>
          <w:sz w:val="12"/>
          <w:szCs w:val="12"/>
          <w:color w:val="auto"/>
        </w:rPr>
        <w:t>Except as otherwise permitted by the Charter and paragraph (a) above, the Series C Preferred Stock shall not be redeemable by the Corporation prior to October 11, 2017. On and after October 11, 2017, the Corporation, at its option, may redeem the shares of Series C Preferred Stock, in whole or in part, as set forth herein, subject to the provisions described below.</w:t>
      </w:r>
    </w:p>
    <w:p>
      <w:pPr>
        <w:ind w:left="1" w:right="280" w:firstLine="677"/>
        <w:spacing w:after="0" w:line="309" w:lineRule="auto"/>
        <w:tabs>
          <w:tab w:leader="none" w:pos="974" w:val="left"/>
        </w:tabs>
        <w:numPr>
          <w:ilvl w:val="1"/>
          <w:numId w:val="162"/>
        </w:numPr>
        <w:rPr>
          <w:rFonts w:ascii="Arial" w:cs="Arial" w:eastAsia="Arial" w:hAnsi="Arial"/>
          <w:sz w:val="12"/>
          <w:szCs w:val="12"/>
          <w:color w:val="auto"/>
        </w:rPr>
      </w:pPr>
      <w:r>
        <w:rPr>
          <w:rFonts w:ascii="Arial" w:cs="Arial" w:eastAsia="Arial" w:hAnsi="Arial"/>
          <w:sz w:val="12"/>
          <w:szCs w:val="12"/>
          <w:color w:val="auto"/>
        </w:rPr>
        <w:t>On and after October 11, 2017, the Series C Preferred Stock shall be redeemable at the option of the Corporation, in whole or in part, at any time or from time to time, at the Redemption Price. Each date on which Series C Preferred Stock are to be redeemed (a “</w:t>
      </w:r>
      <w:r>
        <w:rPr>
          <w:rFonts w:ascii="Arial" w:cs="Arial" w:eastAsia="Arial" w:hAnsi="Arial"/>
          <w:sz w:val="12"/>
          <w:szCs w:val="12"/>
          <w:b w:val="1"/>
          <w:bCs w:val="1"/>
          <w:color w:val="auto"/>
        </w:rPr>
        <w:t>Redemption Date</w:t>
      </w:r>
      <w:r>
        <w:rPr>
          <w:rFonts w:ascii="Arial" w:cs="Arial" w:eastAsia="Arial" w:hAnsi="Arial"/>
          <w:sz w:val="12"/>
          <w:szCs w:val="12"/>
          <w:color w:val="auto"/>
        </w:rPr>
        <w:t>”) shall be selected by the Corporation, shall be specified in the notice of redemption and shall not be less than 30 days or more than 90 days after the date on which the Corporation gives, or causes to be given, notice of redemption by mail pursuant to the next paragraph.</w:t>
      </w:r>
    </w:p>
    <w:p>
      <w:pPr>
        <w:spacing w:after="0" w:line="5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1021"/>
          </w:cols>
          <w:pgMar w:left="399" w:top="903" w:right="479" w:bottom="1440" w:gutter="0" w:footer="0" w:header="0"/>
        </w:sectPr>
      </w:pPr>
    </w:p>
    <w:bookmarkStart w:id="259" w:name="page260"/>
    <w:bookmarkEnd w:id="259"/>
    <w:p>
      <w:pPr>
        <w:ind w:firstLine="677"/>
        <w:spacing w:after="0" w:line="267" w:lineRule="auto"/>
        <w:rPr>
          <w:sz w:val="20"/>
          <w:szCs w:val="20"/>
          <w:color w:val="auto"/>
        </w:rPr>
      </w:pPr>
      <w:r>
        <w:rPr>
          <w:rFonts w:ascii="Arial" w:cs="Arial" w:eastAsia="Arial" w:hAnsi="Arial"/>
          <w:sz w:val="13"/>
          <w:szCs w:val="13"/>
          <w:color w:val="auto"/>
        </w:rPr>
        <w:t>A notice of redemption (which may be contingent on the occurrence of a future event) shall be mailed, postage prepaid, not less than 30 nor more than 90 days prior to the Redemption Date, addressed to the respective holders of record of the Series C Preferred Stock at their respective addresses as they appear on the Corporation’s share transfer records. A failure to give such notice or any defect in the notice or in its mailing shall not affect the validity of the proceedings for the redemption of any Series C Preferred Stock except as to the holder to whom notice was defective or not given (unless such a holder elects to tender such holder’s shares). Each notice shall state: (i) the Redemption Date; (ii) the Redemption Price; (iii) the number of shares of Series C Preferred Stock to be redeemed and, if fewer than all the shares of Series C Preferred Stock held by such holder are to be redeemed, the number of such shares of Series C Preferred Stock to be redeemed from such holder; (iv) the place or places where the certificates representing the shares of Series C Preferred Stock are to be surrendered for payment of the Redemption Price, if any of such shares are certificated; (v) that distributions on the shares to be redeemed will cease to accrue on such Redemption Date except as otherwise provided herein; and (vi) if such redemption is being made in connection with a Change of Control, that the holders of the shares of Series C Preferred Stock being so called for redemption will not be able to tender such shares of Series C Preferred Stock for conversion in connection with the Change of Control and that each share of Series C Preferred Stock tendered for conversion that is called, prior to the Change of Control Conversion Date (as defined below), for redemption will be redeemed on the related date of redemption instead of converted on the Change of Control Conversion Date. Notwithstanding the foregoing, no notice of redemption will be required where the Corporation elects to redeem Series C Preferred Stock pursuant to Section 5(b) and Article VII of the Charter to preserve its REIT qualification for federal income tax purposes.</w:t>
      </w:r>
    </w:p>
    <w:p>
      <w:pPr>
        <w:spacing w:after="0" w:line="51" w:lineRule="exact"/>
        <w:rPr>
          <w:sz w:val="20"/>
          <w:szCs w:val="20"/>
          <w:color w:val="auto"/>
        </w:rPr>
      </w:pPr>
    </w:p>
    <w:p>
      <w:pPr>
        <w:ind w:right="40" w:firstLine="677"/>
        <w:spacing w:after="0" w:line="278" w:lineRule="auto"/>
        <w:tabs>
          <w:tab w:leader="none" w:pos="981" w:val="left"/>
        </w:tabs>
        <w:numPr>
          <w:ilvl w:val="0"/>
          <w:numId w:val="163"/>
        </w:numPr>
        <w:rPr>
          <w:rFonts w:ascii="Arial" w:cs="Arial" w:eastAsia="Arial" w:hAnsi="Arial"/>
          <w:sz w:val="13"/>
          <w:szCs w:val="13"/>
          <w:color w:val="auto"/>
        </w:rPr>
      </w:pPr>
      <w:r>
        <w:rPr>
          <w:rFonts w:ascii="Arial" w:cs="Arial" w:eastAsia="Arial" w:hAnsi="Arial"/>
          <w:sz w:val="13"/>
          <w:szCs w:val="13"/>
          <w:color w:val="auto"/>
        </w:rPr>
        <w:t>If the Redemption Date falls after a Dividend Payment Record Date and prior to the corresponding Dividend Payment Date, then each holder of Series C Preferred Stock at the close of business on such Dividend Payment Record Date shall be entitled to the dividend payable on such Series C Preferred Stock on the corresponding Dividend Payment Date notwithstanding the redemption of such Series C Preferred Stock before such Dividend Payment Date. Except as provided in calculating the Redemption Price and in this Section 5(d), the Corporation shall make no payment or allowance for unpaid dividends, whether or not in arrears, on Series C Preferred Stock called for redemption.</w:t>
      </w:r>
    </w:p>
    <w:p>
      <w:pPr>
        <w:spacing w:after="0" w:line="44" w:lineRule="exact"/>
        <w:rPr>
          <w:rFonts w:ascii="Arial" w:cs="Arial" w:eastAsia="Arial" w:hAnsi="Arial"/>
          <w:sz w:val="13"/>
          <w:szCs w:val="13"/>
          <w:color w:val="auto"/>
        </w:rPr>
      </w:pPr>
    </w:p>
    <w:p>
      <w:pPr>
        <w:ind w:right="40" w:firstLine="677"/>
        <w:spacing w:after="0" w:line="253" w:lineRule="auto"/>
        <w:tabs>
          <w:tab w:leader="none" w:pos="973"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If full cumulative dividends for all past dividend periods on the Series C Preferred Stock and any series or class or classes of Dividend Parity Stock of the Corporation have not been paid or declared and set apart for payment, except as otherwise permitted under the Charter, the Series C Preferred Stock may not be redeemed in part and the Corporation may not purchase, redeem or otherwise acquire Series C Preferred Stock or any capital stock of the Corporation ranking on a parity with the Series C Preferred Stock as to payment of dividends or as to the distribution of assets upon liquidation, dissolution or winding up, other than in exchange for Junior Shares.</w:t>
      </w:r>
    </w:p>
    <w:p>
      <w:pPr>
        <w:spacing w:after="0" w:line="57" w:lineRule="exact"/>
        <w:rPr>
          <w:rFonts w:ascii="Arial" w:cs="Arial" w:eastAsia="Arial" w:hAnsi="Arial"/>
          <w:sz w:val="14"/>
          <w:szCs w:val="14"/>
          <w:color w:val="auto"/>
        </w:rPr>
      </w:pPr>
    </w:p>
    <w:p>
      <w:pPr>
        <w:ind w:right="340" w:firstLine="677"/>
        <w:spacing w:after="0" w:line="356" w:lineRule="auto"/>
        <w:tabs>
          <w:tab w:leader="none" w:pos="95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Notice having been mailed as aforesaid, from and after the Redemption Date (unless the Corporation shall fail to make available the amount of cash necessary to effect such redemption), (i) except as otherwise provided herein, dividends on the shares of Series C Preferred Stock so called for redemption shall cease to accrue, (ii) said shares shall no longer be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980"/>
          </w:cols>
          <w:pgMar w:left="400" w:top="903" w:right="519" w:bottom="1440" w:gutter="0" w:footer="0" w:header="0"/>
        </w:sectPr>
      </w:pPr>
    </w:p>
    <w:bookmarkStart w:id="260" w:name="page261"/>
    <w:bookmarkEnd w:id="260"/>
    <w:p>
      <w:pPr>
        <w:spacing w:after="0" w:line="269" w:lineRule="auto"/>
        <w:rPr>
          <w:sz w:val="20"/>
          <w:szCs w:val="20"/>
          <w:color w:val="auto"/>
        </w:rPr>
      </w:pPr>
      <w:r>
        <w:rPr>
          <w:rFonts w:ascii="Arial" w:cs="Arial" w:eastAsia="Arial" w:hAnsi="Arial"/>
          <w:sz w:val="13"/>
          <w:szCs w:val="13"/>
          <w:color w:val="auto"/>
        </w:rPr>
        <w:t>deemed to be outstanding, and (iii) all rights of the holders thereof as holders of Series C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C Preferred Stock so called for redemption. No interest shall accrue for the benefit of the holder of Series C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191" w:lineRule="exact"/>
        <w:rPr>
          <w:sz w:val="20"/>
          <w:szCs w:val="20"/>
          <w:color w:val="auto"/>
        </w:rPr>
      </w:pPr>
    </w:p>
    <w:p>
      <w:pPr>
        <w:ind w:right="160" w:firstLine="677"/>
        <w:spacing w:after="0" w:line="272" w:lineRule="auto"/>
        <w:rPr>
          <w:sz w:val="20"/>
          <w:szCs w:val="20"/>
          <w:color w:val="auto"/>
        </w:rPr>
      </w:pPr>
      <w:r>
        <w:rPr>
          <w:rFonts w:ascii="Arial" w:cs="Arial" w:eastAsia="Arial" w:hAnsi="Arial"/>
          <w:sz w:val="13"/>
          <w:szCs w:val="13"/>
          <w:color w:val="auto"/>
        </w:rPr>
        <w:t>As promptly as practicable after the surrender in accordance with said notice of the certificates for any such shares of Series C Preferred Stock so redeemed (properly endorsed or assigned for transfer, if the Corporation shall so require and if the notice shall so state), such shares of Series C Preferred Stock shall be exchanged for the cash (without interest thereon) for which such shares of Series C Preferred Stock have been redeemed. If fewer than all of the outstanding shares of Series C Preferred Stock are to be redeemed, the shares of Series C Preferred Stock to be redeemed shall be selected by the Corporation from the outstanding shares of Series C Preferred Stock not previously called for redemption by lot or pro rata (as nearly as may be) or by any other method determined by the Corporation in its sole discretion to be equitable. If fewer than all the shares of Series C Preferred Stock represented by any certificate are redeemed, then new certificates representing the unredeemed shares of Series C Preferred Stock shall be issued without cost to the holder thereof.</w:t>
      </w:r>
    </w:p>
    <w:p>
      <w:pPr>
        <w:spacing w:after="0" w:line="176" w:lineRule="exact"/>
        <w:rPr>
          <w:sz w:val="20"/>
          <w:szCs w:val="20"/>
          <w:color w:val="auto"/>
        </w:rPr>
      </w:pPr>
    </w:p>
    <w:p>
      <w:pPr>
        <w:ind w:right="20" w:firstLine="677"/>
        <w:spacing w:after="0" w:line="270"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Reacquired Shares to Be Retired</w:t>
      </w:r>
      <w:r>
        <w:rPr>
          <w:rFonts w:ascii="Arial" w:cs="Arial" w:eastAsia="Arial" w:hAnsi="Arial"/>
          <w:sz w:val="14"/>
          <w:szCs w:val="14"/>
          <w:color w:val="auto"/>
        </w:rPr>
        <w:t>. All shares of Series C Preferred Stock that have been issued and reacquired in any manner by the Corporation shall be restored to the status of authorized but unissued shares of Preferred Stock, without designation as to series.</w:t>
      </w:r>
    </w:p>
    <w:p>
      <w:pPr>
        <w:spacing w:after="0" w:line="176" w:lineRule="exact"/>
        <w:rPr>
          <w:sz w:val="20"/>
          <w:szCs w:val="20"/>
          <w:color w:val="auto"/>
        </w:rPr>
      </w:pPr>
    </w:p>
    <w:p>
      <w:pPr>
        <w:ind w:right="320" w:firstLine="677"/>
        <w:spacing w:after="0" w:line="270"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Conversion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Except as provided in this Section 7, the Series C Preferred Stock are not convertible into or exchangeable for any other property or securities of the Corporation at the option of any holder of Series C Preferred Stock.</w:t>
      </w:r>
    </w:p>
    <w:p>
      <w:pPr>
        <w:spacing w:after="0" w:line="59" w:lineRule="exact"/>
        <w:rPr>
          <w:sz w:val="20"/>
          <w:szCs w:val="20"/>
          <w:color w:val="auto"/>
        </w:rPr>
      </w:pPr>
    </w:p>
    <w:p>
      <w:pPr>
        <w:jc w:val="both"/>
        <w:ind w:firstLine="677"/>
        <w:spacing w:after="0" w:line="278" w:lineRule="auto"/>
        <w:tabs>
          <w:tab w:leader="none" w:pos="973" w:val="left"/>
        </w:tabs>
        <w:numPr>
          <w:ilvl w:val="0"/>
          <w:numId w:val="164"/>
        </w:numPr>
        <w:rPr>
          <w:rFonts w:ascii="Arial" w:cs="Arial" w:eastAsia="Arial" w:hAnsi="Arial"/>
          <w:sz w:val="13"/>
          <w:szCs w:val="13"/>
          <w:color w:val="auto"/>
        </w:rPr>
      </w:pPr>
      <w:r>
        <w:rPr>
          <w:rFonts w:ascii="Arial" w:cs="Arial" w:eastAsia="Arial" w:hAnsi="Arial"/>
          <w:sz w:val="13"/>
          <w:szCs w:val="13"/>
          <w:color w:val="auto"/>
        </w:rPr>
        <w:t>Upon the occurrence of a Change of Control, each holder of Series C Preferred Stock shall have the right (unless, prior to the Change of Control Conversion Date, the Corporation has provided notice of its election to redeem some or all of the shares of Series C Preferred Stock held by such holder pursuant to Section 5, in which case such holder will have the right only with respect to shares of Series C Preferred Stock that are not called for redemption) to convert each of the Series C Preferred Stock held by such holder (the “</w:t>
      </w:r>
      <w:r>
        <w:rPr>
          <w:rFonts w:ascii="Arial" w:cs="Arial" w:eastAsia="Arial" w:hAnsi="Arial"/>
          <w:sz w:val="13"/>
          <w:szCs w:val="13"/>
          <w:b w:val="1"/>
          <w:bCs w:val="1"/>
          <w:color w:val="auto"/>
        </w:rPr>
        <w:t>Change of Control Conversion Right</w:t>
      </w:r>
      <w:r>
        <w:rPr>
          <w:rFonts w:ascii="Arial" w:cs="Arial" w:eastAsia="Arial" w:hAnsi="Arial"/>
          <w:sz w:val="13"/>
          <w:szCs w:val="13"/>
          <w:color w:val="auto"/>
        </w:rPr>
        <w:t>”) on the Change of Control Conversion Date into a number of shares of Class A Common Stock (the “</w:t>
      </w:r>
      <w:r>
        <w:rPr>
          <w:rFonts w:ascii="Arial" w:cs="Arial" w:eastAsia="Arial" w:hAnsi="Arial"/>
          <w:sz w:val="13"/>
          <w:szCs w:val="13"/>
          <w:b w:val="1"/>
          <w:bCs w:val="1"/>
          <w:color w:val="auto"/>
        </w:rPr>
        <w:t>Common Stock Conversion Consideration</w:t>
      </w:r>
      <w:r>
        <w:rPr>
          <w:rFonts w:ascii="Arial" w:cs="Arial" w:eastAsia="Arial" w:hAnsi="Arial"/>
          <w:sz w:val="13"/>
          <w:szCs w:val="13"/>
          <w:color w:val="auto"/>
        </w:rPr>
        <w:t>”) equal to the</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020"/>
          </w:cols>
          <w:pgMar w:left="400" w:top="903" w:right="479" w:bottom="1440" w:gutter="0" w:footer="0" w:header="0"/>
        </w:sectPr>
      </w:pPr>
    </w:p>
    <w:bookmarkStart w:id="261" w:name="page262"/>
    <w:bookmarkEnd w:id="261"/>
    <w:p>
      <w:pPr>
        <w:jc w:val="both"/>
        <w:ind w:right="100"/>
        <w:spacing w:after="0" w:line="278" w:lineRule="auto"/>
        <w:rPr>
          <w:sz w:val="20"/>
          <w:szCs w:val="20"/>
          <w:color w:val="auto"/>
        </w:rPr>
      </w:pPr>
      <w:r>
        <w:rPr>
          <w:rFonts w:ascii="Arial" w:cs="Arial" w:eastAsia="Arial" w:hAnsi="Arial"/>
          <w:sz w:val="13"/>
          <w:szCs w:val="13"/>
          <w:color w:val="auto"/>
        </w:rPr>
        <w:t>lesser of: (i) the quotient obtained by dividing (x) the sum of the Liquidation Preference per share of Series C Preferred Stock plus the amount of any accrued and unpaid dividends thereon to, but not including, the Change of Control Conversion Date (unless the Change of Control Conversion Date is after a Dividend Payment Record Date and prior to the corresponding Dividend Payment Date for the Series C Preferred Stock, in which case no additional amount for such accrued and unpaid dividends shall be included in this sum) by (y) the Common Stock Price (as defined below) (such quotient, the “</w:t>
      </w:r>
      <w:r>
        <w:rPr>
          <w:rFonts w:ascii="Arial" w:cs="Arial" w:eastAsia="Arial" w:hAnsi="Arial"/>
          <w:sz w:val="13"/>
          <w:szCs w:val="13"/>
          <w:b w:val="1"/>
          <w:bCs w:val="1"/>
          <w:color w:val="auto"/>
        </w:rPr>
        <w:t>Conversion Rate</w:t>
      </w:r>
      <w:r>
        <w:rPr>
          <w:rFonts w:ascii="Arial" w:cs="Arial" w:eastAsia="Arial" w:hAnsi="Arial"/>
          <w:sz w:val="13"/>
          <w:szCs w:val="13"/>
          <w:color w:val="auto"/>
        </w:rPr>
        <w:t xml:space="preserve">”); and (ii) 8.4585 (the </w:t>
      </w:r>
      <w:r>
        <w:rPr>
          <w:rFonts w:ascii="Arial" w:cs="Arial" w:eastAsia="Arial" w:hAnsi="Arial"/>
          <w:sz w:val="13"/>
          <w:szCs w:val="13"/>
          <w:b w:val="1"/>
          <w:bCs w:val="1"/>
          <w:color w:val="auto"/>
        </w:rPr>
        <w:t>“Share Cap”</w:t>
      </w:r>
      <w:r>
        <w:rPr>
          <w:rFonts w:ascii="Arial" w:cs="Arial" w:eastAsia="Arial" w:hAnsi="Arial"/>
          <w:sz w:val="13"/>
          <w:szCs w:val="13"/>
          <w:color w:val="auto"/>
        </w:rPr>
        <w:t>), subject to adjustments provided in Section 7(b) below.</w:t>
      </w:r>
    </w:p>
    <w:p>
      <w:pPr>
        <w:spacing w:after="0" w:line="56" w:lineRule="exact"/>
        <w:rPr>
          <w:sz w:val="20"/>
          <w:szCs w:val="20"/>
          <w:color w:val="auto"/>
        </w:rPr>
      </w:pPr>
    </w:p>
    <w:p>
      <w:pPr>
        <w:ind w:right="120" w:firstLine="677"/>
        <w:spacing w:after="0" w:line="247" w:lineRule="auto"/>
        <w:tabs>
          <w:tab w:leader="none" w:pos="979"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Share Cap is subject to pro rata adjustments for any share splits (including those effected pursuant to a distribution of Class A Common Stock to existing holders of Class A Common Stock), subdivisions or combinations (in each case, a “</w:t>
      </w:r>
      <w:r>
        <w:rPr>
          <w:rFonts w:ascii="Arial" w:cs="Arial" w:eastAsia="Arial" w:hAnsi="Arial"/>
          <w:sz w:val="14"/>
          <w:szCs w:val="14"/>
          <w:b w:val="1"/>
          <w:bCs w:val="1"/>
          <w:color w:val="auto"/>
        </w:rPr>
        <w:t>Share Split</w:t>
      </w:r>
      <w:r>
        <w:rPr>
          <w:rFonts w:ascii="Arial" w:cs="Arial" w:eastAsia="Arial" w:hAnsi="Arial"/>
          <w:sz w:val="14"/>
          <w:szCs w:val="14"/>
          <w:color w:val="auto"/>
        </w:rPr>
        <w:t>”) with respect to Class A Common Stock as follows: the adjusted Share Cap as the result of a Share Split will be the number of shares of Class A Common Stock that is equivalent to the product obtained by multiplying (i) the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 For the avoidance of doubt, subject to the immediately succeeding sentence, the aggregate number of shares of Class A Common Stock (or equivalent Alternative</w:t>
      </w:r>
    </w:p>
    <w:p>
      <w:pPr>
        <w:spacing w:after="0" w:line="247" w:lineRule="auto"/>
        <w:rPr>
          <w:rFonts w:ascii="Arial" w:cs="Arial" w:eastAsia="Arial" w:hAnsi="Arial"/>
          <w:sz w:val="14"/>
          <w:szCs w:val="14"/>
          <w:color w:val="auto"/>
        </w:rPr>
      </w:pPr>
      <w:r>
        <w:rPr>
          <w:rFonts w:ascii="Arial" w:cs="Arial" w:eastAsia="Arial" w:hAnsi="Arial"/>
          <w:sz w:val="14"/>
          <w:szCs w:val="14"/>
          <w:color w:val="auto"/>
        </w:rPr>
        <w:t>Conversion Consideration (as defined below), as applicable) issuable or deliverable, as applicable, in connection with the exercise of the Change of Control Conversion Right shall not exceed the product of the Share Cap times the aggregate number of shares of the Series C Preferred Stock issued and outstanding at the Change of Control Conversion Date (or equivalent Alternative Conversion Consideration, as applicable) (the “</w:t>
      </w:r>
      <w:r>
        <w:rPr>
          <w:rFonts w:ascii="Arial" w:cs="Arial" w:eastAsia="Arial" w:hAnsi="Arial"/>
          <w:sz w:val="14"/>
          <w:szCs w:val="14"/>
          <w:b w:val="1"/>
          <w:bCs w:val="1"/>
          <w:color w:val="auto"/>
        </w:rPr>
        <w:t>Exchange Cap</w:t>
      </w:r>
      <w:r>
        <w:rPr>
          <w:rFonts w:ascii="Arial" w:cs="Arial" w:eastAsia="Arial" w:hAnsi="Arial"/>
          <w:sz w:val="14"/>
          <w:szCs w:val="14"/>
          <w:color w:val="auto"/>
        </w:rPr>
        <w:t>”). The Exchange Cap is subject to pro rata adjustments for any Share Splits on the same basis as the corresponding adjustment to the Share Cap.</w:t>
      </w:r>
    </w:p>
    <w:p>
      <w:pPr>
        <w:spacing w:after="0" w:line="46" w:lineRule="exact"/>
        <w:rPr>
          <w:rFonts w:ascii="Arial" w:cs="Arial" w:eastAsia="Arial" w:hAnsi="Arial"/>
          <w:sz w:val="14"/>
          <w:szCs w:val="14"/>
          <w:color w:val="auto"/>
        </w:rPr>
      </w:pPr>
    </w:p>
    <w:p>
      <w:pPr>
        <w:ind w:right="360" w:firstLine="677"/>
        <w:spacing w:after="0" w:line="316" w:lineRule="auto"/>
        <w:tabs>
          <w:tab w:leader="none" w:pos="971"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Change of Control Conversion Date</w:t>
      </w:r>
      <w:r>
        <w:rPr>
          <w:rFonts w:ascii="Arial" w:cs="Arial" w:eastAsia="Arial" w:hAnsi="Arial"/>
          <w:sz w:val="13"/>
          <w:szCs w:val="13"/>
          <w:color w:val="auto"/>
        </w:rPr>
        <w:t>” is the date the Series C Preferred Stock is to be converted, which shall be a Business Day selected by the Corporation that is no fewer than 20 days nor more than 35 days after the date on which it provides the notice described in Section 7(h) to the holders of Series C Preferred Stock.</w:t>
      </w:r>
    </w:p>
    <w:p>
      <w:pPr>
        <w:spacing w:after="0" w:line="144" w:lineRule="exact"/>
        <w:rPr>
          <w:rFonts w:ascii="Arial" w:cs="Arial" w:eastAsia="Arial" w:hAnsi="Arial"/>
          <w:sz w:val="13"/>
          <w:szCs w:val="13"/>
          <w:color w:val="auto"/>
        </w:rPr>
      </w:pPr>
    </w:p>
    <w:p>
      <w:pPr>
        <w:ind w:right="180" w:firstLine="677"/>
        <w:spacing w:after="0" w:line="271" w:lineRule="auto"/>
        <w:tabs>
          <w:tab w:leader="none" w:pos="979"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Common Stock Price</w:t>
      </w:r>
      <w:r>
        <w:rPr>
          <w:rFonts w:ascii="Arial" w:cs="Arial" w:eastAsia="Arial" w:hAnsi="Arial"/>
          <w:sz w:val="13"/>
          <w:szCs w:val="13"/>
          <w:color w:val="auto"/>
        </w:rPr>
        <w:t>” is (i) if the consideration to be received in the Change of Control by the holders of Class A Common Stock is solely cash, the amount of cash consideration per share of Class A Common Stock or (ii) if the consideration to be received in the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Class A Common Stock is then traded, or (y) the average of the last quoted bid prices for Class A Common Stock in the over-the-counter market as reported by Pink OTC Markets Inc. or similar organization for the ten consecutive trading days immediately preceding, but not including, the date on which such Change of Control occurred, if Class A Common Stock is not then listed for trading on a U.S. securities exchange.</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020"/>
          </w:cols>
          <w:pgMar w:left="400" w:top="903" w:right="479" w:bottom="1440" w:gutter="0" w:footer="0" w:header="0"/>
        </w:sectPr>
      </w:pPr>
    </w:p>
    <w:bookmarkStart w:id="262" w:name="page263"/>
    <w:bookmarkEnd w:id="262"/>
    <w:p>
      <w:pPr>
        <w:jc w:val="both"/>
        <w:ind w:left="1" w:right="180" w:firstLine="677"/>
        <w:spacing w:after="0" w:line="274" w:lineRule="auto"/>
        <w:tabs>
          <w:tab w:leader="none" w:pos="974" w:val="left"/>
        </w:tabs>
        <w:numPr>
          <w:ilvl w:val="1"/>
          <w:numId w:val="166"/>
        </w:numPr>
        <w:rPr>
          <w:rFonts w:ascii="Arial" w:cs="Arial" w:eastAsia="Arial" w:hAnsi="Arial"/>
          <w:sz w:val="13"/>
          <w:szCs w:val="13"/>
          <w:color w:val="auto"/>
        </w:rPr>
      </w:pPr>
      <w:r>
        <w:rPr>
          <w:rFonts w:ascii="Arial" w:cs="Arial" w:eastAsia="Arial" w:hAnsi="Arial"/>
          <w:sz w:val="13"/>
          <w:szCs w:val="13"/>
          <w:color w:val="auto"/>
        </w:rPr>
        <w:t>In the case of a Change of Control pursuant to which Class A Common Stock is or will be converted into cash, securities or other property or assets (including any combination thereof) (the “</w:t>
      </w:r>
      <w:r>
        <w:rPr>
          <w:rFonts w:ascii="Arial" w:cs="Arial" w:eastAsia="Arial" w:hAnsi="Arial"/>
          <w:sz w:val="13"/>
          <w:szCs w:val="13"/>
          <w:b w:val="1"/>
          <w:bCs w:val="1"/>
          <w:color w:val="auto"/>
        </w:rPr>
        <w:t>Alternative Form Consideration</w:t>
      </w:r>
      <w:r>
        <w:rPr>
          <w:rFonts w:ascii="Arial" w:cs="Arial" w:eastAsia="Arial" w:hAnsi="Arial"/>
          <w:sz w:val="13"/>
          <w:szCs w:val="13"/>
          <w:color w:val="auto"/>
        </w:rPr>
        <w:t>”), a holder of Series C Preferred Stock shall receive upon conversion of such Series C Preferred Stock the kind and amount of Alternative Form Consideration which such holder would have owned or been entitled to receive upon the Change of Control had such holder held a number of shares of Class A Common Stock equal to the Common Stock Conversion Consideration immediately prior to the effective time of the Change of Control (the “</w:t>
      </w:r>
      <w:r>
        <w:rPr>
          <w:rFonts w:ascii="Arial" w:cs="Arial" w:eastAsia="Arial" w:hAnsi="Arial"/>
          <w:sz w:val="13"/>
          <w:szCs w:val="13"/>
          <w:b w:val="1"/>
          <w:bCs w:val="1"/>
          <w:color w:val="auto"/>
        </w:rPr>
        <w:t>Alternative Conversion Consideration</w:t>
      </w:r>
      <w:r>
        <w:rPr>
          <w:rFonts w:ascii="Arial" w:cs="Arial" w:eastAsia="Arial" w:hAnsi="Arial"/>
          <w:sz w:val="13"/>
          <w:szCs w:val="13"/>
          <w:color w:val="auto"/>
        </w:rPr>
        <w:t>”; the Common Stock Conversion Consideration or the Alternative Conversion Consideration, whichever shall be applicable to a Change of Control, is referred to as the “</w:t>
      </w:r>
      <w:r>
        <w:rPr>
          <w:rFonts w:ascii="Arial" w:cs="Arial" w:eastAsia="Arial" w:hAnsi="Arial"/>
          <w:sz w:val="13"/>
          <w:szCs w:val="13"/>
          <w:b w:val="1"/>
          <w:bCs w:val="1"/>
          <w:color w:val="auto"/>
        </w:rPr>
        <w:t>Conversion Consideration</w:t>
      </w:r>
      <w:r>
        <w:rPr>
          <w:rFonts w:ascii="Arial" w:cs="Arial" w:eastAsia="Arial" w:hAnsi="Arial"/>
          <w:sz w:val="13"/>
          <w:szCs w:val="13"/>
          <w:color w:val="auto"/>
        </w:rPr>
        <w:t>”).</w:t>
      </w:r>
    </w:p>
    <w:p>
      <w:pPr>
        <w:spacing w:after="0" w:line="47" w:lineRule="exact"/>
        <w:rPr>
          <w:rFonts w:ascii="Arial" w:cs="Arial" w:eastAsia="Arial" w:hAnsi="Arial"/>
          <w:sz w:val="13"/>
          <w:szCs w:val="13"/>
          <w:color w:val="auto"/>
        </w:rPr>
      </w:pPr>
    </w:p>
    <w:p>
      <w:pPr>
        <w:jc w:val="both"/>
        <w:ind w:left="1" w:right="60" w:firstLine="677"/>
        <w:spacing w:after="0" w:line="274" w:lineRule="auto"/>
        <w:tabs>
          <w:tab w:leader="none" w:pos="959" w:val="left"/>
        </w:tabs>
        <w:numPr>
          <w:ilvl w:val="1"/>
          <w:numId w:val="166"/>
        </w:numPr>
        <w:rPr>
          <w:rFonts w:ascii="Arial" w:cs="Arial" w:eastAsia="Arial" w:hAnsi="Arial"/>
          <w:sz w:val="13"/>
          <w:szCs w:val="13"/>
          <w:color w:val="auto"/>
        </w:rPr>
      </w:pPr>
      <w:r>
        <w:rPr>
          <w:rFonts w:ascii="Arial" w:cs="Arial" w:eastAsia="Arial" w:hAnsi="Arial"/>
          <w:sz w:val="13"/>
          <w:szCs w:val="13"/>
          <w:color w:val="auto"/>
        </w:rPr>
        <w:t>If the holders of Class A Common Stock have the opportunity to elect the form of consideration to be received in the Change of Control, the Conversion Consideration in respect of such Change of Control shall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shall be subject to any limitations to which all holders of Class A Common Stock are subject, including, without limitation, pro rata reductions applicable to any portion of the consideration payable in such Change of Control.</w:t>
      </w:r>
    </w:p>
    <w:p>
      <w:pPr>
        <w:spacing w:after="0" w:line="47" w:lineRule="exact"/>
        <w:rPr>
          <w:rFonts w:ascii="Arial" w:cs="Arial" w:eastAsia="Arial" w:hAnsi="Arial"/>
          <w:sz w:val="13"/>
          <w:szCs w:val="13"/>
          <w:color w:val="auto"/>
        </w:rPr>
      </w:pPr>
    </w:p>
    <w:p>
      <w:pPr>
        <w:ind w:left="1" w:right="60" w:firstLine="677"/>
        <w:spacing w:after="0" w:line="356" w:lineRule="auto"/>
        <w:tabs>
          <w:tab w:leader="none" w:pos="982" w:val="left"/>
        </w:tabs>
        <w:numPr>
          <w:ilvl w:val="1"/>
          <w:numId w:val="166"/>
        </w:numPr>
        <w:rPr>
          <w:rFonts w:ascii="Arial" w:cs="Arial" w:eastAsia="Arial" w:hAnsi="Arial"/>
          <w:sz w:val="12"/>
          <w:szCs w:val="12"/>
          <w:color w:val="auto"/>
        </w:rPr>
      </w:pPr>
      <w:r>
        <w:rPr>
          <w:rFonts w:ascii="Arial" w:cs="Arial" w:eastAsia="Arial" w:hAnsi="Arial"/>
          <w:sz w:val="12"/>
          <w:szCs w:val="12"/>
          <w:color w:val="auto"/>
        </w:rPr>
        <w:t>No fractional shares of Class A Common Stock shall be issued upon the conversion of the Series C Preferred Stock in connection with a Change of Control. Instead, holders shall be entitled to receive the cash value of such fractional shares based upon the Common Stock Price used in determining the Common Stock Conversion Consideration for such Change of Control.</w:t>
      </w:r>
    </w:p>
    <w:p>
      <w:pPr>
        <w:spacing w:after="0" w:line="128" w:lineRule="exact"/>
        <w:rPr>
          <w:rFonts w:ascii="Arial" w:cs="Arial" w:eastAsia="Arial" w:hAnsi="Arial"/>
          <w:sz w:val="12"/>
          <w:szCs w:val="12"/>
          <w:color w:val="auto"/>
        </w:rPr>
      </w:pPr>
    </w:p>
    <w:p>
      <w:pPr>
        <w:ind w:left="1" w:right="20" w:firstLine="677"/>
        <w:spacing w:after="0" w:line="247" w:lineRule="auto"/>
        <w:tabs>
          <w:tab w:leader="none" w:pos="98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Within 15 days following the occurrence of a Change of Control, provided that the Corporation has not then exercised its right to redeem all shares of Series C Preferred Stock pursuant to Section 5, the Corporation shall provide to holders of Series C Preferred Stock a notice of occurrence of the Change of Control that describes the resulting Change of Control Conversion Right, which notice shall be delivered to the holders of record of the shares of the Series C Preferred Stock in their addresses as they appear on the stock transfer records of the Corporation and shall state: (i) the events constituting the Change of Control; (ii) the date of the Change of Control; (iii) the last date on which the holders of Series C Preferred Stock may exercise their Change of Control Conversion Right; (iv) the method and period for calculating the Common Stock Price;</w:t>
      </w:r>
    </w:p>
    <w:p>
      <w:pPr>
        <w:spacing w:after="0" w:line="2" w:lineRule="exact"/>
        <w:rPr>
          <w:rFonts w:ascii="Arial" w:cs="Arial" w:eastAsia="Arial" w:hAnsi="Arial"/>
          <w:sz w:val="14"/>
          <w:szCs w:val="14"/>
          <w:color w:val="auto"/>
        </w:rPr>
      </w:pPr>
    </w:p>
    <w:p>
      <w:pPr>
        <w:ind w:left="1" w:hanging="1"/>
        <w:spacing w:after="0" w:line="246" w:lineRule="auto"/>
        <w:tabs>
          <w:tab w:leader="none" w:pos="305"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Change of Control Conversion Date; (vi) that if, prior to the Change of Control Conversion Date, the Corporation has provided notice of its election to redeem all or any shares of Series C Preferred Stock, holders will not be able to convert the shares of Series C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C Preferred Stock; (viii) the name and address of the paying agent, transfer agent and conversion agent for the Series C Preferred Stock; (ix) the procedures that the holders of Series C Preferred Stock</w:t>
      </w:r>
    </w:p>
    <w:p>
      <w:pPr>
        <w:spacing w:after="0" w:line="8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C-11</w:t>
      </w:r>
    </w:p>
    <w:p>
      <w:pPr>
        <w:sectPr>
          <w:pgSz w:w="11900" w:h="16838" w:orient="portrait"/>
          <w:cols w:equalWidth="0" w:num="1">
            <w:col w:w="11021"/>
          </w:cols>
          <w:pgMar w:left="399" w:top="821" w:right="479" w:bottom="1440" w:gutter="0" w:footer="0" w:header="0"/>
        </w:sectPr>
      </w:pPr>
    </w:p>
    <w:bookmarkStart w:id="263" w:name="page264"/>
    <w:bookmarkEnd w:id="263"/>
    <w:p>
      <w:pPr>
        <w:ind w:left="1" w:right="100"/>
        <w:spacing w:after="0" w:line="257" w:lineRule="auto"/>
        <w:rPr>
          <w:sz w:val="20"/>
          <w:szCs w:val="20"/>
          <w:color w:val="auto"/>
        </w:rPr>
      </w:pPr>
      <w:r>
        <w:rPr>
          <w:rFonts w:ascii="Arial" w:cs="Arial" w:eastAsia="Arial" w:hAnsi="Arial"/>
          <w:sz w:val="14"/>
          <w:szCs w:val="14"/>
          <w:color w:val="auto"/>
        </w:rPr>
        <w:t>must follow to exercise the Change of Control Conversion Right (including procedures for surrendering shares for conversion through the facilities of a Depositary (as defined below)), including the form of conversion notice to be delivered by such holders as described below; and (x) the last date on which holders of Series C Preferred Stock may withdraw shares surrendered for conversion and the procedures that such holders must follow to effect such a withdrawal.</w:t>
      </w:r>
    </w:p>
    <w:p>
      <w:pPr>
        <w:spacing w:after="0" w:line="67" w:lineRule="exact"/>
        <w:rPr>
          <w:sz w:val="20"/>
          <w:szCs w:val="20"/>
          <w:color w:val="auto"/>
        </w:rPr>
      </w:pPr>
    </w:p>
    <w:p>
      <w:pPr>
        <w:ind w:left="1" w:right="40" w:firstLine="677"/>
        <w:spacing w:after="0" w:line="253" w:lineRule="auto"/>
        <w:tabs>
          <w:tab w:leader="none" w:pos="948"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Corporation shall also issue a press release containing such notice provided for in Section 7(h)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in any event prior to the opening of business on the first Business Day following any date on which it provides the notice provided for in Section 7(h) to the holders of Series C Preferred Stock.</w:t>
      </w:r>
    </w:p>
    <w:p>
      <w:pPr>
        <w:spacing w:after="0" w:line="57" w:lineRule="exact"/>
        <w:rPr>
          <w:rFonts w:ascii="Arial" w:cs="Arial" w:eastAsia="Arial" w:hAnsi="Arial"/>
          <w:sz w:val="14"/>
          <w:szCs w:val="14"/>
          <w:color w:val="auto"/>
        </w:rPr>
      </w:pPr>
    </w:p>
    <w:p>
      <w:pPr>
        <w:ind w:left="1" w:firstLine="677"/>
        <w:spacing w:after="0" w:line="289" w:lineRule="auto"/>
        <w:tabs>
          <w:tab w:leader="none" w:pos="948" w:val="left"/>
        </w:tabs>
        <w:numPr>
          <w:ilvl w:val="1"/>
          <w:numId w:val="168"/>
        </w:numPr>
        <w:rPr>
          <w:rFonts w:ascii="Arial" w:cs="Arial" w:eastAsia="Arial" w:hAnsi="Arial"/>
          <w:sz w:val="12"/>
          <w:szCs w:val="12"/>
          <w:color w:val="auto"/>
        </w:rPr>
      </w:pPr>
      <w:r>
        <w:rPr>
          <w:rFonts w:ascii="Arial" w:cs="Arial" w:eastAsia="Arial" w:hAnsi="Arial"/>
          <w:sz w:val="12"/>
          <w:szCs w:val="12"/>
          <w:color w:val="auto"/>
        </w:rPr>
        <w:t>To exercise the Change of Control Conversion Right, the holders of Series C Preferred Stock shall be required to deliver, on or before the close of business on the Change of Control Conversion Date, the certificate(s), if any, representing the shares of Series C Preferred Stock to be converted, duly endorsed for transfer (or, in the case of any shares of Series C Preferred Stock held in book-entry form through a Depositary, to deliver, on or before the close of business on the Change of Control Conversion Date, the shares of Series C Preferred Stock to be converted through the facilities of such Depositary), together with a written conversion notice in the form provided by the Corporation, duly completed, to its transfer agent. The conversion notice must state:</w:t>
      </w:r>
    </w:p>
    <w:p>
      <w:pPr>
        <w:spacing w:after="0" w:line="2" w:lineRule="exact"/>
        <w:rPr>
          <w:rFonts w:ascii="Arial" w:cs="Arial" w:eastAsia="Arial" w:hAnsi="Arial"/>
          <w:sz w:val="12"/>
          <w:szCs w:val="12"/>
          <w:color w:val="auto"/>
        </w:rPr>
      </w:pPr>
    </w:p>
    <w:p>
      <w:pPr>
        <w:ind w:left="1" w:right="100" w:hanging="1"/>
        <w:spacing w:after="0" w:line="253" w:lineRule="auto"/>
        <w:tabs>
          <w:tab w:leader="none" w:pos="168"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relevant Change of Control Conversion Date; (ii) the number of shares of Series C Preferred Stock to be converted; and (iii) that the Series C Preferred Stock is to be converted pursuant to the applicable provisions of the Series C Preferred Stock.</w:t>
      </w:r>
    </w:p>
    <w:p>
      <w:pPr>
        <w:spacing w:after="0" w:line="57" w:lineRule="exact"/>
        <w:rPr>
          <w:rFonts w:ascii="Arial" w:cs="Arial" w:eastAsia="Arial" w:hAnsi="Arial"/>
          <w:sz w:val="14"/>
          <w:szCs w:val="14"/>
          <w:color w:val="auto"/>
        </w:rPr>
      </w:pPr>
    </w:p>
    <w:p>
      <w:pPr>
        <w:ind w:left="1" w:right="240" w:firstLine="677"/>
        <w:spacing w:after="0" w:line="308" w:lineRule="auto"/>
        <w:tabs>
          <w:tab w:leader="none" w:pos="982" w:val="left"/>
        </w:tabs>
        <w:numPr>
          <w:ilvl w:val="1"/>
          <w:numId w:val="169"/>
        </w:numPr>
        <w:rPr>
          <w:rFonts w:ascii="Arial" w:cs="Arial" w:eastAsia="Arial" w:hAnsi="Arial"/>
          <w:sz w:val="12"/>
          <w:szCs w:val="12"/>
          <w:color w:val="auto"/>
        </w:rPr>
      </w:pPr>
      <w:r>
        <w:rPr>
          <w:rFonts w:ascii="Arial" w:cs="Arial" w:eastAsia="Arial" w:hAnsi="Arial"/>
          <w:sz w:val="12"/>
          <w:szCs w:val="12"/>
          <w:color w:val="auto"/>
        </w:rPr>
        <w:t>Holders of Series C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C Preferred Stock; (ii) if certificated shares of Series C Preferred Stock have been surrendered for conversion, the certificate numbers of the withdrawn shares of Series C Preferred Stock; and (iii) the number of shares of Series C Preferred Stock, if any, which remain subject to the holder’s conversion notice.</w:t>
      </w:r>
    </w:p>
    <w:p>
      <w:pPr>
        <w:spacing w:after="0" w:line="28" w:lineRule="exact"/>
        <w:rPr>
          <w:rFonts w:ascii="Arial" w:cs="Arial" w:eastAsia="Arial" w:hAnsi="Arial"/>
          <w:sz w:val="12"/>
          <w:szCs w:val="12"/>
          <w:color w:val="auto"/>
        </w:rPr>
      </w:pPr>
    </w:p>
    <w:p>
      <w:pPr>
        <w:ind w:left="1" w:right="180" w:firstLine="677"/>
        <w:spacing w:after="0" w:line="257" w:lineRule="auto"/>
        <w:tabs>
          <w:tab w:leader="none" w:pos="951" w:val="left"/>
        </w:tabs>
        <w:numPr>
          <w:ilvl w:val="1"/>
          <w:numId w:val="169"/>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Sections 7(j) and (k), if any shares of Series C Preferred Stock are held in book-entry form through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or a similar depositary (each, a “</w:t>
      </w:r>
      <w:r>
        <w:rPr>
          <w:rFonts w:ascii="Arial" w:cs="Arial" w:eastAsia="Arial" w:hAnsi="Arial"/>
          <w:sz w:val="14"/>
          <w:szCs w:val="14"/>
          <w:b w:val="1"/>
          <w:bCs w:val="1"/>
          <w:color w:val="auto"/>
        </w:rPr>
        <w:t>Depositary</w:t>
      </w:r>
      <w:r>
        <w:rPr>
          <w:rFonts w:ascii="Arial" w:cs="Arial" w:eastAsia="Arial" w:hAnsi="Arial"/>
          <w:sz w:val="14"/>
          <w:szCs w:val="14"/>
          <w:color w:val="auto"/>
        </w:rPr>
        <w:t>”), the conversion notice and/or the notice of withdrawal, as applicable, must comply with applicable procedures, if any, of the applicable Depositary.</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C-12</w:t>
      </w:r>
    </w:p>
    <w:p>
      <w:pPr>
        <w:sectPr>
          <w:pgSz w:w="11900" w:h="16838" w:orient="portrait"/>
          <w:cols w:equalWidth="0" w:num="1">
            <w:col w:w="11001"/>
          </w:cols>
          <w:pgMar w:left="399" w:top="903" w:right="499" w:bottom="1440" w:gutter="0" w:footer="0" w:header="0"/>
        </w:sectPr>
      </w:pPr>
    </w:p>
    <w:bookmarkStart w:id="264" w:name="page265"/>
    <w:bookmarkEnd w:id="264"/>
    <w:p>
      <w:pPr>
        <w:ind w:right="60" w:firstLine="677"/>
        <w:spacing w:after="0" w:line="299" w:lineRule="auto"/>
        <w:tabs>
          <w:tab w:leader="none" w:pos="10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Series C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C Preferred Stock pursuant to Section 5, in which case only the shares of Series C Preferred Stock properly surrendered for conversion and not properly withdrawn that are not called for redemption will be converted as aforesaid. If the Corporation elects to redeem shares of Series C Preferred Stock that would otherwise be converted into the applicable Conversion Consideration on a Change of Control Conversion Date, such shares of Series C Preferred Stock shall not be so converted and the holders of such shares shall be entitled to receive on the applicable Redemption Date the Redemption Price as provided in Section 5.</w:t>
      </w:r>
    </w:p>
    <w:p>
      <w:pPr>
        <w:spacing w:after="0" w:line="32" w:lineRule="exact"/>
        <w:rPr>
          <w:rFonts w:ascii="Arial" w:cs="Arial" w:eastAsia="Arial" w:hAnsi="Arial"/>
          <w:sz w:val="12"/>
          <w:szCs w:val="12"/>
          <w:color w:val="auto"/>
        </w:rPr>
      </w:pPr>
    </w:p>
    <w:p>
      <w:pPr>
        <w:ind w:firstLine="677"/>
        <w:spacing w:after="0" w:line="257" w:lineRule="auto"/>
        <w:tabs>
          <w:tab w:leader="none" w:pos="979"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Corporation shall deliver all securities, cash and any other property owing upon conversion no later than the third Business Day following the Change of Control Conversion Date. Notwithstanding the foregoing, the persons entitled to receive any shares of Class A Common Stock or other securities delivered on conversion will be deemed to have become the holders of record thereof as of the Change of Control Conversion Date.</w:t>
      </w:r>
    </w:p>
    <w:p>
      <w:pPr>
        <w:spacing w:after="0" w:line="55" w:lineRule="exact"/>
        <w:rPr>
          <w:rFonts w:ascii="Arial" w:cs="Arial" w:eastAsia="Arial" w:hAnsi="Arial"/>
          <w:sz w:val="14"/>
          <w:szCs w:val="14"/>
          <w:color w:val="auto"/>
        </w:rPr>
      </w:pPr>
    </w:p>
    <w:p>
      <w:pPr>
        <w:ind w:right="60" w:firstLine="677"/>
        <w:spacing w:after="0" w:line="250" w:lineRule="auto"/>
        <w:tabs>
          <w:tab w:leader="none" w:pos="981" w:val="left"/>
        </w:tabs>
        <w:numPr>
          <w:ilvl w:val="0"/>
          <w:numId w:val="170"/>
        </w:numPr>
        <w:rPr>
          <w:rFonts w:ascii="Arial" w:cs="Arial" w:eastAsia="Arial" w:hAnsi="Arial"/>
          <w:sz w:val="14"/>
          <w:szCs w:val="14"/>
          <w:color w:val="auto"/>
        </w:rPr>
      </w:pPr>
      <w:r>
        <w:rPr>
          <w:rFonts w:ascii="Arial" w:cs="Arial" w:eastAsia="Arial" w:hAnsi="Arial"/>
          <w:sz w:val="14"/>
          <w:szCs w:val="14"/>
          <w:color w:val="auto"/>
        </w:rPr>
        <w:t>Notwithstanding any other provision of the Series C Preferred Stock, no holder of Series C Preferred Stock shall be entitled to convert such Series C Preferred Stock into shares of Class A Common Stock or the Alternative Conversion Consideration, as the case may be, to the extent that receipt of such Class A Common Stock or the Alternative Conversion Consideration would cause such holder (or any other person) to exceed the applicable share ownership limitations contained in the Charter or this Articles Supplementary or the governing document of the surviving entity, as the case may be, unless the Corporation provides an exemption from this limitation to such holder pursuant to the Charter and this Articles Supplementary or the governing document of the surviving entity.</w:t>
      </w:r>
    </w:p>
    <w:p>
      <w:pPr>
        <w:spacing w:after="0" w:line="73" w:lineRule="exact"/>
        <w:rPr>
          <w:rFonts w:ascii="Arial" w:cs="Arial" w:eastAsia="Arial" w:hAnsi="Arial"/>
          <w:sz w:val="14"/>
          <w:szCs w:val="14"/>
          <w:color w:val="auto"/>
        </w:rPr>
      </w:pPr>
    </w:p>
    <w:p>
      <w:pPr>
        <w:ind w:right="200" w:firstLine="677"/>
        <w:spacing w:after="0" w:line="250" w:lineRule="auto"/>
        <w:tabs>
          <w:tab w:leader="none" w:pos="981" w:val="left"/>
        </w:tabs>
        <w:numPr>
          <w:ilvl w:val="0"/>
          <w:numId w:val="170"/>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and except as otherwise required by law, the persons who are the holders of record of shares of Series C Preferred Stock at the close of business on a Dividend Payment Record Date shall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Section 7(p), the Corporation shall make no allowance for unpaid dividends that are not in arrears on the shares of Series C Preferred Stock to be converted.</w:t>
      </w:r>
    </w:p>
    <w:p>
      <w:pPr>
        <w:spacing w:after="0" w:line="191" w:lineRule="exact"/>
        <w:rPr>
          <w:sz w:val="20"/>
          <w:szCs w:val="20"/>
          <w:color w:val="auto"/>
        </w:rPr>
      </w:pPr>
    </w:p>
    <w:p>
      <w:pPr>
        <w:jc w:val="both"/>
        <w:ind w:firstLine="677"/>
        <w:spacing w:after="0" w:line="25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Permissible Distributions</w:t>
      </w:r>
      <w:r>
        <w:rPr>
          <w:rFonts w:ascii="Arial" w:cs="Arial" w:eastAsia="Arial" w:hAnsi="Arial"/>
          <w:sz w:val="14"/>
          <w:szCs w:val="14"/>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C-13</w:t>
      </w:r>
    </w:p>
    <w:p>
      <w:pPr>
        <w:sectPr>
          <w:pgSz w:w="11900" w:h="16838" w:orient="portrait"/>
          <w:cols w:equalWidth="0" w:num="1">
            <w:col w:w="11000"/>
          </w:cols>
          <w:pgMar w:left="400" w:top="821" w:right="499" w:bottom="1440" w:gutter="0" w:footer="0" w:header="0"/>
        </w:sectPr>
      </w:pPr>
    </w:p>
    <w:bookmarkStart w:id="265" w:name="page266"/>
    <w:bookmarkEnd w:id="265"/>
    <w:p>
      <w:pPr>
        <w:ind w:left="680"/>
        <w:spacing w:after="0"/>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Rankin</w:t>
      </w:r>
      <w:r>
        <w:rPr>
          <w:rFonts w:ascii="Arial" w:cs="Arial" w:eastAsia="Arial" w:hAnsi="Arial"/>
          <w:sz w:val="14"/>
          <w:szCs w:val="14"/>
          <w:color w:val="auto"/>
        </w:rPr>
        <w:t>g. Any class or series of stock of the Corporation shall be deemed to rank:</w:t>
      </w:r>
    </w:p>
    <w:p>
      <w:pPr>
        <w:spacing w:after="0" w:line="96" w:lineRule="exact"/>
        <w:rPr>
          <w:sz w:val="20"/>
          <w:szCs w:val="20"/>
          <w:color w:val="auto"/>
        </w:rPr>
      </w:pPr>
    </w:p>
    <w:p>
      <w:pPr>
        <w:ind w:right="280" w:firstLine="677"/>
        <w:spacing w:after="0" w:line="257" w:lineRule="auto"/>
        <w:tabs>
          <w:tab w:leader="none" w:pos="97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prior to the Series C Preferred Stock, as to the payment of dividends or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C Preferred Stock;</w:t>
      </w:r>
    </w:p>
    <w:p>
      <w:pPr>
        <w:spacing w:after="0" w:line="184" w:lineRule="exact"/>
        <w:rPr>
          <w:rFonts w:ascii="Arial" w:cs="Arial" w:eastAsia="Arial" w:hAnsi="Arial"/>
          <w:sz w:val="14"/>
          <w:szCs w:val="14"/>
          <w:color w:val="auto"/>
        </w:rPr>
      </w:pPr>
    </w:p>
    <w:p>
      <w:pPr>
        <w:ind w:right="240" w:firstLine="677"/>
        <w:spacing w:after="0" w:line="278" w:lineRule="auto"/>
        <w:tabs>
          <w:tab w:leader="none" w:pos="981" w:val="left"/>
        </w:tabs>
        <w:numPr>
          <w:ilvl w:val="0"/>
          <w:numId w:val="171"/>
        </w:numPr>
        <w:rPr>
          <w:rFonts w:ascii="Arial" w:cs="Arial" w:eastAsia="Arial" w:hAnsi="Arial"/>
          <w:sz w:val="13"/>
          <w:szCs w:val="13"/>
          <w:color w:val="auto"/>
        </w:rPr>
      </w:pPr>
      <w:r>
        <w:rPr>
          <w:rFonts w:ascii="Arial" w:cs="Arial" w:eastAsia="Arial" w:hAnsi="Arial"/>
          <w:sz w:val="13"/>
          <w:szCs w:val="13"/>
          <w:color w:val="auto"/>
        </w:rPr>
        <w:t>on a parity with the Series C Preferred Stock, as to the payment of dividends or as to the distribution of assets upon liquidation, dissolution or winding up, whether or not the dividend rates, dividend payment dates or redemption or liquidation prices per share thereof be different from those of the Series C Preferred Stock, if the holders of such class or series and the Series C Preferred Stock shall be entitled to the receipt of dividends or of amounts distributable upon liquidation, dissolution or winding up, as the case may be, in proportion to their respective amounts of accrued and unpaid dividends per share or liquidation preferences, without preference or priority one over the other; and</w:t>
      </w:r>
    </w:p>
    <w:p>
      <w:pPr>
        <w:spacing w:after="0" w:line="44" w:lineRule="exact"/>
        <w:rPr>
          <w:rFonts w:ascii="Arial" w:cs="Arial" w:eastAsia="Arial" w:hAnsi="Arial"/>
          <w:sz w:val="13"/>
          <w:szCs w:val="13"/>
          <w:color w:val="auto"/>
        </w:rPr>
      </w:pPr>
    </w:p>
    <w:p>
      <w:pPr>
        <w:ind w:right="80" w:firstLine="677"/>
        <w:spacing w:after="0" w:line="286" w:lineRule="auto"/>
        <w:tabs>
          <w:tab w:leader="none" w:pos="97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junior to the Series C Preferred Stock, as to the payment of dividends or as to the distribution of assets upon liquidation, dissolution or winding up, if such class or series of stock shall be Common Stock or if the holders of Series C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C Preferred Stock (“</w:t>
      </w:r>
      <w:r>
        <w:rPr>
          <w:rFonts w:ascii="Arial" w:cs="Arial" w:eastAsia="Arial" w:hAnsi="Arial"/>
          <w:sz w:val="13"/>
          <w:szCs w:val="13"/>
          <w:b w:val="1"/>
          <w:bCs w:val="1"/>
          <w:color w:val="auto"/>
        </w:rPr>
        <w:t>Junior Shares</w:t>
      </w:r>
      <w:r>
        <w:rPr>
          <w:rFonts w:ascii="Arial" w:cs="Arial" w:eastAsia="Arial" w:hAnsi="Arial"/>
          <w:sz w:val="13"/>
          <w:szCs w:val="13"/>
          <w:color w:val="auto"/>
        </w:rPr>
        <w:t>”).</w:t>
      </w:r>
    </w:p>
    <w:p>
      <w:pPr>
        <w:spacing w:after="0" w:line="167" w:lineRule="exact"/>
        <w:rPr>
          <w:sz w:val="20"/>
          <w:szCs w:val="20"/>
          <w:color w:val="auto"/>
        </w:rPr>
      </w:pPr>
    </w:p>
    <w:p>
      <w:pPr>
        <w:ind w:right="140" w:firstLine="677"/>
        <w:spacing w:after="0" w:line="253" w:lineRule="auto"/>
        <w:rPr>
          <w:sz w:val="20"/>
          <w:szCs w:val="20"/>
          <w:color w:val="auto"/>
        </w:rPr>
      </w:pPr>
      <w:r>
        <w:rPr>
          <w:rFonts w:ascii="Arial" w:cs="Arial" w:eastAsia="Arial" w:hAnsi="Arial"/>
          <w:sz w:val="14"/>
          <w:szCs w:val="14"/>
          <w:color w:val="auto"/>
        </w:rPr>
        <w:t>As of the date hereof, 2,900,000 authorized shares of Series A Preferred Stock, 14,900,000 authorized shares of Series B Preferred Stock, 8,050,000 authorized shares of Series D Preferred Stock, 10,350,000 authorized shares of Series E Preferred Stock, 10,400,000 authorized shares of Series F Preferred Stock, 3,450,000 authorized shares of Series G Preferred Stock and 11,500,000 authorized shares of Series H Preferred Stock rank on a parity with the Series C Preferred Stock as to the payment of dividends and as to the distribution of assets upon liquidation, dissolution or winding up.</w:t>
      </w:r>
    </w:p>
    <w:p>
      <w:pPr>
        <w:spacing w:after="0" w:line="198" w:lineRule="exact"/>
        <w:rPr>
          <w:sz w:val="20"/>
          <w:szCs w:val="20"/>
          <w:color w:val="auto"/>
        </w:rPr>
      </w:pPr>
    </w:p>
    <w:p>
      <w:pPr>
        <w:ind w:firstLine="677"/>
        <w:spacing w:after="0" w:line="270"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Votin</w:t>
      </w:r>
      <w:r>
        <w:rPr>
          <w:rFonts w:ascii="Arial" w:cs="Arial" w:eastAsia="Arial" w:hAnsi="Arial"/>
          <w:sz w:val="14"/>
          <w:szCs w:val="14"/>
          <w:color w:val="auto"/>
        </w:rPr>
        <w:t>g. Except as otherwise set forth herein, the Series C Preferred Stock shall not have any relative, participating, optional or other voting rights or powers, and the consent of the holders thereof shall not be required for the taking of any corporate action.</w:t>
      </w:r>
    </w:p>
    <w:p>
      <w:pPr>
        <w:spacing w:after="0" w:line="176" w:lineRule="exact"/>
        <w:rPr>
          <w:sz w:val="20"/>
          <w:szCs w:val="20"/>
          <w:color w:val="auto"/>
        </w:rPr>
      </w:pPr>
    </w:p>
    <w:p>
      <w:pPr>
        <w:ind w:firstLine="677"/>
        <w:spacing w:after="0" w:line="248" w:lineRule="auto"/>
        <w:rPr>
          <w:sz w:val="20"/>
          <w:szCs w:val="20"/>
          <w:color w:val="auto"/>
        </w:rPr>
      </w:pPr>
      <w:r>
        <w:rPr>
          <w:rFonts w:ascii="Arial" w:cs="Arial" w:eastAsia="Arial" w:hAnsi="Arial"/>
          <w:sz w:val="14"/>
          <w:szCs w:val="14"/>
          <w:color w:val="auto"/>
        </w:rPr>
        <w:t>If and whenever six quarterly dividends (whether or not consecutive) payable on the Series C Preferred Stock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C Preferred Stock, together with the holders of shares of every series or class of Dividend Parity Stock having like voting rights (shares of any such series or class, including the Series A Preferred Stock, the Series B Preferred Stock, the Series D Preferred Stock, the Series E Preferred Stock, the Series F Preferred Stock, the Series G Preferred Stock and the Series H Preferred Stock, the “</w:t>
      </w:r>
      <w:r>
        <w:rPr>
          <w:rFonts w:ascii="Arial" w:cs="Arial" w:eastAsia="Arial" w:hAnsi="Arial"/>
          <w:sz w:val="14"/>
          <w:szCs w:val="14"/>
          <w:b w:val="1"/>
          <w:bCs w:val="1"/>
          <w:color w:val="auto"/>
        </w:rPr>
        <w:t>Voting Preferred Shares</w:t>
      </w:r>
      <w:r>
        <w:rPr>
          <w:rFonts w:ascii="Arial" w:cs="Arial" w:eastAsia="Arial" w:hAnsi="Arial"/>
          <w:sz w:val="14"/>
          <w:szCs w:val="14"/>
          <w:color w:val="auto"/>
        </w:rPr>
        <w:t>”), voting as a single class regardless of series, shall be entitled to elect two additional directors (the “</w:t>
      </w:r>
      <w:r>
        <w:rPr>
          <w:rFonts w:ascii="Arial" w:cs="Arial" w:eastAsia="Arial" w:hAnsi="Arial"/>
          <w:sz w:val="14"/>
          <w:szCs w:val="14"/>
          <w:b w:val="1"/>
          <w:bCs w:val="1"/>
          <w:color w:val="auto"/>
        </w:rPr>
        <w:t>Preferred Directors</w:t>
      </w:r>
      <w:r>
        <w:rPr>
          <w:rFonts w:ascii="Arial" w:cs="Arial" w:eastAsia="Arial" w:hAnsi="Arial"/>
          <w:sz w:val="14"/>
          <w:szCs w:val="14"/>
          <w:color w:val="auto"/>
        </w:rPr>
        <w:t>”) to serve on the Board of Directors at any annual meeting of stockholders or special meeting held in place thereof, or at a special meeting of the holders of Series C Preferred Stock and the Voting Preferred Shares called as hereinafter provided. For the avoidance of doubt, in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C-14</w:t>
      </w:r>
    </w:p>
    <w:p>
      <w:pPr>
        <w:sectPr>
          <w:pgSz w:w="11900" w:h="16838" w:orient="portrait"/>
          <w:cols w:equalWidth="0" w:num="1">
            <w:col w:w="11020"/>
          </w:cols>
          <w:pgMar w:left="400" w:top="891" w:right="479" w:bottom="1440" w:gutter="0" w:footer="0" w:header="0"/>
        </w:sectPr>
      </w:pPr>
    </w:p>
    <w:bookmarkStart w:id="266" w:name="page267"/>
    <w:bookmarkEnd w:id="266"/>
    <w:p>
      <w:pPr>
        <w:spacing w:after="0" w:line="265" w:lineRule="auto"/>
        <w:rPr>
          <w:sz w:val="20"/>
          <w:szCs w:val="20"/>
          <w:color w:val="auto"/>
        </w:rPr>
      </w:pPr>
      <w:r>
        <w:rPr>
          <w:rFonts w:ascii="Arial" w:cs="Arial" w:eastAsia="Arial" w:hAnsi="Arial"/>
          <w:sz w:val="13"/>
          <w:szCs w:val="13"/>
          <w:color w:val="auto"/>
        </w:rPr>
        <w:t>the election of both Preferred Directors, any outstanding shares of Series C Preferred Stock, Series A Preferred Stock, Series B Preferred Stock, Series D Preferred Stock, Series E Preferred Stock, Series F Preferred Stock, Series G Preferred Stock, Series H Preferred Stock and other Voting Preferred Shares shall vote together as a class, and the affirmative vote of a plurality of the votes cast by holders of outstanding shares of Series C Preferred Stock, Series A Preferred Stock, Series B Preferred Stock, Series D Preferred Stock, Series E Preferred Stock, Series F Preferred Stock, Series G Preferred Stock, Series H Preferred Stock and other Voting Preferred Shares shall be required to elect a Preferred Director. Whenever all arrears in dividends on the Series C Preferred Stock and the Voting Preferred Shares then outstanding shall have been paid and full dividends thereon for the current quarterly dividend period shall have been paid or declared and set apart for payment, then the right of the holders of the Series C Preferred Stock and the Voting Preferred Shares to elect such two additional directors shall cease (but subject always to the same provision for the vesting of such voting rights in the case of any similar future arrearages in six quarterly dividends), and the terms of office of the persons elected as director, by the holders of the Series C Preferred Stock and the Voting Preferred Shares shall forthwith terminate and the number of directors constituting the Board of Directors shall be reduced accordingly. At any time after such voting power shall have been so vested in the holders of shares of Series C Preferred Stock and the Voting Preferred Shares, the Secretary of the Corporation may, and upon the written request of any holder of Series C Preferred Stock (addressed to the Secretary at the principal office of the Corporation) shall, call a special meeting of the holders of the Series C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C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C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C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96" w:lineRule="exact"/>
        <w:rPr>
          <w:sz w:val="20"/>
          <w:szCs w:val="20"/>
          <w:color w:val="auto"/>
        </w:rPr>
      </w:pPr>
    </w:p>
    <w:p>
      <w:pPr>
        <w:ind w:right="180" w:firstLine="677"/>
        <w:spacing w:after="0" w:line="286" w:lineRule="auto"/>
        <w:rPr>
          <w:sz w:val="20"/>
          <w:szCs w:val="20"/>
          <w:color w:val="auto"/>
        </w:rPr>
      </w:pPr>
      <w:r>
        <w:rPr>
          <w:rFonts w:ascii="Arial" w:cs="Arial" w:eastAsia="Arial" w:hAnsi="Arial"/>
          <w:sz w:val="13"/>
          <w:szCs w:val="13"/>
          <w:color w:val="auto"/>
        </w:rPr>
        <w:t>So long as any shares of Series C Preferred Stock are outstanding, in addition to any other vote or consent of stockholders required by the Charter, the affirmative vote of at least 66-2/3% of the votes entitled to be cast by the holders of Series C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C-15</w:t>
      </w:r>
    </w:p>
    <w:p>
      <w:pPr>
        <w:sectPr>
          <w:pgSz w:w="11900" w:h="16838" w:orient="portrait"/>
          <w:cols w:equalWidth="0" w:num="1">
            <w:col w:w="11020"/>
          </w:cols>
          <w:pgMar w:left="400" w:top="903" w:right="479" w:bottom="1440" w:gutter="0" w:footer="0" w:header="0"/>
        </w:sectPr>
      </w:pPr>
    </w:p>
    <w:bookmarkStart w:id="267" w:name="page268"/>
    <w:bookmarkEnd w:id="267"/>
    <w:p>
      <w:pPr>
        <w:ind w:firstLine="677"/>
        <w:spacing w:after="0" w:line="262" w:lineRule="auto"/>
        <w:tabs>
          <w:tab w:leader="none" w:pos="966"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Any amendment, alteration or repeal of any of the provisions of the Charter or these Articles Supplementary (whether by merger, consolidation or otherwise) that materially and adversely affects the voting powers, rights or preferences of the holders of the Series C Preferred Stock or the Voting Preferred Shares; provided, however, that (i) the amendment of the provisions of the Charter so as to authorize or create or to increase the authorized amount of, any Junior Shares or any shares of any class or series ranking on a parity with the Series C Preferred Stock as to the payment of dividends or as to the distribution of assets upon liquidation, dissolution or winding up or the Voting Preferred Shares (including any amendment to increase the amount of authorized shares of Series C Preferred Stock) shall not be deemed to materially adversely affect the voting powers, rights or preferences of the holders of Series C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C Preferred Stock, provided that: (1) the Corporation is the surviving entity and the Series C Preferred Stock remain outstanding with the terms thereof materially unchanged in any respect adverse to the holders thereof; or (2) the resulting, surviving or transferee entity is organized under the laws of any state and substitutes or exchanges the Series C Preferred Stock for other preferred stock, shares or other equity interests having preferences, conversion and other rights, voting powers, restrictions, limitations as to dividends, qualifications and terms and conditions of redemption thereof that are substantially similar to that of the Series C Preferred Stock (except for changes that do not materially and adversely affect the holders of Series C Preferred Stock); and </w:t>
      </w:r>
      <w:r>
        <w:rPr>
          <w:rFonts w:ascii="Arial" w:cs="Arial" w:eastAsia="Arial" w:hAnsi="Arial"/>
          <w:sz w:val="13"/>
          <w:szCs w:val="13"/>
          <w:i w:val="1"/>
          <w:iCs w:val="1"/>
          <w:color w:val="auto"/>
        </w:rPr>
        <w:t>provided further</w:t>
      </w:r>
      <w:r>
        <w:rPr>
          <w:rFonts w:ascii="Arial" w:cs="Arial" w:eastAsia="Arial" w:hAnsi="Arial"/>
          <w:sz w:val="13"/>
          <w:szCs w:val="13"/>
          <w:color w:val="auto"/>
        </w:rPr>
        <w:t>, that if any such amendment, alteration or repeal would materially and adversely affect any voting powers, rights or preferences of the Series C Preferred Stock or one or more but</w:t>
      </w:r>
      <w:r>
        <w:rPr>
          <w:rFonts w:ascii="Arial" w:cs="Arial" w:eastAsia="Arial" w:hAnsi="Arial"/>
          <w:sz w:val="13"/>
          <w:szCs w:val="13"/>
          <w:i w:val="1"/>
          <w:iCs w:val="1"/>
          <w:color w:val="auto"/>
        </w:rPr>
        <w:t xml:space="preserve"> </w:t>
      </w:r>
      <w:r>
        <w:rPr>
          <w:rFonts w:ascii="Arial" w:cs="Arial" w:eastAsia="Arial" w:hAnsi="Arial"/>
          <w:sz w:val="13"/>
          <w:szCs w:val="13"/>
          <w:color w:val="auto"/>
        </w:rPr>
        <w:t>not all series of Voting Preferred Shares at the time outstanding, the affirmative vote 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w:t>
      </w:r>
    </w:p>
    <w:p>
      <w:pPr>
        <w:spacing w:after="0" w:line="7" w:lineRule="exact"/>
        <w:rPr>
          <w:rFonts w:ascii="Arial" w:cs="Arial" w:eastAsia="Arial" w:hAnsi="Arial"/>
          <w:sz w:val="13"/>
          <w:szCs w:val="13"/>
          <w:color w:val="auto"/>
        </w:rPr>
      </w:pPr>
    </w:p>
    <w:p>
      <w:pPr>
        <w:ind w:right="2700" w:hanging="1"/>
        <w:spacing w:after="0" w:line="253" w:lineRule="auto"/>
        <w:rPr>
          <w:rFonts w:ascii="Arial" w:cs="Arial" w:eastAsia="Arial" w:hAnsi="Arial"/>
          <w:sz w:val="13"/>
          <w:szCs w:val="13"/>
          <w:color w:val="auto"/>
        </w:rPr>
      </w:pPr>
      <w:r>
        <w:rPr>
          <w:rFonts w:ascii="Arial" w:cs="Arial" w:eastAsia="Arial" w:hAnsi="Arial"/>
          <w:sz w:val="12"/>
          <w:szCs w:val="12"/>
          <w:color w:val="auto"/>
        </w:rPr>
        <w:t xml:space="preserve">66-2 </w:t>
      </w:r>
      <w:r>
        <w:rPr>
          <w:rFonts w:ascii="Arial" w:cs="Arial" w:eastAsia="Arial" w:hAnsi="Arial"/>
          <w:sz w:val="14"/>
          <w:szCs w:val="14"/>
          <w:color w:val="auto"/>
        </w:rPr>
        <w:t>/3% of the votes entitled to be cast by the holders of the Series C Preferred Stock and the Voting Preferred Shares otherwise entitled to vote in</w:t>
      </w:r>
      <w:r>
        <w:rPr>
          <w:rFonts w:ascii="Arial" w:cs="Arial" w:eastAsia="Arial" w:hAnsi="Arial"/>
          <w:sz w:val="12"/>
          <w:szCs w:val="12"/>
          <w:color w:val="auto"/>
        </w:rPr>
        <w:t xml:space="preserve"> </w:t>
      </w:r>
      <w:r>
        <w:rPr>
          <w:rFonts w:ascii="Arial" w:cs="Arial" w:eastAsia="Arial" w:hAnsi="Arial"/>
          <w:sz w:val="14"/>
          <w:szCs w:val="14"/>
          <w:color w:val="auto"/>
        </w:rPr>
        <w:t>accordance herewith; or</w:t>
      </w:r>
    </w:p>
    <w:p>
      <w:pPr>
        <w:spacing w:after="0" w:line="57" w:lineRule="exact"/>
        <w:rPr>
          <w:rFonts w:ascii="Arial" w:cs="Arial" w:eastAsia="Arial" w:hAnsi="Arial"/>
          <w:sz w:val="13"/>
          <w:szCs w:val="13"/>
          <w:color w:val="auto"/>
        </w:rPr>
      </w:pPr>
    </w:p>
    <w:p>
      <w:pPr>
        <w:ind w:right="40" w:firstLine="677"/>
        <w:spacing w:after="0" w:line="299" w:lineRule="auto"/>
        <w:tabs>
          <w:tab w:leader="none" w:pos="979"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authorization or creation of, or the increase in the authorized amount of, any shares of any class or series or any security convertible into shares of any class or series ranking prior to the Series C Preferred Stock in the distribution on any liquidation, dissolution or winding up of the Corporation or in the payment of dividends; provided, however, that, in the case of each of subparagraphs (a) and (b), no such vote of the holders of Series C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C Preferred Stock or Voting Preferred Shares, as the case may be, at the time outstanding in accordance with Section 5 hereof or, in the case of a merger, consolidation or otherwise, regardless of the date of the transaction, the holders of the Series C Preferred Stock receive in the transaction their liquidation preference plus accrued and unpaid dividends.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C-16</w:t>
      </w:r>
    </w:p>
    <w:p>
      <w:pPr>
        <w:sectPr>
          <w:pgSz w:w="11900" w:h="16838" w:orient="portrait"/>
          <w:cols w:equalWidth="0" w:num="1">
            <w:col w:w="11020"/>
          </w:cols>
          <w:pgMar w:left="400" w:top="821" w:right="479" w:bottom="1440" w:gutter="0" w:footer="0" w:header="0"/>
        </w:sectPr>
      </w:pPr>
    </w:p>
    <w:bookmarkStart w:id="268" w:name="page269"/>
    <w:bookmarkEnd w:id="268"/>
    <w:p>
      <w:pPr>
        <w:ind w:right="140" w:firstLine="677"/>
        <w:spacing w:after="0" w:line="278" w:lineRule="auto"/>
        <w:rPr>
          <w:sz w:val="20"/>
          <w:szCs w:val="20"/>
          <w:color w:val="auto"/>
        </w:rPr>
      </w:pPr>
      <w:r>
        <w:rPr>
          <w:rFonts w:ascii="Arial" w:cs="Arial" w:eastAsia="Arial" w:hAnsi="Arial"/>
          <w:sz w:val="13"/>
          <w:szCs w:val="13"/>
          <w:color w:val="auto"/>
        </w:rPr>
        <w:t>For purposes of determining the voting rights of the holders of the Series C Preferred Stock under this Section 10, each holder will be entitled to one vote for each Liquidation Preference per share with respect to shares of the Series C Preferred Stock held by such holder. Whether the vote or consent of the holders of a plurality, majority or other portion of the shares of the Series C Preferred Stock and any Voting Preferred Shares has been cast or given on any matter on which the holders of shares of the Series C Preferred Stock are entitled to vote shall be determined by the Corporation by reference to the specified liquidation amounts of the shares voted or covered by the consent.</w:t>
      </w:r>
    </w:p>
    <w:p>
      <w:pPr>
        <w:spacing w:after="0" w:line="184" w:lineRule="exact"/>
        <w:rPr>
          <w:sz w:val="20"/>
          <w:szCs w:val="20"/>
          <w:color w:val="auto"/>
        </w:rPr>
      </w:pPr>
    </w:p>
    <w:p>
      <w:pPr>
        <w:ind w:firstLine="677"/>
        <w:spacing w:after="0" w:line="249"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Information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During any period in which the Corporation is not subject to Section 13 or 15(d) of the Securities Exchange Act and any shares of Series C Preferred Stock are outstanding, the Corporation will (i) transmit by mail to all holders of Series C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C Preferred Stock. The Corporation will mail the information to the holders of Series C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02" w:lineRule="exact"/>
        <w:rPr>
          <w:sz w:val="20"/>
          <w:szCs w:val="20"/>
          <w:color w:val="auto"/>
        </w:rPr>
      </w:pPr>
    </w:p>
    <w:p>
      <w:pPr>
        <w:ind w:right="120" w:firstLine="677"/>
        <w:spacing w:after="0" w:line="270"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Record Holders</w:t>
      </w:r>
      <w:r>
        <w:rPr>
          <w:rFonts w:ascii="Arial" w:cs="Arial" w:eastAsia="Arial" w:hAnsi="Arial"/>
          <w:sz w:val="14"/>
          <w:szCs w:val="14"/>
          <w:color w:val="auto"/>
        </w:rPr>
        <w:t>. The Corporation and the Transfer Agent may deem and treat the record holder of any Series C Preferred Stock as the true and lawful owner thereof for all purposes, and neither the Corporation nor the Transfer Agent shall be affected by any notice to the contrary.</w:t>
      </w:r>
    </w:p>
    <w:p>
      <w:pPr>
        <w:spacing w:after="0" w:line="176" w:lineRule="exact"/>
        <w:rPr>
          <w:sz w:val="20"/>
          <w:szCs w:val="20"/>
          <w:color w:val="auto"/>
        </w:rPr>
      </w:pPr>
    </w:p>
    <w:p>
      <w:pPr>
        <w:ind w:right="20" w:firstLine="677"/>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Restrictions on Ownership and Transfer</w:t>
      </w:r>
      <w:r>
        <w:rPr>
          <w:rFonts w:ascii="Arial" w:cs="Arial" w:eastAsia="Arial" w:hAnsi="Arial"/>
          <w:sz w:val="14"/>
          <w:szCs w:val="14"/>
          <w:color w:val="auto"/>
        </w:rPr>
        <w:t>. The Series C Preferred Stock constitutes Preferred Stock, and Preferred Stock constitutes Capital Stock of the Corporation. Therefore, the Series C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C Preferred Stock of any other term or provision of the Charter.</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C-17</w:t>
      </w:r>
    </w:p>
    <w:p>
      <w:pPr>
        <w:sectPr>
          <w:pgSz w:w="11900" w:h="16838" w:orient="portrait"/>
          <w:cols w:equalWidth="0" w:num="1">
            <w:col w:w="11000"/>
          </w:cols>
          <w:pgMar w:left="400" w:top="903" w:right="499" w:bottom="1440" w:gutter="0" w:footer="0" w:header="0"/>
        </w:sectPr>
      </w:pPr>
    </w:p>
    <w:bookmarkStart w:id="269" w:name="page270"/>
    <w:bookmarkEnd w:id="269"/>
    <w:p>
      <w:pPr>
        <w:jc w:val="center"/>
        <w:ind w:right="-179"/>
        <w:spacing w:after="0"/>
        <w:rPr>
          <w:sz w:val="20"/>
          <w:szCs w:val="20"/>
          <w:color w:val="auto"/>
        </w:rPr>
      </w:pPr>
      <w:r>
        <w:rPr>
          <w:rFonts w:ascii="Arial" w:cs="Arial" w:eastAsia="Arial" w:hAnsi="Arial"/>
          <w:sz w:val="14"/>
          <w:szCs w:val="14"/>
          <w:b w:val="1"/>
          <w:bCs w:val="1"/>
          <w:color w:val="auto"/>
        </w:rPr>
        <w:t>EXHIBIT D</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SERIES D PREFERRED STOCK</w:t>
      </w:r>
    </w:p>
    <w:p>
      <w:pPr>
        <w:spacing w:after="0" w:line="197" w:lineRule="exact"/>
        <w:rPr>
          <w:sz w:val="20"/>
          <w:szCs w:val="20"/>
          <w:color w:val="auto"/>
        </w:rPr>
      </w:pPr>
    </w:p>
    <w:p>
      <w:pPr>
        <w:ind w:firstLine="702"/>
        <w:spacing w:after="0" w:line="276" w:lineRule="auto"/>
        <w:rPr>
          <w:sz w:val="20"/>
          <w:szCs w:val="20"/>
          <w:color w:val="auto"/>
        </w:rPr>
      </w:pPr>
      <w:r>
        <w:rPr>
          <w:rFonts w:ascii="Arial" w:cs="Arial" w:eastAsia="Arial" w:hAnsi="Arial"/>
          <w:sz w:val="13"/>
          <w:szCs w:val="13"/>
          <w:color w:val="auto"/>
        </w:rPr>
        <w:t>Under a power contained in the charter (the “</w:t>
      </w:r>
      <w:r>
        <w:rPr>
          <w:rFonts w:ascii="Arial" w:cs="Arial" w:eastAsia="Arial" w:hAnsi="Arial"/>
          <w:sz w:val="13"/>
          <w:szCs w:val="13"/>
          <w:b w:val="1"/>
          <w:bCs w:val="1"/>
          <w:color w:val="auto"/>
        </w:rPr>
        <w:t>Charter</w:t>
      </w:r>
      <w:r>
        <w:rPr>
          <w:rFonts w:ascii="Arial" w:cs="Arial" w:eastAsia="Arial" w:hAnsi="Arial"/>
          <w:sz w:val="13"/>
          <w:szCs w:val="13"/>
          <w:color w:val="auto"/>
        </w:rPr>
        <w:t>”) of Colony NorthStar,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the Board of Directors of the Corporation, classified and designated 8,050,000 shares (the “</w:t>
      </w:r>
      <w:r>
        <w:rPr>
          <w:rFonts w:ascii="Arial" w:cs="Arial" w:eastAsia="Arial" w:hAnsi="Arial"/>
          <w:sz w:val="13"/>
          <w:szCs w:val="13"/>
          <w:b w:val="1"/>
          <w:bCs w:val="1"/>
          <w:color w:val="auto"/>
        </w:rPr>
        <w:t>Shares</w:t>
      </w:r>
      <w:r>
        <w:rPr>
          <w:rFonts w:ascii="Arial" w:cs="Arial" w:eastAsia="Arial" w:hAnsi="Arial"/>
          <w:sz w:val="13"/>
          <w:szCs w:val="13"/>
          <w:color w:val="auto"/>
        </w:rPr>
        <w:t>”) of the Preferred Stock (as defined in the Charter), as shares of 8.500% Series D Cumulative Redeemable Perpetual Preferred Stock, liquidation preference $25.00 per share (the “</w:t>
      </w:r>
      <w:r>
        <w:rPr>
          <w:rFonts w:ascii="Arial" w:cs="Arial" w:eastAsia="Arial" w:hAnsi="Arial"/>
          <w:sz w:val="13"/>
          <w:szCs w:val="13"/>
          <w:b w:val="1"/>
          <w:bCs w:val="1"/>
          <w:color w:val="auto"/>
        </w:rPr>
        <w:t>Series D Preferred Stock</w:t>
      </w:r>
      <w:r>
        <w:rPr>
          <w:rFonts w:ascii="Arial" w:cs="Arial" w:eastAsia="Arial" w:hAnsi="Arial"/>
          <w:sz w:val="13"/>
          <w:szCs w:val="13"/>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8.500% Series D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right="220" w:firstLine="677"/>
        <w:spacing w:after="0" w:line="310"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Number of Shares and Des</w:t>
      </w:r>
      <w:r>
        <w:rPr>
          <w:rFonts w:ascii="Arial" w:cs="Arial" w:eastAsia="Arial" w:hAnsi="Arial"/>
          <w:sz w:val="13"/>
          <w:szCs w:val="13"/>
          <w:color w:val="auto"/>
        </w:rPr>
        <w:t xml:space="preserve"> ig</w:t>
      </w:r>
      <w:r>
        <w:rPr>
          <w:rFonts w:ascii="Arial" w:cs="Arial" w:eastAsia="Arial" w:hAnsi="Arial"/>
          <w:sz w:val="13"/>
          <w:szCs w:val="13"/>
          <w:u w:val="single" w:color="auto"/>
          <w:color w:val="auto"/>
        </w:rPr>
        <w:t>nation</w:t>
      </w:r>
      <w:r>
        <w:rPr>
          <w:rFonts w:ascii="Arial" w:cs="Arial" w:eastAsia="Arial" w:hAnsi="Arial"/>
          <w:sz w:val="13"/>
          <w:szCs w:val="13"/>
          <w:color w:val="auto"/>
        </w:rPr>
        <w:t>. This series of Preferred Stock shall be designated as 8.500% Series D Cumulative Redeemable Perpetual Preferred Stock, liquidation preference $25.00 per share (the “</w:t>
      </w:r>
      <w:r>
        <w:rPr>
          <w:rFonts w:ascii="Arial" w:cs="Arial" w:eastAsia="Arial" w:hAnsi="Arial"/>
          <w:sz w:val="13"/>
          <w:szCs w:val="13"/>
          <w:b w:val="1"/>
          <w:bCs w:val="1"/>
          <w:color w:val="auto"/>
        </w:rPr>
        <w:t>Series D Preferred Stock</w:t>
      </w:r>
      <w:r>
        <w:rPr>
          <w:rFonts w:ascii="Arial" w:cs="Arial" w:eastAsia="Arial" w:hAnsi="Arial"/>
          <w:sz w:val="13"/>
          <w:szCs w:val="13"/>
          <w:color w:val="auto"/>
        </w:rPr>
        <w:t>”), and 8,050,000 shall be the number of shares of Preferred Stock constituting such series.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Definitions</w:t>
      </w:r>
      <w:r>
        <w:rPr>
          <w:rFonts w:ascii="Arial" w:cs="Arial" w:eastAsia="Arial" w:hAnsi="Arial"/>
          <w:sz w:val="13"/>
          <w:szCs w:val="13"/>
          <w:color w:val="auto"/>
        </w:rPr>
        <w:t xml:space="preserve">. For purposes of the Series D Preferred Stock, the following terms shall have the meanings indicated: </w:t>
      </w:r>
      <w:r>
        <w:rPr>
          <w:rFonts w:ascii="Arial" w:cs="Arial" w:eastAsia="Arial" w:hAnsi="Arial"/>
          <w:sz w:val="13"/>
          <w:szCs w:val="13"/>
          <w:b w:val="1"/>
          <w:bCs w:val="1"/>
          <w:color w:val="auto"/>
        </w:rPr>
        <w:t>“Alternative Conversion Consideration”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shall have the meaning set forth in paragraph (e) of Section 7 hereof. </w:t>
      </w:r>
      <w:r>
        <w:rPr>
          <w:rFonts w:ascii="Arial" w:cs="Arial" w:eastAsia="Arial" w:hAnsi="Arial"/>
          <w:sz w:val="13"/>
          <w:szCs w:val="13"/>
          <w:b w:val="1"/>
          <w:bCs w:val="1"/>
          <w:color w:val="auto"/>
        </w:rPr>
        <w:t>“Alternative Form Consideration”</w:t>
      </w:r>
      <w:r>
        <w:rPr>
          <w:rFonts w:ascii="Arial" w:cs="Arial" w:eastAsia="Arial" w:hAnsi="Arial"/>
          <w:sz w:val="13"/>
          <w:szCs w:val="13"/>
          <w:color w:val="auto"/>
        </w:rPr>
        <w:t xml:space="preserve"> shall have the meaning set forth in paragraph (e) of Section 7</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hereof.</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Dividend Rate</w:t>
      </w:r>
      <w:r>
        <w:rPr>
          <w:rFonts w:ascii="Arial" w:cs="Arial" w:eastAsia="Arial" w:hAnsi="Arial"/>
          <w:sz w:val="14"/>
          <w:szCs w:val="14"/>
          <w:color w:val="auto"/>
        </w:rPr>
        <w:t>” shall have the meaning set forth in paragraph (a) of Section 3 hereof.</w:t>
      </w:r>
    </w:p>
    <w:p>
      <w:pPr>
        <w:spacing w:after="0" w:line="85" w:lineRule="exact"/>
        <w:rPr>
          <w:sz w:val="20"/>
          <w:szCs w:val="20"/>
          <w:color w:val="auto"/>
        </w:rPr>
      </w:pPr>
    </w:p>
    <w:p>
      <w:pPr>
        <w:ind w:left="34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shall mean the Board of Directors of the Corporation or any committee authorized by such Board of Directors to perform any of its responsibilities with respect to the Series D Preferred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shall mean any day other than a Saturday, Sunday or a day on which state or federally chartered banking institutions in New York, New York are not required to be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Conversion Date</w:t>
      </w:r>
      <w:r>
        <w:rPr>
          <w:rFonts w:ascii="Arial" w:cs="Arial" w:eastAsia="Arial" w:hAnsi="Arial"/>
          <w:sz w:val="14"/>
          <w:szCs w:val="14"/>
          <w:color w:val="auto"/>
        </w:rPr>
        <w:t>” shall have the meaning set forth in paragraph (c) of Section 7 hereof.</w:t>
      </w:r>
    </w:p>
    <w:p>
      <w:pPr>
        <w:sectPr>
          <w:pgSz w:w="11900" w:h="16838" w:orient="portrait"/>
          <w:cols w:equalWidth="0" w:num="1">
            <w:col w:w="10900"/>
          </w:cols>
          <w:pgMar w:left="400" w:top="887" w:right="599" w:bottom="1440" w:gutter="0" w:footer="0" w:header="0"/>
        </w:sectPr>
      </w:pPr>
    </w:p>
    <w:bookmarkStart w:id="270" w:name="page271"/>
    <w:bookmarkEnd w:id="270"/>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Conversion Right</w:t>
      </w:r>
      <w:r>
        <w:rPr>
          <w:rFonts w:ascii="Arial" w:cs="Arial" w:eastAsia="Arial" w:hAnsi="Arial"/>
          <w:sz w:val="14"/>
          <w:szCs w:val="14"/>
          <w:color w:val="auto"/>
        </w:rPr>
        <w:t>” shall have the meaning set forth in paragraph (a) of Section 7 hereof. “</w:t>
      </w:r>
      <w:r>
        <w:rPr>
          <w:rFonts w:ascii="Arial" w:cs="Arial" w:eastAsia="Arial" w:hAnsi="Arial"/>
          <w:sz w:val="14"/>
          <w:szCs w:val="14"/>
          <w:b w:val="1"/>
          <w:bCs w:val="1"/>
          <w:color w:val="auto"/>
        </w:rPr>
        <w:t>Change of Control</w:t>
      </w:r>
      <w:r>
        <w:rPr>
          <w:rFonts w:ascii="Arial" w:cs="Arial" w:eastAsia="Arial" w:hAnsi="Arial"/>
          <w:sz w:val="14"/>
          <w:szCs w:val="14"/>
          <w:color w:val="auto"/>
        </w:rPr>
        <w:t>” shall have the meaning set forth</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paragraph (a) of Section 5 hereof.</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Charter</w:t>
      </w:r>
      <w:r>
        <w:rPr>
          <w:rFonts w:ascii="Arial" w:cs="Arial" w:eastAsia="Arial" w:hAnsi="Arial"/>
          <w:sz w:val="14"/>
          <w:szCs w:val="14"/>
          <w:color w:val="auto"/>
        </w:rPr>
        <w:t>” shall mean the charter of the Corporation.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 Common Stock</w:t>
      </w:r>
      <w:r>
        <w:rPr>
          <w:rFonts w:ascii="Arial" w:cs="Arial" w:eastAsia="Arial" w:hAnsi="Arial"/>
          <w:sz w:val="14"/>
          <w:szCs w:val="14"/>
          <w:color w:val="auto"/>
        </w:rPr>
        <w:t>” shall mean the Class A Common Stock of the Corporation, par value $.01 per share.</w:t>
      </w:r>
    </w:p>
    <w:p>
      <w:pPr>
        <w:spacing w:after="0" w:line="85"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xml:space="preserve"> ” shall mean, collectively, the Class A Common Stock, the Class B Common Stock of the Corporation, par value $.01 per share, and the Performance Common Stock of the Corporation, par value $.01 per share.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Common Stock Conversion Consideration</w:t>
      </w:r>
      <w:r>
        <w:rPr>
          <w:rFonts w:ascii="Arial" w:cs="Arial" w:eastAsia="Arial" w:hAnsi="Arial"/>
          <w:sz w:val="13"/>
          <w:szCs w:val="13"/>
          <w:color w:val="auto"/>
        </w:rPr>
        <w:t>” shall have the meaning set forth in paragraph (a) of Section 7 hereof. “</w:t>
      </w:r>
      <w:r>
        <w:rPr>
          <w:rFonts w:ascii="Arial" w:cs="Arial" w:eastAsia="Arial" w:hAnsi="Arial"/>
          <w:sz w:val="13"/>
          <w:szCs w:val="13"/>
          <w:b w:val="1"/>
          <w:bCs w:val="1"/>
          <w:color w:val="auto"/>
        </w:rPr>
        <w:t>Common Stock Price</w:t>
      </w:r>
      <w:r>
        <w:rPr>
          <w:rFonts w:ascii="Arial" w:cs="Arial" w:eastAsia="Arial" w:hAnsi="Arial"/>
          <w:sz w:val="13"/>
          <w:szCs w:val="13"/>
          <w:color w:val="auto"/>
        </w:rPr>
        <w:t>” shall have the meaning set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forth in paragraph (d) of Section 7 hereof.</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“Conversion Consideration” </w:t>
      </w:r>
      <w:r>
        <w:rPr>
          <w:rFonts w:ascii="Arial" w:cs="Arial" w:eastAsia="Arial" w:hAnsi="Arial"/>
          <w:sz w:val="14"/>
          <w:szCs w:val="14"/>
          <w:color w:val="auto"/>
        </w:rPr>
        <w:t>shall have the meaning set forth in paragraph (e) of Section 7 hereof.</w:t>
      </w:r>
      <w:r>
        <w:rPr>
          <w:rFonts w:ascii="Arial" w:cs="Arial" w:eastAsia="Arial" w:hAnsi="Arial"/>
          <w:sz w:val="14"/>
          <w:szCs w:val="14"/>
          <w:b w:val="1"/>
          <w:bCs w:val="1"/>
          <w:color w:val="auto"/>
        </w:rPr>
        <w:t xml:space="preserve"> “Conversion Rate” </w:t>
      </w:r>
      <w:r>
        <w:rPr>
          <w:rFonts w:ascii="Arial" w:cs="Arial" w:eastAsia="Arial" w:hAnsi="Arial"/>
          <w:sz w:val="14"/>
          <w:szCs w:val="14"/>
          <w:color w:val="auto"/>
        </w:rPr>
        <w:t>shall have the meaning set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forth in paragraph (a) of Section 7 hereof. </w:t>
      </w:r>
      <w:r>
        <w:rPr>
          <w:rFonts w:ascii="Arial" w:cs="Arial" w:eastAsia="Arial" w:hAnsi="Arial"/>
          <w:sz w:val="14"/>
          <w:szCs w:val="14"/>
          <w:b w:val="1"/>
          <w:bCs w:val="1"/>
          <w:color w:val="auto"/>
        </w:rPr>
        <w:t>“Depository”</w:t>
      </w:r>
      <w:r>
        <w:rPr>
          <w:rFonts w:ascii="Arial" w:cs="Arial" w:eastAsia="Arial" w:hAnsi="Arial"/>
          <w:sz w:val="14"/>
          <w:szCs w:val="14"/>
          <w:color w:val="auto"/>
        </w:rPr>
        <w:t xml:space="preserve"> shall have the meaning set forth in paragraph (l) of Section 7 hereof.</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Parity Stock</w:t>
      </w:r>
      <w:r>
        <w:rPr>
          <w:rFonts w:ascii="Arial" w:cs="Arial" w:eastAsia="Arial" w:hAnsi="Arial"/>
          <w:sz w:val="14"/>
          <w:szCs w:val="14"/>
          <w:color w:val="auto"/>
        </w:rPr>
        <w:t>” shall have the meaning set forth in paragraph (c) of Section 3 hereof.</w:t>
      </w:r>
    </w:p>
    <w:p>
      <w:pPr>
        <w:spacing w:after="0" w:line="96" w:lineRule="exact"/>
        <w:rPr>
          <w:sz w:val="20"/>
          <w:szCs w:val="20"/>
          <w:color w:val="auto"/>
        </w:rPr>
      </w:pPr>
    </w:p>
    <w:p>
      <w:pPr>
        <w:jc w:val="both"/>
        <w:ind w:right="100" w:firstLine="325"/>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Payment Date</w:t>
      </w:r>
      <w:r>
        <w:rPr>
          <w:rFonts w:ascii="Arial" w:cs="Arial" w:eastAsia="Arial" w:hAnsi="Arial"/>
          <w:sz w:val="13"/>
          <w:szCs w:val="13"/>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instead be paid on the first Business Day immediately following such Dividend Payment Date without any adjustment to the amount of the dividend due on that Dividend Payment Date on account of such delay.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shall have the meaning set forth in paragraph (a) of Section 3 hereof.</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D-2</w:t>
      </w:r>
    </w:p>
    <w:p>
      <w:pPr>
        <w:sectPr>
          <w:pgSz w:w="11900" w:h="16838" w:orient="portrait"/>
          <w:cols w:equalWidth="0" w:num="1">
            <w:col w:w="10600"/>
          </w:cols>
          <w:pgMar w:left="740" w:top="946" w:right="559" w:bottom="1440" w:gutter="0" w:footer="0" w:header="0"/>
        </w:sectPr>
      </w:pPr>
    </w:p>
    <w:bookmarkStart w:id="271" w:name="page272"/>
    <w:bookmarkEnd w:id="271"/>
    <w:p>
      <w:pPr>
        <w:ind w:right="20" w:firstLine="325"/>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Period</w:t>
      </w:r>
      <w:r>
        <w:rPr>
          <w:rFonts w:ascii="Arial" w:cs="Arial" w:eastAsia="Arial" w:hAnsi="Arial"/>
          <w:sz w:val="13"/>
          <w:szCs w:val="13"/>
          <w:color w:val="auto"/>
        </w:rPr>
        <w:t>” shall mean a quarterly dividend period commencing on, and including, a Dividend Payment Date and ending on, but excluding, the next succeeding Dividend Payment Date (other than the initial Dividend Period with respect to each share of Series D Preferred Stock, which, (i) for shares of Series D Preferred Stock issued prior to January 11, 2017, shall commence on, and include, November 15, 2016 and end on, but exclude, the first Dividend Payment Date; and (ii) for shares of Series D Preferred Stock issued on or after January 11, 2017, shall commence on, and include, the Dividend Payment Date with respect to which dividends were actually paid on Series D Preferred Stock that were outstanding immediately preceding the issuance of such Series D Preferred Stock and end on, but exclude, the next succeeding Dividend Payment Date).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“DTC” </w:t>
      </w:r>
      <w:r>
        <w:rPr>
          <w:rFonts w:ascii="Arial" w:cs="Arial" w:eastAsia="Arial" w:hAnsi="Arial"/>
          <w:sz w:val="14"/>
          <w:szCs w:val="14"/>
          <w:color w:val="auto"/>
        </w:rPr>
        <w:t>shall have the meaning set forth in paragraph (l) of Section 7 hereof.</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“Exchange Cap” </w:t>
      </w:r>
      <w:r>
        <w:rPr>
          <w:rFonts w:ascii="Arial" w:cs="Arial" w:eastAsia="Arial" w:hAnsi="Arial"/>
          <w:sz w:val="14"/>
          <w:szCs w:val="14"/>
          <w:color w:val="auto"/>
        </w:rPr>
        <w:t>shall have the meaning set forth in paragraph (b) of Section 7 hereof.</w:t>
      </w:r>
    </w:p>
    <w:p>
      <w:pPr>
        <w:spacing w:after="0" w:line="85"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Junior Shares</w:t>
      </w:r>
      <w:r>
        <w:rPr>
          <w:rFonts w:ascii="Arial" w:cs="Arial" w:eastAsia="Arial" w:hAnsi="Arial"/>
          <w:sz w:val="14"/>
          <w:szCs w:val="14"/>
          <w:color w:val="auto"/>
        </w:rPr>
        <w:t>” shall mean the Common Stock and any other class or series of stock of the Corporation constituting junior shares of stock within the meaning set forth in paragraph (c) of Section 9 hereof.</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xml:space="preserve"> shall have the meaning set forth in paragraph (a) of Section 4 hereof.</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shall mean any individual, firm, partnership, corporation, limited liability company or other entity, and shall include any successor (by merger or otherwise) of such entity.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Preferred Directors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set forth in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paragraph (c) of Section 5 hereof. “</w:t>
      </w:r>
      <w:r>
        <w:rPr>
          <w:rFonts w:ascii="Arial" w:cs="Arial" w:eastAsia="Arial" w:hAnsi="Arial"/>
          <w:sz w:val="14"/>
          <w:szCs w:val="14"/>
          <w:b w:val="1"/>
          <w:bCs w:val="1"/>
          <w:color w:val="auto"/>
        </w:rPr>
        <w:t>Redemption Price</w:t>
      </w:r>
      <w:r>
        <w:rPr>
          <w:rFonts w:ascii="Arial" w:cs="Arial" w:eastAsia="Arial" w:hAnsi="Arial"/>
          <w:sz w:val="14"/>
          <w:szCs w:val="14"/>
          <w:color w:val="auto"/>
        </w:rPr>
        <w:t>” shall have the meaning set forth in paragraph (a) of Section 5 hereof.</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“Securities Exchange Act” </w:t>
      </w:r>
      <w:r>
        <w:rPr>
          <w:rFonts w:ascii="Arial" w:cs="Arial" w:eastAsia="Arial" w:hAnsi="Arial"/>
          <w:sz w:val="14"/>
          <w:szCs w:val="14"/>
          <w:color w:val="auto"/>
        </w:rPr>
        <w:t>shall have the meaning set forth in paragraph (a) of Section 5 hereof.</w:t>
      </w:r>
    </w:p>
    <w:p>
      <w:pPr>
        <w:spacing w:after="0" w:line="73"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A Preferred Stock</w:t>
      </w:r>
      <w:r>
        <w:rPr>
          <w:rFonts w:ascii="Arial" w:cs="Arial" w:eastAsia="Arial" w:hAnsi="Arial"/>
          <w:sz w:val="14"/>
          <w:szCs w:val="14"/>
          <w:color w:val="auto"/>
        </w:rPr>
        <w:t>” shall mean the 8.75% Series A Cumulative Redeemable Perpetual Preferred Stock, liquidation preference $25.00 per share.</w:t>
      </w:r>
    </w:p>
    <w:p>
      <w:pPr>
        <w:spacing w:after="0" w:line="38"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shall mean the 8.25% Series B Cumulative Redeemable Perpetual Preferred Stock, liquidation preference $25.00 per share.</w:t>
      </w:r>
    </w:p>
    <w:p>
      <w:pPr>
        <w:spacing w:after="0" w:line="77"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D-3</w:t>
      </w:r>
    </w:p>
    <w:p>
      <w:pPr>
        <w:sectPr>
          <w:pgSz w:w="11900" w:h="16838" w:orient="portrait"/>
          <w:cols w:equalWidth="0" w:num="1">
            <w:col w:w="10700"/>
          </w:cols>
          <w:pgMar w:left="740" w:top="899" w:right="459" w:bottom="1440" w:gutter="0" w:footer="0" w:header="0"/>
        </w:sectPr>
      </w:pPr>
    </w:p>
    <w:bookmarkStart w:id="272" w:name="page273"/>
    <w:bookmarkEnd w:id="272"/>
    <w:p>
      <w:pPr>
        <w:ind w:left="340" w:right="27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C Preferred Stock</w:t>
      </w:r>
      <w:r>
        <w:rPr>
          <w:rFonts w:ascii="Arial" w:cs="Arial" w:eastAsia="Arial" w:hAnsi="Arial"/>
          <w:sz w:val="14"/>
          <w:szCs w:val="14"/>
          <w:color w:val="auto"/>
        </w:rPr>
        <w:t>” shall mean the 8.875% Series C Cumulative Redeemable Perpetual Preferred Stock, liquidation preference $25.00 per share.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D Preferred Stock</w:t>
      </w:r>
      <w:r>
        <w:rPr>
          <w:rFonts w:ascii="Arial" w:cs="Arial" w:eastAsia="Arial" w:hAnsi="Arial"/>
          <w:sz w:val="14"/>
          <w:szCs w:val="14"/>
          <w:color w:val="auto"/>
        </w:rPr>
        <w:t>” shall have the meaning set forth in Section 1 hereof.</w:t>
      </w:r>
    </w:p>
    <w:p>
      <w:pPr>
        <w:spacing w:after="0" w:line="73" w:lineRule="exact"/>
        <w:rPr>
          <w:sz w:val="20"/>
          <w:szCs w:val="20"/>
          <w:color w:val="auto"/>
        </w:rPr>
      </w:pPr>
    </w:p>
    <w:p>
      <w:pPr>
        <w:ind w:left="340"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E Preferred Stock</w:t>
      </w:r>
      <w:r>
        <w:rPr>
          <w:rFonts w:ascii="Arial" w:cs="Arial" w:eastAsia="Arial" w:hAnsi="Arial"/>
          <w:sz w:val="14"/>
          <w:szCs w:val="14"/>
          <w:color w:val="auto"/>
        </w:rPr>
        <w:t>” shall mean the 8.75% Series E Cumulative Redeemable Perpetual Preferred Stock, liquidation preference $25.00 per share.</w:t>
      </w:r>
    </w:p>
    <w:p>
      <w:pPr>
        <w:spacing w:after="0" w:line="38" w:lineRule="exact"/>
        <w:rPr>
          <w:sz w:val="20"/>
          <w:szCs w:val="20"/>
          <w:color w:val="auto"/>
        </w:rPr>
      </w:pPr>
    </w:p>
    <w:p>
      <w:pPr>
        <w:ind w:left="340" w:right="28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F Preferred Stock</w:t>
      </w:r>
      <w:r>
        <w:rPr>
          <w:rFonts w:ascii="Arial" w:cs="Arial" w:eastAsia="Arial" w:hAnsi="Arial"/>
          <w:sz w:val="14"/>
          <w:szCs w:val="14"/>
          <w:color w:val="auto"/>
        </w:rPr>
        <w:t>” shall mean the 8.50% Series F Cumulative Redeemable Perpetual Preferred Stock, liquidation preference $25.00 per share.</w:t>
      </w:r>
    </w:p>
    <w:p>
      <w:pPr>
        <w:spacing w:after="0" w:line="38" w:lineRule="exact"/>
        <w:rPr>
          <w:sz w:val="20"/>
          <w:szCs w:val="20"/>
          <w:color w:val="auto"/>
        </w:rPr>
      </w:pPr>
    </w:p>
    <w:p>
      <w:pPr>
        <w:ind w:left="340" w:right="278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G Preferred Stock</w:t>
      </w:r>
      <w:r>
        <w:rPr>
          <w:rFonts w:ascii="Arial" w:cs="Arial" w:eastAsia="Arial" w:hAnsi="Arial"/>
          <w:sz w:val="14"/>
          <w:szCs w:val="14"/>
          <w:color w:val="auto"/>
        </w:rPr>
        <w:t>” shall mean the 7.50% Series G Cumulative Redeemable Perpetual Preferred Stock, liquidation preference $25.00 per share.</w:t>
      </w:r>
    </w:p>
    <w:p>
      <w:pPr>
        <w:spacing w:after="0" w:line="38" w:lineRule="exact"/>
        <w:rPr>
          <w:sz w:val="20"/>
          <w:szCs w:val="20"/>
          <w:color w:val="auto"/>
        </w:rPr>
      </w:pPr>
    </w:p>
    <w:p>
      <w:pPr>
        <w:ind w:left="340" w:right="27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H Preferred Stock</w:t>
      </w:r>
      <w:r>
        <w:rPr>
          <w:rFonts w:ascii="Arial" w:cs="Arial" w:eastAsia="Arial" w:hAnsi="Arial"/>
          <w:sz w:val="14"/>
          <w:szCs w:val="14"/>
          <w:color w:val="auto"/>
        </w:rPr>
        <w:t>” shall mean the 7.125% Series H Cumulative Redeemable Perpetual Preferred Stock, liquidation preference $25.00 per share.</w:t>
      </w:r>
    </w:p>
    <w:p>
      <w:pPr>
        <w:spacing w:after="0" w:line="62" w:lineRule="exact"/>
        <w:rPr>
          <w:sz w:val="20"/>
          <w:szCs w:val="20"/>
          <w:color w:val="auto"/>
        </w:rPr>
      </w:pPr>
    </w:p>
    <w:p>
      <w:pPr>
        <w:jc w:val="both"/>
        <w:ind w:left="340" w:right="38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 apart for payment</w:t>
      </w:r>
      <w:r>
        <w:rPr>
          <w:rFonts w:ascii="Arial" w:cs="Arial" w:eastAsia="Arial" w:hAnsi="Arial"/>
          <w:sz w:val="14"/>
          <w:szCs w:val="14"/>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“Share Cap” </w:t>
      </w:r>
      <w:r>
        <w:rPr>
          <w:rFonts w:ascii="Arial" w:cs="Arial" w:eastAsia="Arial" w:hAnsi="Arial"/>
          <w:sz w:val="14"/>
          <w:szCs w:val="14"/>
          <w:color w:val="auto"/>
        </w:rPr>
        <w:t>shall have the meaning set forth in paragraph (a) of Section 7 hereof.</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“Share Split” </w:t>
      </w:r>
      <w:r>
        <w:rPr>
          <w:rFonts w:ascii="Arial" w:cs="Arial" w:eastAsia="Arial" w:hAnsi="Arial"/>
          <w:sz w:val="14"/>
          <w:szCs w:val="14"/>
          <w:color w:val="auto"/>
        </w:rPr>
        <w:t>shall have the meaning set forth in paragraph (b) of Section 7 hereof.</w:t>
      </w:r>
    </w:p>
    <w:p>
      <w:pPr>
        <w:spacing w:after="0" w:line="85" w:lineRule="exact"/>
        <w:rPr>
          <w:sz w:val="20"/>
          <w:szCs w:val="20"/>
          <w:color w:val="auto"/>
        </w:rPr>
      </w:pPr>
    </w:p>
    <w:p>
      <w:pPr>
        <w:ind w:left="340" w:right="24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means American Stock Transfer &amp; Trust Company, New York, New York, or such other agent or agents of the Corporation as may be designated by the Board of Directors or its designee as the transfer agent for the Series D Preferred Stock.</w:t>
      </w:r>
    </w:p>
    <w:p>
      <w:pPr>
        <w:spacing w:after="0" w:line="97" w:lineRule="exact"/>
        <w:rPr>
          <w:sz w:val="20"/>
          <w:szCs w:val="20"/>
          <w:color w:val="auto"/>
        </w:rPr>
      </w:pPr>
    </w:p>
    <w:p>
      <w:pPr>
        <w:ind w:left="660" w:right="2860"/>
        <w:spacing w:after="0" w:line="41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Preferred Shares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Voting Stock</w:t>
      </w:r>
      <w:r>
        <w:rPr>
          <w:rFonts w:ascii="Arial" w:cs="Arial" w:eastAsia="Arial" w:hAnsi="Arial"/>
          <w:sz w:val="14"/>
          <w:szCs w:val="14"/>
          <w:color w:val="auto"/>
        </w:rPr>
        <w:t>” shall have the meaning set forth in paragraph (a) of Section 5 hereof.</w:t>
      </w:r>
    </w:p>
    <w:p>
      <w:pPr>
        <w:spacing w:after="0" w:line="1" w:lineRule="exact"/>
        <w:rPr>
          <w:sz w:val="20"/>
          <w:szCs w:val="20"/>
          <w:color w:val="auto"/>
        </w:rPr>
      </w:pPr>
    </w:p>
    <w:p>
      <w:pPr>
        <w:ind w:right="80" w:firstLine="677"/>
        <w:spacing w:after="0" w:line="252"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Dividends.</w:t>
      </w:r>
      <w:r>
        <w:rPr>
          <w:rFonts w:ascii="Arial" w:cs="Arial" w:eastAsia="Arial" w:hAnsi="Arial"/>
          <w:sz w:val="14"/>
          <w:szCs w:val="14"/>
          <w:color w:val="auto"/>
        </w:rPr>
        <w:t xml:space="preserve"> (a) The holders of Series D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$2.125 per share of Series D Preferred Stock (the “</w:t>
      </w:r>
      <w:r>
        <w:rPr>
          <w:rFonts w:ascii="Arial" w:cs="Arial" w:eastAsia="Arial" w:hAnsi="Arial"/>
          <w:sz w:val="14"/>
          <w:szCs w:val="14"/>
          <w:b w:val="1"/>
          <w:bCs w:val="1"/>
          <w:color w:val="auto"/>
        </w:rPr>
        <w:t>Annual Dividend Rate</w:t>
      </w:r>
      <w:r>
        <w:rPr>
          <w:rFonts w:ascii="Arial" w:cs="Arial" w:eastAsia="Arial" w:hAnsi="Arial"/>
          <w:sz w:val="14"/>
          <w:szCs w:val="14"/>
          <w:color w:val="auto"/>
        </w:rPr>
        <w:t>”) (equivalent to a rate of 8.500% of the Liquidation Preference per annum). Such dividends with respect to each share of Series D Preferred Stock issued prior to January 11, 2017 shall be</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D-4</w:t>
      </w:r>
    </w:p>
    <w:p>
      <w:pPr>
        <w:sectPr>
          <w:pgSz w:w="11900" w:h="16838" w:orient="portrait"/>
          <w:cols w:equalWidth="0" w:num="1">
            <w:col w:w="11020"/>
          </w:cols>
          <w:pgMar w:left="400" w:top="887" w:right="479" w:bottom="1440" w:gutter="0" w:footer="0" w:header="0"/>
        </w:sectPr>
      </w:pPr>
    </w:p>
    <w:bookmarkStart w:id="273" w:name="page274"/>
    <w:bookmarkEnd w:id="273"/>
    <w:p>
      <w:pPr>
        <w:spacing w:after="0" w:line="247" w:lineRule="auto"/>
        <w:rPr>
          <w:sz w:val="20"/>
          <w:szCs w:val="20"/>
          <w:color w:val="auto"/>
        </w:rPr>
      </w:pPr>
      <w:r>
        <w:rPr>
          <w:rFonts w:ascii="Arial" w:cs="Arial" w:eastAsia="Arial" w:hAnsi="Arial"/>
          <w:sz w:val="14"/>
          <w:szCs w:val="14"/>
          <w:color w:val="auto"/>
        </w:rPr>
        <w:t>cumulative from, and including, November 15, 2016 and with respect to each share of Series D Preferred Stock issued on or after January 11, 2017 shall be cumulative from, and including, the Dividend Payment Date with respect to which dividends were actually paid on shares of Series D Preferred Stock that were outstanding immediately preceding the issuance of such shares of Series D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D Preferred Stock on the first Dividend Payment Date following issuance of such shares of Series D Preferred Stock. Dividends are cumulative from the most recent Dividend Payment Date to which dividends have been paid, whether or not in any Dividend Period or Periods there shall be assets legally available therefor. Each such dividend shall be payable in arrears to the holders of record of the Series D Preferred Stock, as they appear on the share records of the Corporation at the close of business on such record dates, not more than 30 days preceding the applicable Dividend Payment Date (the “</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as shall be fixed by the Board of Directors. Accrued and unpaid dividends for any past Dividend Periods may be authorized and declared and paid at any time, without reference to any regular Dividend Payment Date, to holders of record on such date, not exceeding 30 days preceding the payment date thereof, as may be fixed by the Board of Directors.</w:t>
      </w:r>
    </w:p>
    <w:p>
      <w:pPr>
        <w:spacing w:after="0" w:line="62" w:lineRule="exact"/>
        <w:rPr>
          <w:sz w:val="20"/>
          <w:szCs w:val="20"/>
          <w:color w:val="auto"/>
        </w:rPr>
      </w:pPr>
    </w:p>
    <w:p>
      <w:pPr>
        <w:ind w:right="80" w:firstLine="677"/>
        <w:spacing w:after="0" w:line="250" w:lineRule="auto"/>
        <w:tabs>
          <w:tab w:leader="none" w:pos="979"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amount of dividends payable for each full Dividend Period for the Series D Preferred Stock shall be computed by dividing the Annual Dividend Rate by four. The amount of dividends payable for the initial Dividend Period, or any other period shorter or longer than a full Dividend Period, on the Series D Preferred Stock shall be computed on the basis of twelve 30-day months and a 360-day year. Holders of Series D Preferred Stock shall not be entitled to any dividends, whether payable in cash, property or stock, in excess of cumulative dividends, as herein provided, on the Series D Preferred Stock. No interest, or sum of money in lieu of interest, shall be payable in respect of any dividend payment or payments on the Series D Preferred Stock that may be in arrears.</w:t>
      </w:r>
    </w:p>
    <w:p>
      <w:pPr>
        <w:spacing w:after="0" w:line="61" w:lineRule="exact"/>
        <w:rPr>
          <w:rFonts w:ascii="Arial" w:cs="Arial" w:eastAsia="Arial" w:hAnsi="Arial"/>
          <w:sz w:val="14"/>
          <w:szCs w:val="14"/>
          <w:color w:val="auto"/>
        </w:rPr>
      </w:pPr>
    </w:p>
    <w:p>
      <w:pPr>
        <w:ind w:right="200" w:firstLine="677"/>
        <w:spacing w:after="0" w:line="299" w:lineRule="auto"/>
        <w:tabs>
          <w:tab w:leader="none" w:pos="973" w:val="left"/>
        </w:tabs>
        <w:numPr>
          <w:ilvl w:val="0"/>
          <w:numId w:val="173"/>
        </w:numPr>
        <w:rPr>
          <w:rFonts w:ascii="Arial" w:cs="Arial" w:eastAsia="Arial" w:hAnsi="Arial"/>
          <w:sz w:val="12"/>
          <w:szCs w:val="12"/>
          <w:color w:val="auto"/>
        </w:rPr>
      </w:pPr>
      <w:r>
        <w:rPr>
          <w:rFonts w:ascii="Arial" w:cs="Arial" w:eastAsia="Arial" w:hAnsi="Arial"/>
          <w:sz w:val="12"/>
          <w:szCs w:val="12"/>
          <w:color w:val="auto"/>
        </w:rPr>
        <w:t>So long as any shares of Series D Preferred Stock are outstanding, no dividends, except as described in the immediately following sentence, shall be authorized and declared or paid or set apart for payment on any series or class or classes of capital stock of the Corporation ranking on a parity with the Series D Preferred Stock as to payment of dividends (“</w:t>
      </w:r>
      <w:r>
        <w:rPr>
          <w:rFonts w:ascii="Arial" w:cs="Arial" w:eastAsia="Arial" w:hAnsi="Arial"/>
          <w:sz w:val="12"/>
          <w:szCs w:val="12"/>
          <w:b w:val="1"/>
          <w:bCs w:val="1"/>
          <w:color w:val="auto"/>
        </w:rPr>
        <w:t>Dividend</w:t>
      </w:r>
      <w:r>
        <w:rPr>
          <w:rFonts w:ascii="Arial" w:cs="Arial" w:eastAsia="Arial" w:hAnsi="Arial"/>
          <w:sz w:val="12"/>
          <w:szCs w:val="12"/>
          <w:color w:val="auto"/>
        </w:rPr>
        <w:t xml:space="preserve"> </w:t>
      </w:r>
      <w:r>
        <w:rPr>
          <w:rFonts w:ascii="Arial" w:cs="Arial" w:eastAsia="Arial" w:hAnsi="Arial"/>
          <w:sz w:val="12"/>
          <w:szCs w:val="12"/>
          <w:b w:val="1"/>
          <w:bCs w:val="1"/>
          <w:color w:val="auto"/>
        </w:rPr>
        <w:t>Parity Stock</w:t>
      </w:r>
      <w:r>
        <w:rPr>
          <w:rFonts w:ascii="Arial" w:cs="Arial" w:eastAsia="Arial" w:hAnsi="Arial"/>
          <w:sz w:val="12"/>
          <w:szCs w:val="12"/>
          <w:color w:val="auto"/>
        </w:rPr>
        <w:t>”) for any period unless full cumulative dividends have been or contemporaneously are authorized, declared and paid or authorized, declared and a sum sufficient for the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thereof set apart for such payment on the Series D Preferred Stock for all past Dividend Periods. When dividends are not paid in full or a sum sufficient for such payment is not set apart, as aforesaid, all dividends authorized and declared upon Series D Preferred Stock and all dividends authorized and declared upon any series or class or classes of Dividend Parity Stock shall be authorized and declared ratably in proportion to the respective amounts of dividends accrued and unpaid on the Series D Preferred Stock and such Dividend Parity Stock.</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D-5</w:t>
      </w:r>
    </w:p>
    <w:p>
      <w:pPr>
        <w:sectPr>
          <w:pgSz w:w="11900" w:h="16838" w:orient="portrait"/>
          <w:cols w:equalWidth="0" w:num="1">
            <w:col w:w="11020"/>
          </w:cols>
          <w:pgMar w:left="400" w:top="903" w:right="479" w:bottom="1440" w:gutter="0" w:footer="0" w:header="0"/>
        </w:sectPr>
      </w:pPr>
    </w:p>
    <w:bookmarkStart w:id="274" w:name="page275"/>
    <w:bookmarkEnd w:id="274"/>
    <w:p>
      <w:pPr>
        <w:ind w:right="20" w:firstLine="677"/>
        <w:spacing w:after="0" w:line="294" w:lineRule="auto"/>
        <w:tabs>
          <w:tab w:leader="none" w:pos="876" w:val="left"/>
        </w:tabs>
        <w:numPr>
          <w:ilvl w:val="0"/>
          <w:numId w:val="174"/>
        </w:numPr>
        <w:rPr>
          <w:rFonts w:ascii="Arial" w:cs="Arial" w:eastAsia="Arial" w:hAnsi="Arial"/>
          <w:sz w:val="12"/>
          <w:szCs w:val="12"/>
          <w:color w:val="auto"/>
        </w:rPr>
      </w:pPr>
      <w:r>
        <w:rPr>
          <w:rFonts w:ascii="Arial" w:cs="Arial" w:eastAsia="Arial" w:hAnsi="Arial"/>
          <w:sz w:val="12"/>
          <w:szCs w:val="12"/>
          <w:color w:val="auto"/>
        </w:rPr>
        <w:t>So long as any shares of Series D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(i) a redemption, purchase or other acquisition of Common Stock made for purposes of and in compliance with requirements of an employee incentive or benefit plan of the Corporation or any subsidiary, (ii) pursuant to Article VII of the Charter, (iii) as a result of a reclassification of such Junior Shares for or into other Junior Shares, or (iv)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by the Corporation, directly or indirectly (except by conversion into or exchange for Junior Shares), unless in each case the full cumulative dividends on all outstanding Series D Preferred Stock and any Dividend Parity Stock of the Corporation shall have been paid or set apart for payment for all past Dividend Periods with respect to the Series D Preferred Stock and all past dividend periods with respect to such Dividend Parity Stock.</w:t>
      </w:r>
    </w:p>
    <w:p>
      <w:pPr>
        <w:spacing w:after="0" w:line="180" w:lineRule="exact"/>
        <w:rPr>
          <w:sz w:val="20"/>
          <w:szCs w:val="20"/>
          <w:color w:val="auto"/>
        </w:rPr>
      </w:pPr>
    </w:p>
    <w:p>
      <w:pPr>
        <w:ind w:right="40" w:firstLine="677"/>
        <w:spacing w:after="0" w:line="268"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D Preferred Stock shall be entitled to receive $25.00 per share of the Series D Preferred Stock (the “</w:t>
      </w:r>
      <w:r>
        <w:rPr>
          <w:rFonts w:ascii="Arial" w:cs="Arial" w:eastAsia="Arial" w:hAnsi="Arial"/>
          <w:sz w:val="13"/>
          <w:szCs w:val="13"/>
          <w:b w:val="1"/>
          <w:bCs w:val="1"/>
          <w:color w:val="auto"/>
        </w:rPr>
        <w:t>Liquidation Preference</w:t>
      </w:r>
      <w:r>
        <w:rPr>
          <w:rFonts w:ascii="Arial" w:cs="Arial" w:eastAsia="Arial" w:hAnsi="Arial"/>
          <w:sz w:val="13"/>
          <w:szCs w:val="13"/>
          <w:color w:val="auto"/>
        </w:rPr>
        <w:t>”) plus an amount equal to all dividends (whether or not earned or declared) accrued and unpaid thereon to the date of final distribution to such holder; but such holders of Series D Preferred Stock shall not be entitled to any further payment. If, upon any such liquidation, dissolution or winding up of the Corporation, the assets of the Corporation, or proceeds thereof, distributable among the holders of Series D Preferred Stock shall be insufficient to pay in full the preferential amount aforesaid and liquidating payments on any other capital stock of the Corporation ranking on a parity with the Series D Preferred Stock as to such distribution, then such assets, or the proceeds thereof, shall be distributed among the holders of such Series D Preferred Stock and any such other stock ratably in accordance with the respective amounts that would be payable on such Series D Preferred Stock and any such other stock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50" w:lineRule="exact"/>
        <w:rPr>
          <w:sz w:val="20"/>
          <w:szCs w:val="20"/>
          <w:color w:val="auto"/>
        </w:rPr>
      </w:pPr>
    </w:p>
    <w:p>
      <w:pPr>
        <w:ind w:firstLine="677"/>
        <w:spacing w:after="0" w:line="253" w:lineRule="auto"/>
        <w:tabs>
          <w:tab w:leader="none" w:pos="876"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Subject to the rights of the holders of shares of any series or class or classes of shares of stock ranking on a parity with or prior to the Series D Preferred Stock upon liquidation, dissolution or winding up, upon any liquidation, dissolution or winding up of the Corporation, after payment shall have been made in full to the holders of the Series D Preferred Stock, as provided in this Section 4, any series or class or classes of Junior Shares shall, subject to any respective terms and provisions applying thereto, be entitled to receive any and all assets remaining to be paid or distributed, and the holders of the Series D Preferred Stock shall not be entitled to share therein.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D-6</w:t>
      </w:r>
    </w:p>
    <w:p>
      <w:pPr>
        <w:sectPr>
          <w:pgSz w:w="11900" w:h="16838" w:orient="portrait"/>
          <w:cols w:equalWidth="0" w:num="1">
            <w:col w:w="11020"/>
          </w:cols>
          <w:pgMar w:left="400" w:top="903" w:right="479" w:bottom="1440" w:gutter="0" w:footer="0" w:header="0"/>
        </w:sectPr>
      </w:pPr>
    </w:p>
    <w:bookmarkStart w:id="275" w:name="page276"/>
    <w:bookmarkEnd w:id="275"/>
    <w:p>
      <w:pPr>
        <w:ind w:left="620"/>
        <w:spacing w:after="0"/>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Redemption at the Option of the Corporation</w:t>
      </w:r>
      <w:r>
        <w:rPr>
          <w:rFonts w:ascii="Arial" w:cs="Arial" w:eastAsia="Arial" w:hAnsi="Arial"/>
          <w:sz w:val="14"/>
          <w:szCs w:val="14"/>
          <w:color w:val="auto"/>
        </w:rPr>
        <w:t>.</w:t>
      </w:r>
    </w:p>
    <w:p>
      <w:pPr>
        <w:spacing w:after="0" w:line="96" w:lineRule="exact"/>
        <w:rPr>
          <w:sz w:val="20"/>
          <w:szCs w:val="20"/>
          <w:color w:val="auto"/>
        </w:rPr>
      </w:pPr>
    </w:p>
    <w:p>
      <w:pPr>
        <w:ind w:left="-60" w:firstLine="677"/>
        <w:spacing w:after="0" w:line="265" w:lineRule="auto"/>
        <w:tabs>
          <w:tab w:leader="none" w:pos="913" w:val="left"/>
        </w:tabs>
        <w:numPr>
          <w:ilvl w:val="0"/>
          <w:numId w:val="176"/>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Section 7(a), upon the occurrence of a Change of Control, the Corporation may, at its option, upon not less than 30 nor more than 90 days’ written notice, redeem the Series D Preferred Stock, in whole, at any time, or in part, from time to time, within 120 days after the first date on which such Change of Control occurred, for cash at a redemption price of $25.00 per share, plus any accrued and unpaid dividends thereon (whether or not declared) to, but not including, the date fixed for redemption (the “</w:t>
      </w:r>
      <w:r>
        <w:rPr>
          <w:rFonts w:ascii="Arial" w:cs="Arial" w:eastAsia="Arial" w:hAnsi="Arial"/>
          <w:sz w:val="13"/>
          <w:szCs w:val="13"/>
          <w:b w:val="1"/>
          <w:bCs w:val="1"/>
          <w:color w:val="auto"/>
        </w:rPr>
        <w:t>Redemption Price</w:t>
      </w:r>
      <w:r>
        <w:rPr>
          <w:rFonts w:ascii="Arial" w:cs="Arial" w:eastAsia="Arial" w:hAnsi="Arial"/>
          <w:sz w:val="13"/>
          <w:szCs w:val="13"/>
          <w:color w:val="auto"/>
        </w:rPr>
        <w:t>”); provided that, if the Redemption Date is after a Dividend Payment Record Date and prior to the corresponding Dividend Payment Date, no additional amount for such accrued and unpaid dividend will be included in the Redemption Price and the dividend payments on such Dividend Payment Date shall be made pursuant to Section 5(d). If, prior to the Change of Control Conversion Date, the Corporation has provided notice of its election to redeem some or all of the shares of Series D Preferred Stock pursuant to this Section 5, the holders of Series D Preferred Stock will not have the Change of Control Conversion Right (as hereinafter defined) with respect to the shares called for redemption. If the Corporation elects to redeem any shares of Series D Preferred Stock as described in this Section 5(a), it may use any available cash to pay the Redemption Price, and it will not be required to pay the Redemption Price only out of the proceeds from the issuance of other equity securities or any other specific source. A “</w:t>
      </w:r>
      <w:r>
        <w:rPr>
          <w:rFonts w:ascii="Arial" w:cs="Arial" w:eastAsia="Arial" w:hAnsi="Arial"/>
          <w:sz w:val="13"/>
          <w:szCs w:val="13"/>
          <w:b w:val="1"/>
          <w:bCs w:val="1"/>
          <w:color w:val="auto"/>
        </w:rPr>
        <w:t>Change of Control</w:t>
      </w:r>
      <w:r>
        <w:rPr>
          <w:rFonts w:ascii="Arial" w:cs="Arial" w:eastAsia="Arial" w:hAnsi="Arial"/>
          <w:sz w:val="13"/>
          <w:szCs w:val="13"/>
          <w:color w:val="auto"/>
        </w:rPr>
        <w:t>” shall be deemed to have occurred at such time as (i) (A) the date a “person”, including any syndicate or group deemed to be a person within the meaning of Sections 13(d)(3) and 14(d)(2) of the Securities Exchange Act of 1934, as amended (the “</w:t>
      </w:r>
      <w:r>
        <w:rPr>
          <w:rFonts w:ascii="Arial" w:cs="Arial" w:eastAsia="Arial" w:hAnsi="Arial"/>
          <w:sz w:val="13"/>
          <w:szCs w:val="13"/>
          <w:b w:val="1"/>
          <w:bCs w:val="1"/>
          <w:color w:val="auto"/>
        </w:rPr>
        <w:t>Securities Exchange Act</w:t>
      </w:r>
      <w:r>
        <w:rPr>
          <w:rFonts w:ascii="Arial" w:cs="Arial" w:eastAsia="Arial" w:hAnsi="Arial"/>
          <w:sz w:val="13"/>
          <w:szCs w:val="13"/>
          <w:color w:val="auto"/>
        </w:rPr>
        <w:t>”) becomes 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or (B)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and (ii) following the closing of any transaction referred to in clause (i), neither the Corporation nor the acquiring or surviving entity has a class of common equity securities (or American Depositary Receipts representing such securities) listed on the New York Stock Exchange, the NYSE MKT or the NASDAQ Stock Market, or listed or quoted on an exchange or quotation system that is a successor to any such securities exchange. “</w:t>
      </w:r>
      <w:r>
        <w:rPr>
          <w:rFonts w:ascii="Arial" w:cs="Arial" w:eastAsia="Arial" w:hAnsi="Arial"/>
          <w:sz w:val="13"/>
          <w:szCs w:val="13"/>
          <w:b w:val="1"/>
          <w:bCs w:val="1"/>
          <w:color w:val="auto"/>
        </w:rPr>
        <w:t>Voting Stock</w:t>
      </w:r>
      <w:r>
        <w:rPr>
          <w:rFonts w:ascii="Arial" w:cs="Arial" w:eastAsia="Arial" w:hAnsi="Arial"/>
          <w:sz w:val="13"/>
          <w:szCs w:val="13"/>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D-7</w:t>
      </w:r>
    </w:p>
    <w:p>
      <w:pPr>
        <w:sectPr>
          <w:pgSz w:w="11900" w:h="16838" w:orient="portrait"/>
          <w:cols w:equalWidth="0" w:num="1">
            <w:col w:w="10960"/>
          </w:cols>
          <w:pgMar w:left="460" w:top="892" w:right="479" w:bottom="1440" w:gutter="0" w:footer="0" w:header="0"/>
        </w:sectPr>
      </w:pPr>
    </w:p>
    <w:bookmarkStart w:id="276" w:name="page277"/>
    <w:bookmarkEnd w:id="276"/>
    <w:p>
      <w:pPr>
        <w:ind w:right="160" w:firstLine="677"/>
        <w:spacing w:after="0" w:line="295" w:lineRule="auto"/>
        <w:tabs>
          <w:tab w:leader="none" w:pos="981"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Except as otherwise permitted by the Charter and paragraph (a) above, the Series D Preferred Stock shall not be redeemable by the Corporation prior to April 10, 2018. On and after April 10, 2018, the Corporation, at its option, may redeem the shares of Series D Preferred Stock, in whole or in part, as set forth herein, subject to the provisions described below.</w:t>
      </w:r>
    </w:p>
    <w:p>
      <w:pPr>
        <w:ind w:right="220" w:firstLine="677"/>
        <w:spacing w:after="0" w:line="309" w:lineRule="auto"/>
        <w:tabs>
          <w:tab w:leader="none" w:pos="973" w:val="left"/>
        </w:tabs>
        <w:numPr>
          <w:ilvl w:val="0"/>
          <w:numId w:val="177"/>
        </w:numPr>
        <w:rPr>
          <w:rFonts w:ascii="Arial" w:cs="Arial" w:eastAsia="Arial" w:hAnsi="Arial"/>
          <w:sz w:val="12"/>
          <w:szCs w:val="12"/>
          <w:color w:val="auto"/>
        </w:rPr>
      </w:pPr>
      <w:r>
        <w:rPr>
          <w:rFonts w:ascii="Arial" w:cs="Arial" w:eastAsia="Arial" w:hAnsi="Arial"/>
          <w:sz w:val="12"/>
          <w:szCs w:val="12"/>
          <w:color w:val="auto"/>
        </w:rPr>
        <w:t>On and after April 10, 2018, the Series D Preferred Stock shall be redeemable at the option of the Corporation, in whole or in part, at any time or from time to time, at the Redemption Price. Each date on which Series D Preferred Stock are to be redeemed (a “</w:t>
      </w:r>
      <w:r>
        <w:rPr>
          <w:rFonts w:ascii="Arial" w:cs="Arial" w:eastAsia="Arial" w:hAnsi="Arial"/>
          <w:sz w:val="12"/>
          <w:szCs w:val="12"/>
          <w:b w:val="1"/>
          <w:bCs w:val="1"/>
          <w:color w:val="auto"/>
        </w:rPr>
        <w:t>Redemption Date</w:t>
      </w:r>
      <w:r>
        <w:rPr>
          <w:rFonts w:ascii="Arial" w:cs="Arial" w:eastAsia="Arial" w:hAnsi="Arial"/>
          <w:sz w:val="12"/>
          <w:szCs w:val="12"/>
          <w:color w:val="auto"/>
        </w:rPr>
        <w:t>”) shall be selected by the Corporation, shall be specified in the notice of redemption and shall not be less than 30 days or more than 90 days after the date on which the Corporation gives, or causes to be given, notice of redemption by mail pursuant to the next paragraph.</w:t>
      </w:r>
    </w:p>
    <w:p>
      <w:pPr>
        <w:spacing w:after="0" w:line="168" w:lineRule="exact"/>
        <w:rPr>
          <w:sz w:val="20"/>
          <w:szCs w:val="20"/>
          <w:color w:val="auto"/>
        </w:rPr>
      </w:pPr>
    </w:p>
    <w:p>
      <w:pPr>
        <w:ind w:firstLine="677"/>
        <w:spacing w:after="0" w:line="267" w:lineRule="auto"/>
        <w:rPr>
          <w:sz w:val="20"/>
          <w:szCs w:val="20"/>
          <w:color w:val="auto"/>
        </w:rPr>
      </w:pPr>
      <w:r>
        <w:rPr>
          <w:rFonts w:ascii="Arial" w:cs="Arial" w:eastAsia="Arial" w:hAnsi="Arial"/>
          <w:sz w:val="13"/>
          <w:szCs w:val="13"/>
          <w:color w:val="auto"/>
        </w:rPr>
        <w:t>A notice of redemption (which may be contingent on the occurrence of a future event) shall be mailed, postage prepaid, not less than 30 nor more than 90 days prior to the Redemption Date, addressed to the respective holders of record of the Series D Preferred Stock at their respective addresses as they appear on the Corporation’s share transfer records. A failure to give such notice or any defect in the notice or in its mailing shall not affect the validity of the proceedings for the redemption of any Series D Preferred Stock except as to the holder to whom notice was defective or not given (unless such a holder elects to tender such holder’s shares). Each notice shall state: (i) the Redemption Date; (ii) the Redemption Price; (iii) the number of shares of Series D Preferred Stock to be redeemed and, if fewer than all the shares of Series D Preferred Stock held by such holder are to be redeemed, the number of such shares of Series D Preferred Stock to be redeemed from such holder; (iv) the place or places where the certificates representing the shares of Series D Preferred Stock are to be surrendered for payment of the Redemption Price, if any of such shares are certificated; (v) that distributions on the shares to be redeemed will cease to accrue on such Redemption Date except as otherwise provided herein; and (vi)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(as defined below), for redemption will be redeemed on the related date of redemption instead of converted on the Change of Control Conversion Date. Notwithstanding the foregoing, no notice of redemption will be required where the Corporation elects to redeem Series D Preferred Stock pursuant to Section 5(b) and Article VII of the Charter to preserve its REIT qualification for federal income tax purposes.</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D-8</w:t>
      </w:r>
    </w:p>
    <w:p>
      <w:pPr>
        <w:sectPr>
          <w:pgSz w:w="11900" w:h="16838" w:orient="portrait"/>
          <w:cols w:equalWidth="0" w:num="1">
            <w:col w:w="10980"/>
          </w:cols>
          <w:pgMar w:left="400" w:top="821" w:right="519" w:bottom="1440" w:gutter="0" w:footer="0" w:header="0"/>
        </w:sectPr>
      </w:pPr>
    </w:p>
    <w:bookmarkStart w:id="277" w:name="page278"/>
    <w:bookmarkEnd w:id="277"/>
    <w:p>
      <w:pPr>
        <w:jc w:val="both"/>
        <w:ind w:right="120" w:firstLine="677"/>
        <w:spacing w:after="0" w:line="278" w:lineRule="auto"/>
        <w:tabs>
          <w:tab w:leader="none" w:pos="993"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If the Redemption Date falls after a Dividend Payment Record Date and prior to the corresponding Dividend Payment Date, then each holder of Series D Preferred Stock at the close of business on such Dividend Payment Record Date shall be entitled to the dividend payable on such Series D Preferred Stock on the corresponding Dividend Payment Date notwithstanding the redemption of such Series D Preferred Stock before such Dividend Payment Date. Except as provided in calculating the Redemption Price and in this Section 5(d), the Corporation shall make no payment or allowance for unpaid dividends, whether or not in arrears, on Series D Preferred Stock called for redemption.</w:t>
      </w:r>
    </w:p>
    <w:p>
      <w:pPr>
        <w:spacing w:after="0" w:line="44" w:lineRule="exact"/>
        <w:rPr>
          <w:rFonts w:ascii="Arial" w:cs="Arial" w:eastAsia="Arial" w:hAnsi="Arial"/>
          <w:sz w:val="13"/>
          <w:szCs w:val="13"/>
          <w:color w:val="auto"/>
        </w:rPr>
      </w:pPr>
    </w:p>
    <w:p>
      <w:pPr>
        <w:ind w:right="200" w:firstLine="677"/>
        <w:spacing w:after="0" w:line="253" w:lineRule="auto"/>
        <w:tabs>
          <w:tab w:leader="none" w:pos="973"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If full cumulative dividends for all past dividend periods on the Series D Preferred Stock and any series or class or classes of Dividend Parity Stock of the Corporation have not been paid or declared and set apart for payment, except as otherwise permitted under the Charter, the Series D Preferred Stock may not be redeemed in part and the Corporation may not purchase, redeem or otherwise acquire Series D Preferred Stock or any capital stock of the Corporation ranking on a parity with the Series D Preferred Stock as to payment of dividends or as to the distribution of assets upon liquidation, dissolution or winding up, other than in exchange for Junior Shares.</w:t>
      </w:r>
    </w:p>
    <w:p>
      <w:pPr>
        <w:spacing w:after="0" w:line="69" w:lineRule="exact"/>
        <w:rPr>
          <w:rFonts w:ascii="Arial" w:cs="Arial" w:eastAsia="Arial" w:hAnsi="Arial"/>
          <w:sz w:val="14"/>
          <w:szCs w:val="14"/>
          <w:color w:val="auto"/>
        </w:rPr>
      </w:pPr>
    </w:p>
    <w:p>
      <w:pPr>
        <w:ind w:firstLine="677"/>
        <w:spacing w:after="0" w:line="268" w:lineRule="auto"/>
        <w:tabs>
          <w:tab w:leader="none" w:pos="958" w:val="left"/>
        </w:tabs>
        <w:numPr>
          <w:ilvl w:val="0"/>
          <w:numId w:val="178"/>
        </w:numPr>
        <w:rPr>
          <w:rFonts w:ascii="Arial" w:cs="Arial" w:eastAsia="Arial" w:hAnsi="Arial"/>
          <w:sz w:val="13"/>
          <w:szCs w:val="13"/>
          <w:color w:val="auto"/>
        </w:rPr>
      </w:pPr>
      <w:r>
        <w:rPr>
          <w:rFonts w:ascii="Arial" w:cs="Arial" w:eastAsia="Arial" w:hAnsi="Arial"/>
          <w:sz w:val="13"/>
          <w:szCs w:val="13"/>
          <w:color w:val="auto"/>
        </w:rPr>
        <w:t>Notice having been mailed as aforesaid, from and after the Redemption Date (unless the Corporation shall fail to make available the amount of cash necessary to effect such redemption), (i) except as otherwise provided herein, dividends on the shares of Series D Preferred Stock so called for redemption shall cease to accrue, (ii) said shares shall no longer be deemed to be outstanding, and (iii) all rights of the holders thereof as holders of Series D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D Preferred Stock so called for redemption. No interest shall accrue for the benefit of the holder of Series D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178" w:lineRule="exact"/>
        <w:rPr>
          <w:sz w:val="20"/>
          <w:szCs w:val="20"/>
          <w:color w:val="auto"/>
        </w:rPr>
      </w:pPr>
    </w:p>
    <w:p>
      <w:pPr>
        <w:ind w:right="320" w:firstLine="677"/>
        <w:spacing w:after="0" w:line="253" w:lineRule="auto"/>
        <w:rPr>
          <w:sz w:val="20"/>
          <w:szCs w:val="20"/>
          <w:color w:val="auto"/>
        </w:rPr>
      </w:pPr>
      <w:r>
        <w:rPr>
          <w:rFonts w:ascii="Arial" w:cs="Arial" w:eastAsia="Arial" w:hAnsi="Arial"/>
          <w:sz w:val="14"/>
          <w:szCs w:val="14"/>
          <w:color w:val="auto"/>
        </w:rPr>
        <w:t>As promptly as practicable after the surrender in accordance with said notice of the certificates for any such shares of Series D Preferred Stock so redeemed (properly endorsed or assigned for transfer, if the Corporation shall so require and if the notice shall so state), such shares of Series D Preferred Stock shall be exchanged for the cash (without interest thereon) for which such shares of Series D Preferred Stock have been redeemed. If fewer than all of the outstanding shares of Series D Preferred Stock are to be redeemed, the shares of Series D Preferred Stock to be redeemed shall be selected by the Corporation from the outstanding shares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D-9</w:t>
      </w:r>
    </w:p>
    <w:p>
      <w:pPr>
        <w:sectPr>
          <w:pgSz w:w="11900" w:h="16838" w:orient="portrait"/>
          <w:cols w:equalWidth="0" w:num="1">
            <w:col w:w="11040"/>
          </w:cols>
          <w:pgMar w:left="400" w:top="821" w:right="459" w:bottom="1440" w:gutter="0" w:footer="0" w:header="0"/>
        </w:sectPr>
      </w:pPr>
    </w:p>
    <w:bookmarkStart w:id="278" w:name="page279"/>
    <w:bookmarkEnd w:id="278"/>
    <w:p>
      <w:pPr>
        <w:ind w:right="40"/>
        <w:spacing w:after="0" w:line="257" w:lineRule="auto"/>
        <w:rPr>
          <w:sz w:val="20"/>
          <w:szCs w:val="20"/>
          <w:color w:val="auto"/>
        </w:rPr>
      </w:pPr>
      <w:r>
        <w:rPr>
          <w:rFonts w:ascii="Arial" w:cs="Arial" w:eastAsia="Arial" w:hAnsi="Arial"/>
          <w:sz w:val="14"/>
          <w:szCs w:val="14"/>
          <w:color w:val="auto"/>
        </w:rPr>
        <w:t>of Series D Preferred Stock not previously called for redemption by lot or pro rata (as nearly as may be) or by any other method determined by the Corporation in its sole discretion to be equitable. If fewer than all the shares of Series D Preferred Stock represented by any certificate are redeemed, then new certificates representing the unredeemed shares of Series D Preferred Stock shall be issued without cost to the holder thereof.</w:t>
      </w:r>
    </w:p>
    <w:p>
      <w:pPr>
        <w:spacing w:after="0" w:line="184" w:lineRule="exact"/>
        <w:rPr>
          <w:sz w:val="20"/>
          <w:szCs w:val="20"/>
          <w:color w:val="auto"/>
        </w:rPr>
      </w:pPr>
    </w:p>
    <w:p>
      <w:pPr>
        <w:ind w:right="20" w:firstLine="677"/>
        <w:spacing w:after="0" w:line="270"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Reacquired Shares to Be Retired</w:t>
      </w:r>
      <w:r>
        <w:rPr>
          <w:rFonts w:ascii="Arial" w:cs="Arial" w:eastAsia="Arial" w:hAnsi="Arial"/>
          <w:sz w:val="14"/>
          <w:szCs w:val="14"/>
          <w:color w:val="auto"/>
        </w:rPr>
        <w:t>. All shares of Series D Preferred Stock that have been issued and reacquired in any manner by the Corporation shall be restored to the status of authorized but unissued shares of Preferred Stock, without designation as to series.</w:t>
      </w:r>
    </w:p>
    <w:p>
      <w:pPr>
        <w:spacing w:after="0" w:line="187" w:lineRule="exact"/>
        <w:rPr>
          <w:sz w:val="20"/>
          <w:szCs w:val="20"/>
          <w:color w:val="auto"/>
        </w:rPr>
      </w:pPr>
    </w:p>
    <w:p>
      <w:pPr>
        <w:ind w:right="300" w:firstLine="677"/>
        <w:spacing w:after="0" w:line="270"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Conversion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Except as provided in this Section 7, the Series D Preferred Stock are not convertible into or exchangeable for any other property or securities of the Corporation at the option of any holder of Series D Preferred Stock.</w:t>
      </w:r>
    </w:p>
    <w:p>
      <w:pPr>
        <w:spacing w:after="0" w:line="47" w:lineRule="exact"/>
        <w:rPr>
          <w:sz w:val="20"/>
          <w:szCs w:val="20"/>
          <w:color w:val="auto"/>
        </w:rPr>
      </w:pPr>
    </w:p>
    <w:p>
      <w:pPr>
        <w:ind w:firstLine="677"/>
        <w:spacing w:after="0" w:line="269" w:lineRule="auto"/>
        <w:tabs>
          <w:tab w:leader="none" w:pos="973" w:val="left"/>
        </w:tabs>
        <w:numPr>
          <w:ilvl w:val="0"/>
          <w:numId w:val="179"/>
        </w:numPr>
        <w:rPr>
          <w:rFonts w:ascii="Arial" w:cs="Arial" w:eastAsia="Arial" w:hAnsi="Arial"/>
          <w:sz w:val="13"/>
          <w:szCs w:val="13"/>
          <w:color w:val="auto"/>
        </w:rPr>
      </w:pPr>
      <w:r>
        <w:rPr>
          <w:rFonts w:ascii="Arial" w:cs="Arial" w:eastAsia="Arial" w:hAnsi="Arial"/>
          <w:sz w:val="13"/>
          <w:szCs w:val="13"/>
          <w:color w:val="auto"/>
        </w:rPr>
        <w:t>Upon the occurrence of a Change of Control, each holder of Series D Preferred Stock shall have the right (unless, prior to the Change of Control Conversion Date, the Corporation has provided notice of its election to redeem some or all of the shares of Series D Preferred Stock held by such holder pursuant to Section 5, in which case such holder will have the right only with respect to shares of Series D Preferred Stock that are not called for redemption) to convert each of the Series D Preferred Stock held by such holder (the “</w:t>
      </w:r>
      <w:r>
        <w:rPr>
          <w:rFonts w:ascii="Arial" w:cs="Arial" w:eastAsia="Arial" w:hAnsi="Arial"/>
          <w:sz w:val="13"/>
          <w:szCs w:val="13"/>
          <w:b w:val="1"/>
          <w:bCs w:val="1"/>
          <w:color w:val="auto"/>
        </w:rPr>
        <w:t>Change of Control Conversion Right</w:t>
      </w:r>
      <w:r>
        <w:rPr>
          <w:rFonts w:ascii="Arial" w:cs="Arial" w:eastAsia="Arial" w:hAnsi="Arial"/>
          <w:sz w:val="13"/>
          <w:szCs w:val="13"/>
          <w:color w:val="auto"/>
        </w:rPr>
        <w:t>”) on the Change of Control Conversion Date into a number of shares of Class A Common Stock (the “</w:t>
      </w:r>
      <w:r>
        <w:rPr>
          <w:rFonts w:ascii="Arial" w:cs="Arial" w:eastAsia="Arial" w:hAnsi="Arial"/>
          <w:sz w:val="13"/>
          <w:szCs w:val="13"/>
          <w:b w:val="1"/>
          <w:bCs w:val="1"/>
          <w:color w:val="auto"/>
        </w:rPr>
        <w:t>Common Stock Conversion Consideration</w:t>
      </w:r>
      <w:r>
        <w:rPr>
          <w:rFonts w:ascii="Arial" w:cs="Arial" w:eastAsia="Arial" w:hAnsi="Arial"/>
          <w:sz w:val="13"/>
          <w:szCs w:val="13"/>
          <w:color w:val="auto"/>
        </w:rPr>
        <w:t>”) equal to the lesser of: (i) the quotient obtained by dividing (x) the sum of the Liquidation Preference per share of Series D Preferred Stock plus the amount of any accrued and unpaid dividends thereon to, but not including, the Change of Control Conversion Date (unless the Change of Control Conversion Date is after a Dividend Payment Record Date and prior to the corresponding Dividend Payment Date for the Series D Preferred Stock, in which case no additional amount for such accrued and unpaid dividends shall be included in this sum) by (y) the Common Stock Price (as defined below) (such quotient, the “</w:t>
      </w:r>
      <w:r>
        <w:rPr>
          <w:rFonts w:ascii="Arial" w:cs="Arial" w:eastAsia="Arial" w:hAnsi="Arial"/>
          <w:sz w:val="13"/>
          <w:szCs w:val="13"/>
          <w:b w:val="1"/>
          <w:bCs w:val="1"/>
          <w:color w:val="auto"/>
        </w:rPr>
        <w:t>Conversion Rate</w:t>
      </w:r>
      <w:r>
        <w:rPr>
          <w:rFonts w:ascii="Arial" w:cs="Arial" w:eastAsia="Arial" w:hAnsi="Arial"/>
          <w:sz w:val="13"/>
          <w:szCs w:val="13"/>
          <w:color w:val="auto"/>
        </w:rPr>
        <w:t xml:space="preserve">”); and (ii) 5.8241 (the </w:t>
      </w:r>
      <w:r>
        <w:rPr>
          <w:rFonts w:ascii="Arial" w:cs="Arial" w:eastAsia="Arial" w:hAnsi="Arial"/>
          <w:sz w:val="13"/>
          <w:szCs w:val="13"/>
          <w:b w:val="1"/>
          <w:bCs w:val="1"/>
          <w:color w:val="auto"/>
        </w:rPr>
        <w:t>“Share Cap”</w:t>
      </w:r>
      <w:r>
        <w:rPr>
          <w:rFonts w:ascii="Arial" w:cs="Arial" w:eastAsia="Arial" w:hAnsi="Arial"/>
          <w:sz w:val="13"/>
          <w:szCs w:val="13"/>
          <w:color w:val="auto"/>
        </w:rPr>
        <w:t>), subject to adjustments provided in Section 7(b) below.</w:t>
      </w:r>
    </w:p>
    <w:p>
      <w:pPr>
        <w:spacing w:after="0" w:line="51" w:lineRule="exact"/>
        <w:rPr>
          <w:rFonts w:ascii="Arial" w:cs="Arial" w:eastAsia="Arial" w:hAnsi="Arial"/>
          <w:sz w:val="13"/>
          <w:szCs w:val="13"/>
          <w:color w:val="auto"/>
        </w:rPr>
      </w:pPr>
    </w:p>
    <w:p>
      <w:pPr>
        <w:ind w:right="120" w:firstLine="677"/>
        <w:spacing w:after="0" w:line="247" w:lineRule="auto"/>
        <w:tabs>
          <w:tab w:leader="none" w:pos="979"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Share Cap is subject to pro rata adjustments for any share splits (including those effected pursuant to a distribution of Class A Common Stock to existing holders of Class A Common Stock), subdivisions or combinations (in each case, a “</w:t>
      </w:r>
      <w:r>
        <w:rPr>
          <w:rFonts w:ascii="Arial" w:cs="Arial" w:eastAsia="Arial" w:hAnsi="Arial"/>
          <w:sz w:val="14"/>
          <w:szCs w:val="14"/>
          <w:b w:val="1"/>
          <w:bCs w:val="1"/>
          <w:color w:val="auto"/>
        </w:rPr>
        <w:t>Share Split</w:t>
      </w:r>
      <w:r>
        <w:rPr>
          <w:rFonts w:ascii="Arial" w:cs="Arial" w:eastAsia="Arial" w:hAnsi="Arial"/>
          <w:sz w:val="14"/>
          <w:szCs w:val="14"/>
          <w:color w:val="auto"/>
        </w:rPr>
        <w:t>”) with respect to Class A Common Stock as follows: the adjusted Share Cap as the result of a Share Split will be the number of shares of Class A Common Stock that is equivalent to the product obtained by multiplying (i) the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 For the avoidance of doubt, subject to the immediately succeeding sentence, the aggregate number of shares of Class A Common Stock (or equivalent Alternative</w:t>
      </w:r>
    </w:p>
    <w:p>
      <w:pPr>
        <w:ind w:right="100"/>
        <w:spacing w:after="0" w:line="253" w:lineRule="auto"/>
        <w:rPr>
          <w:rFonts w:ascii="Arial" w:cs="Arial" w:eastAsia="Arial" w:hAnsi="Arial"/>
          <w:sz w:val="14"/>
          <w:szCs w:val="14"/>
          <w:color w:val="auto"/>
        </w:rPr>
      </w:pPr>
      <w:r>
        <w:rPr>
          <w:rFonts w:ascii="Arial" w:cs="Arial" w:eastAsia="Arial" w:hAnsi="Arial"/>
          <w:sz w:val="14"/>
          <w:szCs w:val="14"/>
          <w:color w:val="auto"/>
        </w:rPr>
        <w:t>Conversion Consideration (as defined below), as applicable) issuable or deliverable, as applicable, in connection with the exercise of the Change of Control Conversion Right shall not exceed the product of the Share</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D-10</w:t>
      </w:r>
    </w:p>
    <w:p>
      <w:pPr>
        <w:sectPr>
          <w:pgSz w:w="11900" w:h="16838" w:orient="portrait"/>
          <w:cols w:equalWidth="0" w:num="1">
            <w:col w:w="11020"/>
          </w:cols>
          <w:pgMar w:left="400" w:top="903" w:right="479" w:bottom="1440" w:gutter="0" w:footer="0" w:header="0"/>
        </w:sectPr>
      </w:pPr>
    </w:p>
    <w:bookmarkStart w:id="279" w:name="page280"/>
    <w:bookmarkEnd w:id="279"/>
    <w:p>
      <w:pPr>
        <w:spacing w:after="0" w:line="295" w:lineRule="auto"/>
        <w:rPr>
          <w:sz w:val="20"/>
          <w:szCs w:val="20"/>
          <w:color w:val="auto"/>
        </w:rPr>
      </w:pPr>
      <w:r>
        <w:rPr>
          <w:rFonts w:ascii="Arial" w:cs="Arial" w:eastAsia="Arial" w:hAnsi="Arial"/>
          <w:sz w:val="12"/>
          <w:szCs w:val="12"/>
          <w:color w:val="auto"/>
        </w:rPr>
        <w:t>Cap times the aggregate number of shares of the Series D Preferred Stock issued and outstanding at the Change of Control Conversion Date (or equivalent Alternative Conversion Consideration, as applicable) (the “</w:t>
      </w:r>
      <w:r>
        <w:rPr>
          <w:rFonts w:ascii="Arial" w:cs="Arial" w:eastAsia="Arial" w:hAnsi="Arial"/>
          <w:sz w:val="12"/>
          <w:szCs w:val="12"/>
          <w:b w:val="1"/>
          <w:bCs w:val="1"/>
          <w:color w:val="auto"/>
        </w:rPr>
        <w:t>Exchange Cap</w:t>
      </w:r>
      <w:r>
        <w:rPr>
          <w:rFonts w:ascii="Arial" w:cs="Arial" w:eastAsia="Arial" w:hAnsi="Arial"/>
          <w:sz w:val="12"/>
          <w:szCs w:val="12"/>
          <w:color w:val="auto"/>
        </w:rPr>
        <w:t>”). The Exchange Cap is subject to pro rata adjustments for any Share Splits on the same basis as the corresponding adjustment to the Share Cap.</w:t>
      </w:r>
    </w:p>
    <w:p>
      <w:pPr>
        <w:ind w:right="360" w:firstLine="677"/>
        <w:spacing w:after="0" w:line="262" w:lineRule="auto"/>
        <w:tabs>
          <w:tab w:leader="none" w:pos="97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Change of Control Conversion Date</w:t>
      </w:r>
      <w:r>
        <w:rPr>
          <w:rFonts w:ascii="Arial" w:cs="Arial" w:eastAsia="Arial" w:hAnsi="Arial"/>
          <w:sz w:val="13"/>
          <w:szCs w:val="13"/>
          <w:color w:val="auto"/>
        </w:rPr>
        <w:t>” is the date the Series D Preferred Stock is to be converted, which shall be a Business Day selected by the Corporation that is no fewer than 20 days nor more than 35 days after the date on which it provides the notice described in Section 7(h) to the holders of Series D Preferred Stock.</w:t>
      </w:r>
    </w:p>
    <w:p>
      <w:pPr>
        <w:spacing w:after="0" w:line="1" w:lineRule="exact"/>
        <w:rPr>
          <w:rFonts w:ascii="Arial" w:cs="Arial" w:eastAsia="Arial" w:hAnsi="Arial"/>
          <w:sz w:val="13"/>
          <w:szCs w:val="13"/>
          <w:color w:val="auto"/>
        </w:rPr>
      </w:pPr>
    </w:p>
    <w:p>
      <w:pPr>
        <w:ind w:right="200" w:firstLine="677"/>
        <w:spacing w:after="0" w:line="267" w:lineRule="auto"/>
        <w:tabs>
          <w:tab w:leader="none" w:pos="979"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Common Stock Price</w:t>
      </w:r>
      <w:r>
        <w:rPr>
          <w:rFonts w:ascii="Arial" w:cs="Arial" w:eastAsia="Arial" w:hAnsi="Arial"/>
          <w:sz w:val="13"/>
          <w:szCs w:val="13"/>
          <w:color w:val="auto"/>
        </w:rPr>
        <w:t>” is (i) if the consideration to be received in the Change of Control by the holders of Class A Common Stock is solely cash, the amount of cash consideration per share of Class A Common Stock or (ii) if the consideration to be received in the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Class A Common Stock is then traded, or (y) the average of the last quoted bid prices for Class A Common Stock in the over-the-counter market as reported by Pink OTC Markets Inc. or similar organization for the ten consecutive trading days immediately preceding, but not including, the date on which such Change of Control occurred, if Class A Common Stock is not then listed for trading on a U.S. securities exchange.</w:t>
      </w:r>
    </w:p>
    <w:p>
      <w:pPr>
        <w:spacing w:after="0" w:line="51" w:lineRule="exact"/>
        <w:rPr>
          <w:rFonts w:ascii="Arial" w:cs="Arial" w:eastAsia="Arial" w:hAnsi="Arial"/>
          <w:sz w:val="13"/>
          <w:szCs w:val="13"/>
          <w:color w:val="auto"/>
        </w:rPr>
      </w:pPr>
    </w:p>
    <w:p>
      <w:pPr>
        <w:jc w:val="both"/>
        <w:ind w:right="180" w:firstLine="677"/>
        <w:spacing w:after="0" w:line="274" w:lineRule="auto"/>
        <w:tabs>
          <w:tab w:leader="none" w:pos="973" w:val="left"/>
        </w:tabs>
        <w:numPr>
          <w:ilvl w:val="0"/>
          <w:numId w:val="180"/>
        </w:numPr>
        <w:rPr>
          <w:rFonts w:ascii="Arial" w:cs="Arial" w:eastAsia="Arial" w:hAnsi="Arial"/>
          <w:sz w:val="13"/>
          <w:szCs w:val="13"/>
          <w:color w:val="auto"/>
        </w:rPr>
      </w:pPr>
      <w:r>
        <w:rPr>
          <w:rFonts w:ascii="Arial" w:cs="Arial" w:eastAsia="Arial" w:hAnsi="Arial"/>
          <w:sz w:val="13"/>
          <w:szCs w:val="13"/>
          <w:color w:val="auto"/>
        </w:rPr>
        <w:t>In the case of a Change of Control pursuant to which Class A Common Stock is or will be converted into cash, securities or other property or assets (including any combination thereof) (the “</w:t>
      </w:r>
      <w:r>
        <w:rPr>
          <w:rFonts w:ascii="Arial" w:cs="Arial" w:eastAsia="Arial" w:hAnsi="Arial"/>
          <w:sz w:val="13"/>
          <w:szCs w:val="13"/>
          <w:b w:val="1"/>
          <w:bCs w:val="1"/>
          <w:color w:val="auto"/>
        </w:rPr>
        <w:t>Alternative Form Consideration</w:t>
      </w:r>
      <w:r>
        <w:rPr>
          <w:rFonts w:ascii="Arial" w:cs="Arial" w:eastAsia="Arial" w:hAnsi="Arial"/>
          <w:sz w:val="13"/>
          <w:szCs w:val="13"/>
          <w:color w:val="auto"/>
        </w:rPr>
        <w:t>”), a holder of Series D Preferred Stock shall receive upon conversion of such Series D Preferred Stock the kind and amount of Alternative Form Consideration which such holder would have owned or been entitled to receive upon the Change of Control had such holder held a number of shares of Class A Common Stock equal to the Common Stock Conversion Consideration immediately prior to the effective time of the Change of Control (the “</w:t>
      </w:r>
      <w:r>
        <w:rPr>
          <w:rFonts w:ascii="Arial" w:cs="Arial" w:eastAsia="Arial" w:hAnsi="Arial"/>
          <w:sz w:val="13"/>
          <w:szCs w:val="13"/>
          <w:b w:val="1"/>
          <w:bCs w:val="1"/>
          <w:color w:val="auto"/>
        </w:rPr>
        <w:t>Alternative Conversion Consideration</w:t>
      </w:r>
      <w:r>
        <w:rPr>
          <w:rFonts w:ascii="Arial" w:cs="Arial" w:eastAsia="Arial" w:hAnsi="Arial"/>
          <w:sz w:val="13"/>
          <w:szCs w:val="13"/>
          <w:color w:val="auto"/>
        </w:rPr>
        <w:t>”; the Common Stock Conversion Consideration or the Alternative Conversion Consideration, whichever shall be applicable to a Change of Control, is referred to as the “</w:t>
      </w:r>
      <w:r>
        <w:rPr>
          <w:rFonts w:ascii="Arial" w:cs="Arial" w:eastAsia="Arial" w:hAnsi="Arial"/>
          <w:sz w:val="13"/>
          <w:szCs w:val="13"/>
          <w:b w:val="1"/>
          <w:bCs w:val="1"/>
          <w:color w:val="auto"/>
        </w:rPr>
        <w:t>Conversion Consideration</w:t>
      </w:r>
      <w:r>
        <w:rPr>
          <w:rFonts w:ascii="Arial" w:cs="Arial" w:eastAsia="Arial" w:hAnsi="Arial"/>
          <w:sz w:val="13"/>
          <w:szCs w:val="13"/>
          <w:color w:val="auto"/>
        </w:rPr>
        <w:t>”).</w:t>
      </w:r>
    </w:p>
    <w:p>
      <w:pPr>
        <w:spacing w:after="0" w:line="47" w:lineRule="exact"/>
        <w:rPr>
          <w:rFonts w:ascii="Arial" w:cs="Arial" w:eastAsia="Arial" w:hAnsi="Arial"/>
          <w:sz w:val="13"/>
          <w:szCs w:val="13"/>
          <w:color w:val="auto"/>
        </w:rPr>
      </w:pPr>
    </w:p>
    <w:p>
      <w:pPr>
        <w:jc w:val="both"/>
        <w:ind w:right="80" w:firstLine="677"/>
        <w:spacing w:after="0" w:line="274" w:lineRule="auto"/>
        <w:tabs>
          <w:tab w:leader="none" w:pos="958" w:val="left"/>
        </w:tabs>
        <w:numPr>
          <w:ilvl w:val="0"/>
          <w:numId w:val="180"/>
        </w:numPr>
        <w:rPr>
          <w:rFonts w:ascii="Arial" w:cs="Arial" w:eastAsia="Arial" w:hAnsi="Arial"/>
          <w:sz w:val="13"/>
          <w:szCs w:val="13"/>
          <w:color w:val="auto"/>
        </w:rPr>
      </w:pPr>
      <w:r>
        <w:rPr>
          <w:rFonts w:ascii="Arial" w:cs="Arial" w:eastAsia="Arial" w:hAnsi="Arial"/>
          <w:sz w:val="13"/>
          <w:szCs w:val="13"/>
          <w:color w:val="auto"/>
        </w:rPr>
        <w:t>If the holders of Class A Common Stock have the opportunity to elect the form of consideration to be received in the Change of Control, the Conversion Consideration in respect of such Change of Control shall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shall be subject to any limitations to which all holders of Class A Common Stock are subject, including, without limitation, pro rata reductions applicable to any portion of the consideration payable in such Change of Control.</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D-11</w:t>
      </w:r>
    </w:p>
    <w:p>
      <w:pPr>
        <w:sectPr>
          <w:pgSz w:w="11900" w:h="16838" w:orient="portrait"/>
          <w:cols w:equalWidth="0" w:num="1">
            <w:col w:w="11040"/>
          </w:cols>
          <w:pgMar w:left="400" w:top="903" w:right="459" w:bottom="1440" w:gutter="0" w:footer="0" w:header="0"/>
        </w:sectPr>
      </w:pPr>
    </w:p>
    <w:bookmarkStart w:id="280" w:name="page281"/>
    <w:bookmarkEnd w:id="280"/>
    <w:p>
      <w:pPr>
        <w:ind w:left="1" w:right="60" w:firstLine="677"/>
        <w:spacing w:after="0" w:line="295" w:lineRule="auto"/>
        <w:tabs>
          <w:tab w:leader="none" w:pos="982" w:val="left"/>
        </w:tabs>
        <w:numPr>
          <w:ilvl w:val="1"/>
          <w:numId w:val="181"/>
        </w:numPr>
        <w:rPr>
          <w:rFonts w:ascii="Arial" w:cs="Arial" w:eastAsia="Arial" w:hAnsi="Arial"/>
          <w:sz w:val="12"/>
          <w:szCs w:val="12"/>
          <w:color w:val="auto"/>
        </w:rPr>
      </w:pPr>
      <w:r>
        <w:rPr>
          <w:rFonts w:ascii="Arial" w:cs="Arial" w:eastAsia="Arial" w:hAnsi="Arial"/>
          <w:sz w:val="12"/>
          <w:szCs w:val="12"/>
          <w:color w:val="auto"/>
        </w:rPr>
        <w:t>No fractional shares of Class A Common Stock shall be issued upon the conversion of the Series D Preferred Stock in connection with a Change of Control. Instead, holders shall be entitled to receive the cash value of such fractional shares based upon the Common Stock Price used in determining the Common Stock Conversion Consideration for such Change of Control.</w:t>
      </w:r>
    </w:p>
    <w:p>
      <w:pPr>
        <w:ind w:left="1" w:right="40" w:firstLine="677"/>
        <w:spacing w:after="0" w:line="244" w:lineRule="auto"/>
        <w:tabs>
          <w:tab w:leader="none" w:pos="98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Within 15 days following the occurrence of a Change of Control, provided that the Corporation has not then exercised its right to redeem all shares of Series D Preferred Stock pursuant to Section 5, the Corporation shall provide to holders of Series D Preferred Stock a notice of occurrence of the Change of Control that describes the resulting Change of Control Conversion Right, which notice shall be delivered to the holders of record of the shares of the Series D Preferred Stock in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w:t>
      </w:r>
    </w:p>
    <w:p>
      <w:pPr>
        <w:ind w:left="1" w:hanging="1"/>
        <w:spacing w:after="0" w:line="267" w:lineRule="auto"/>
        <w:tabs>
          <w:tab w:leader="none" w:pos="305"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for conversion through the facilities of a Depositary (as defined below)), including the form of conversion notice to be delivered by such holders as described below; and (x) the last date on which holders of Series D Preferred Stock may withdraw shares surrendered for conversion and the procedures that such holders must follow to effect such a withdrawal.</w:t>
      </w:r>
    </w:p>
    <w:p>
      <w:pPr>
        <w:spacing w:after="0" w:line="51" w:lineRule="exact"/>
        <w:rPr>
          <w:rFonts w:ascii="Arial" w:cs="Arial" w:eastAsia="Arial" w:hAnsi="Arial"/>
          <w:sz w:val="13"/>
          <w:szCs w:val="13"/>
          <w:color w:val="auto"/>
        </w:rPr>
      </w:pPr>
    </w:p>
    <w:p>
      <w:pPr>
        <w:ind w:left="1" w:right="80" w:firstLine="677"/>
        <w:spacing w:after="0" w:line="253" w:lineRule="auto"/>
        <w:tabs>
          <w:tab w:leader="none" w:pos="948" w:val="left"/>
        </w:tabs>
        <w:numPr>
          <w:ilvl w:val="1"/>
          <w:numId w:val="182"/>
        </w:numPr>
        <w:rPr>
          <w:rFonts w:ascii="Arial" w:cs="Arial" w:eastAsia="Arial" w:hAnsi="Arial"/>
          <w:sz w:val="14"/>
          <w:szCs w:val="14"/>
          <w:color w:val="auto"/>
        </w:rPr>
      </w:pPr>
      <w:r>
        <w:rPr>
          <w:rFonts w:ascii="Arial" w:cs="Arial" w:eastAsia="Arial" w:hAnsi="Arial"/>
          <w:sz w:val="14"/>
          <w:szCs w:val="14"/>
          <w:color w:val="auto"/>
        </w:rPr>
        <w:t>The Corporation shall also issue a press release containing such notice provided for in Section 7(h)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in any event prior to the opening of business on the first Business Day following any date on which it provides the notice provided for in Section 7(h) to the holders of Series D Preferred Stock.</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D-12</w:t>
      </w:r>
    </w:p>
    <w:p>
      <w:pPr>
        <w:sectPr>
          <w:pgSz w:w="11900" w:h="16838" w:orient="portrait"/>
          <w:cols w:equalWidth="0" w:num="1">
            <w:col w:w="11041"/>
          </w:cols>
          <w:pgMar w:left="399" w:top="821" w:right="459" w:bottom="1440" w:gutter="0" w:footer="0" w:header="0"/>
        </w:sectPr>
      </w:pPr>
    </w:p>
    <w:bookmarkStart w:id="281" w:name="page282"/>
    <w:bookmarkEnd w:id="281"/>
    <w:p>
      <w:pPr>
        <w:ind w:left="-80" w:right="20" w:firstLine="677"/>
        <w:spacing w:after="0" w:line="249" w:lineRule="auto"/>
        <w:tabs>
          <w:tab w:leader="none" w:pos="868"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To exercise the Change of Control Conversion Right, the holders of Series D Preferred Stock shall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to deliver, on or before the close of business on the Change of Control Conversion Date, the shares of Series D Preferred Stock to be converted through the facilities of such Depositary),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Series D Preferred Stock is to be converted pursuant to the applicable provisions of the Series D Preferred Stock.</w:t>
      </w:r>
    </w:p>
    <w:p>
      <w:pPr>
        <w:spacing w:after="0" w:line="61" w:lineRule="exact"/>
        <w:rPr>
          <w:rFonts w:ascii="Arial" w:cs="Arial" w:eastAsia="Arial" w:hAnsi="Arial"/>
          <w:sz w:val="14"/>
          <w:szCs w:val="14"/>
          <w:color w:val="auto"/>
        </w:rPr>
      </w:pPr>
    </w:p>
    <w:p>
      <w:pPr>
        <w:ind w:left="-80" w:right="240" w:firstLine="677"/>
        <w:spacing w:after="0" w:line="308" w:lineRule="auto"/>
        <w:tabs>
          <w:tab w:leader="none" w:pos="901" w:val="left"/>
        </w:tabs>
        <w:numPr>
          <w:ilvl w:val="0"/>
          <w:numId w:val="183"/>
        </w:numPr>
        <w:rPr>
          <w:rFonts w:ascii="Arial" w:cs="Arial" w:eastAsia="Arial" w:hAnsi="Arial"/>
          <w:sz w:val="12"/>
          <w:szCs w:val="12"/>
          <w:color w:val="auto"/>
        </w:rPr>
      </w:pPr>
      <w:r>
        <w:rPr>
          <w:rFonts w:ascii="Arial" w:cs="Arial" w:eastAsia="Arial" w:hAnsi="Arial"/>
          <w:sz w:val="12"/>
          <w:szCs w:val="12"/>
          <w:color w:val="auto"/>
        </w:rPr>
        <w:t>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spacing w:after="0" w:line="28" w:lineRule="exact"/>
        <w:rPr>
          <w:rFonts w:ascii="Arial" w:cs="Arial" w:eastAsia="Arial" w:hAnsi="Arial"/>
          <w:sz w:val="12"/>
          <w:szCs w:val="12"/>
          <w:color w:val="auto"/>
        </w:rPr>
      </w:pPr>
    </w:p>
    <w:p>
      <w:pPr>
        <w:ind w:left="-80" w:right="180" w:firstLine="677"/>
        <w:spacing w:after="0" w:line="250" w:lineRule="auto"/>
        <w:tabs>
          <w:tab w:leader="none" w:pos="87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Sections 7(j) and (k), if any shares of Series D Preferred Stock are held in book-entry form through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or a similar depositary (each, a “</w:t>
      </w:r>
      <w:r>
        <w:rPr>
          <w:rFonts w:ascii="Arial" w:cs="Arial" w:eastAsia="Arial" w:hAnsi="Arial"/>
          <w:sz w:val="14"/>
          <w:szCs w:val="14"/>
          <w:b w:val="1"/>
          <w:bCs w:val="1"/>
          <w:color w:val="auto"/>
        </w:rPr>
        <w:t>Depositary</w:t>
      </w:r>
      <w:r>
        <w:rPr>
          <w:rFonts w:ascii="Arial" w:cs="Arial" w:eastAsia="Arial" w:hAnsi="Arial"/>
          <w:sz w:val="14"/>
          <w:szCs w:val="14"/>
          <w:color w:val="auto"/>
        </w:rPr>
        <w:t>”), the conversion notice and/or the notice of withdrawal, as applicable, must comply with applicable procedures, if any, of the applicable Depositary.</w:t>
      </w:r>
    </w:p>
    <w:p>
      <w:pPr>
        <w:ind w:left="-80" w:right="60" w:firstLine="677"/>
        <w:spacing w:after="0" w:line="294" w:lineRule="auto"/>
        <w:tabs>
          <w:tab w:leader="none" w:pos="94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Section 5,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shall not be so converted and the holders of such shares shall be entitled to receive on the applicable Redemption Date the Redemption Price as provided in Section 5.</w:t>
      </w:r>
    </w:p>
    <w:p>
      <w:pPr>
        <w:spacing w:after="0" w:line="37" w:lineRule="exact"/>
        <w:rPr>
          <w:rFonts w:ascii="Arial" w:cs="Arial" w:eastAsia="Arial" w:hAnsi="Arial"/>
          <w:sz w:val="12"/>
          <w:szCs w:val="12"/>
          <w:color w:val="auto"/>
        </w:rPr>
      </w:pPr>
    </w:p>
    <w:p>
      <w:pPr>
        <w:ind w:left="-80" w:firstLine="677"/>
        <w:spacing w:after="0" w:line="257" w:lineRule="auto"/>
        <w:tabs>
          <w:tab w:leader="none" w:pos="89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Corporation shall deliver all securities, cash and any other property owing upon conversion no later than the third Business Day following the Change of Control Conversion Date. Notwithstanding the foregoing, the persons entitled to receive any shares of Class A Common Stock or other securities delivered on conversion will be deemed to have become the holders of record thereof as of the Change of Control Conversion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D-13</w:t>
      </w:r>
    </w:p>
    <w:p>
      <w:pPr>
        <w:sectPr>
          <w:pgSz w:w="11900" w:h="16838" w:orient="portrait"/>
          <w:cols w:equalWidth="0" w:num="1">
            <w:col w:w="10920"/>
          </w:cols>
          <w:pgMar w:left="480" w:top="821" w:right="499" w:bottom="1440" w:gutter="0" w:footer="0" w:header="0"/>
        </w:sectPr>
      </w:pPr>
    </w:p>
    <w:bookmarkStart w:id="282" w:name="page283"/>
    <w:bookmarkEnd w:id="282"/>
    <w:p>
      <w:pPr>
        <w:ind w:right="60" w:firstLine="677"/>
        <w:spacing w:after="0" w:line="250" w:lineRule="auto"/>
        <w:tabs>
          <w:tab w:leader="none" w:pos="981" w:val="left"/>
        </w:tabs>
        <w:numPr>
          <w:ilvl w:val="0"/>
          <w:numId w:val="184"/>
        </w:numPr>
        <w:rPr>
          <w:rFonts w:ascii="Arial" w:cs="Arial" w:eastAsia="Arial" w:hAnsi="Arial"/>
          <w:sz w:val="14"/>
          <w:szCs w:val="14"/>
          <w:color w:val="auto"/>
        </w:rPr>
      </w:pPr>
      <w:r>
        <w:rPr>
          <w:rFonts w:ascii="Arial" w:cs="Arial" w:eastAsia="Arial" w:hAnsi="Arial"/>
          <w:sz w:val="14"/>
          <w:szCs w:val="14"/>
          <w:color w:val="auto"/>
        </w:rPr>
        <w:t>Notwithstanding any other provision of the Series D Preferred Stock, no holder of Series D Preferred Stock shall be entitled to convert such Series D Preferred Stock into shares of Class A Common Stock or the Alternative Conversion Consideration, as the case may be, to the extent that receipt of such Class A Common Stock or the Alternative Conversion Consideration would cause such holder (or any other person) to exceed the applicable share ownership limitations contained in the Charter or this Articles Supplementary or the governing document of the surviving entity, as the case may be, unless the Corporation provides an exemption from this limitation to such holder pursuant to the Charter and this Articles Supplementary or the governing document of the surviving entity.</w:t>
      </w:r>
    </w:p>
    <w:p>
      <w:pPr>
        <w:spacing w:after="0" w:line="61" w:lineRule="exact"/>
        <w:rPr>
          <w:rFonts w:ascii="Arial" w:cs="Arial" w:eastAsia="Arial" w:hAnsi="Arial"/>
          <w:sz w:val="14"/>
          <w:szCs w:val="14"/>
          <w:color w:val="auto"/>
        </w:rPr>
      </w:pPr>
    </w:p>
    <w:p>
      <w:pPr>
        <w:ind w:right="200" w:firstLine="677"/>
        <w:spacing w:after="0" w:line="250" w:lineRule="auto"/>
        <w:tabs>
          <w:tab w:leader="none" w:pos="981" w:val="left"/>
        </w:tabs>
        <w:numPr>
          <w:ilvl w:val="0"/>
          <w:numId w:val="184"/>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and except as otherwise required by law, the persons who are the holders of record of shares of Series D Preferred Stock at the close of business on a Dividend Payment Record Date shall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Section 7(p), the Corporation shall make no allowance for unpaid dividends that are not in arrears on the shares of Series D Preferred Stock to be converted.</w:t>
      </w:r>
    </w:p>
    <w:p>
      <w:pPr>
        <w:spacing w:after="0" w:line="202" w:lineRule="exact"/>
        <w:rPr>
          <w:sz w:val="20"/>
          <w:szCs w:val="20"/>
          <w:color w:val="auto"/>
        </w:rPr>
      </w:pPr>
    </w:p>
    <w:p>
      <w:pPr>
        <w:jc w:val="both"/>
        <w:ind w:firstLine="677"/>
        <w:spacing w:after="0" w:line="25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Permissible Distributions</w:t>
      </w:r>
      <w:r>
        <w:rPr>
          <w:rFonts w:ascii="Arial" w:cs="Arial" w:eastAsia="Arial" w:hAnsi="Arial"/>
          <w:sz w:val="14"/>
          <w:szCs w:val="14"/>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Rankin</w:t>
      </w:r>
      <w:r>
        <w:rPr>
          <w:rFonts w:ascii="Arial" w:cs="Arial" w:eastAsia="Arial" w:hAnsi="Arial"/>
          <w:sz w:val="14"/>
          <w:szCs w:val="14"/>
          <w:color w:val="auto"/>
        </w:rPr>
        <w:t>g. Any class or series of stock of the Corporation shall be deemed to rank:</w:t>
      </w:r>
    </w:p>
    <w:p>
      <w:pPr>
        <w:spacing w:after="0" w:line="85" w:lineRule="exact"/>
        <w:rPr>
          <w:sz w:val="20"/>
          <w:szCs w:val="20"/>
          <w:color w:val="auto"/>
        </w:rPr>
      </w:pPr>
    </w:p>
    <w:p>
      <w:pPr>
        <w:ind w:right="240" w:firstLine="677"/>
        <w:spacing w:after="0" w:line="257" w:lineRule="auto"/>
        <w:tabs>
          <w:tab w:leader="none" w:pos="973" w:val="left"/>
        </w:tabs>
        <w:numPr>
          <w:ilvl w:val="0"/>
          <w:numId w:val="185"/>
        </w:numPr>
        <w:rPr>
          <w:rFonts w:ascii="Arial" w:cs="Arial" w:eastAsia="Arial" w:hAnsi="Arial"/>
          <w:sz w:val="14"/>
          <w:szCs w:val="14"/>
          <w:color w:val="auto"/>
        </w:rPr>
      </w:pPr>
      <w:r>
        <w:rPr>
          <w:rFonts w:ascii="Arial" w:cs="Arial" w:eastAsia="Arial" w:hAnsi="Arial"/>
          <w:sz w:val="14"/>
          <w:szCs w:val="14"/>
          <w:color w:val="auto"/>
        </w:rPr>
        <w:t>prior to the Series D Preferred Stock, as to the payment of dividends or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D Preferred Stock;</w:t>
      </w:r>
    </w:p>
    <w:p>
      <w:pPr>
        <w:spacing w:after="0" w:line="55" w:lineRule="exact"/>
        <w:rPr>
          <w:rFonts w:ascii="Arial" w:cs="Arial" w:eastAsia="Arial" w:hAnsi="Arial"/>
          <w:sz w:val="14"/>
          <w:szCs w:val="14"/>
          <w:color w:val="auto"/>
        </w:rPr>
      </w:pPr>
    </w:p>
    <w:p>
      <w:pPr>
        <w:ind w:right="200" w:firstLine="677"/>
        <w:spacing w:after="0" w:line="278" w:lineRule="auto"/>
        <w:tabs>
          <w:tab w:leader="none" w:pos="981" w:val="left"/>
        </w:tabs>
        <w:numPr>
          <w:ilvl w:val="0"/>
          <w:numId w:val="185"/>
        </w:numPr>
        <w:rPr>
          <w:rFonts w:ascii="Arial" w:cs="Arial" w:eastAsia="Arial" w:hAnsi="Arial"/>
          <w:sz w:val="13"/>
          <w:szCs w:val="13"/>
          <w:color w:val="auto"/>
        </w:rPr>
      </w:pPr>
      <w:r>
        <w:rPr>
          <w:rFonts w:ascii="Arial" w:cs="Arial" w:eastAsia="Arial" w:hAnsi="Arial"/>
          <w:sz w:val="13"/>
          <w:szCs w:val="13"/>
          <w:color w:val="auto"/>
        </w:rPr>
        <w:t>on a parity with the Series D Preferred Stock, as to the payment of dividends or as to the distribution of assets upon liquidation, dissolution or winding up, whether or not the dividend rates, dividend payment dates or redemption or liquidation prices per share thereof be different from those of the Series D Preferred Stock, if the holders of such class or series and the Series D Preferred Stock shall be entitled to the receipt of dividends or of amounts distributable upon liquidation, dissolution or winding up, as the case may be, in proportion to their respective amounts of accrued and unpaid dividends per share or liquidation preferences, without preference or priority one over the other; and</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D-14</w:t>
      </w:r>
    </w:p>
    <w:p>
      <w:pPr>
        <w:sectPr>
          <w:pgSz w:w="11900" w:h="16838" w:orient="portrait"/>
          <w:cols w:equalWidth="0" w:num="1">
            <w:col w:w="11000"/>
          </w:cols>
          <w:pgMar w:left="400" w:top="821" w:right="499" w:bottom="1440" w:gutter="0" w:footer="0" w:header="0"/>
        </w:sectPr>
      </w:pPr>
    </w:p>
    <w:bookmarkStart w:id="283" w:name="page284"/>
    <w:bookmarkEnd w:id="283"/>
    <w:p>
      <w:pPr>
        <w:ind w:right="100" w:firstLine="677"/>
        <w:spacing w:after="0" w:line="286" w:lineRule="auto"/>
        <w:tabs>
          <w:tab w:leader="none" w:pos="973" w:val="left"/>
        </w:tabs>
        <w:numPr>
          <w:ilvl w:val="0"/>
          <w:numId w:val="186"/>
        </w:numPr>
        <w:rPr>
          <w:rFonts w:ascii="Arial" w:cs="Arial" w:eastAsia="Arial" w:hAnsi="Arial"/>
          <w:sz w:val="13"/>
          <w:szCs w:val="13"/>
          <w:color w:val="auto"/>
        </w:rPr>
      </w:pPr>
      <w:r>
        <w:rPr>
          <w:rFonts w:ascii="Arial" w:cs="Arial" w:eastAsia="Arial" w:hAnsi="Arial"/>
          <w:sz w:val="13"/>
          <w:szCs w:val="13"/>
          <w:color w:val="auto"/>
        </w:rPr>
        <w:t>junior to the Series D Preferred Stock, as to the payment of dividends or as to the distribution of assets upon liquidation, dissolution or winding up, if such class or series of stock shall be Common Stock or if the holders of Series D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D Preferred Stock (“</w:t>
      </w:r>
      <w:r>
        <w:rPr>
          <w:rFonts w:ascii="Arial" w:cs="Arial" w:eastAsia="Arial" w:hAnsi="Arial"/>
          <w:sz w:val="13"/>
          <w:szCs w:val="13"/>
          <w:b w:val="1"/>
          <w:bCs w:val="1"/>
          <w:color w:val="auto"/>
        </w:rPr>
        <w:t>Junior Shares</w:t>
      </w:r>
      <w:r>
        <w:rPr>
          <w:rFonts w:ascii="Arial" w:cs="Arial" w:eastAsia="Arial" w:hAnsi="Arial"/>
          <w:sz w:val="13"/>
          <w:szCs w:val="13"/>
          <w:color w:val="auto"/>
        </w:rPr>
        <w:t>”).</w:t>
      </w:r>
    </w:p>
    <w:p>
      <w:pPr>
        <w:spacing w:after="0" w:line="179" w:lineRule="exact"/>
        <w:rPr>
          <w:sz w:val="20"/>
          <w:szCs w:val="20"/>
          <w:color w:val="auto"/>
        </w:rPr>
      </w:pPr>
    </w:p>
    <w:p>
      <w:pPr>
        <w:ind w:right="160" w:firstLine="677"/>
        <w:spacing w:after="0" w:line="253" w:lineRule="auto"/>
        <w:rPr>
          <w:sz w:val="20"/>
          <w:szCs w:val="20"/>
          <w:color w:val="auto"/>
        </w:rPr>
      </w:pPr>
      <w:r>
        <w:rPr>
          <w:rFonts w:ascii="Arial" w:cs="Arial" w:eastAsia="Arial" w:hAnsi="Arial"/>
          <w:sz w:val="14"/>
          <w:szCs w:val="14"/>
          <w:color w:val="auto"/>
        </w:rPr>
        <w:t>As of the date hereof, 2,900,000 authorized shares of Series A Preferred Stock, 14,900,000 authorized shares of Series B Preferred Stock, 5,750,000 authorized shares of Series C Preferred Stock, 10,350,000 authorized shares of Series E Preferred Stock, 10,400,000 authorized shares of Series F Preferred Stock, 3,450,000 authorized shares of Series G Preferred Stock and 11,500,000 authorized shares of Series H Preferred Stock rank on a parity with the Series D Preferred Stock as to the payment of dividends and as to the distribution of assets upon liquidation, dissolution or winding up.</w:t>
      </w:r>
    </w:p>
    <w:p>
      <w:pPr>
        <w:spacing w:after="0" w:line="198" w:lineRule="exact"/>
        <w:rPr>
          <w:sz w:val="20"/>
          <w:szCs w:val="20"/>
          <w:color w:val="auto"/>
        </w:rPr>
      </w:pPr>
    </w:p>
    <w:p>
      <w:pPr>
        <w:ind w:firstLine="677"/>
        <w:spacing w:after="0" w:line="270"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Votin</w:t>
      </w:r>
      <w:r>
        <w:rPr>
          <w:rFonts w:ascii="Arial" w:cs="Arial" w:eastAsia="Arial" w:hAnsi="Arial"/>
          <w:sz w:val="14"/>
          <w:szCs w:val="14"/>
          <w:color w:val="auto"/>
        </w:rPr>
        <w:t>g. Except as otherwise set forth herein, the Series D Preferred Stock shall not have any relative, participating, optional or other voting rights or powers, and the consent of the holders thereof shall not be required for the taking of any corporate action.</w:t>
      </w:r>
    </w:p>
    <w:p>
      <w:pPr>
        <w:spacing w:after="0" w:line="176" w:lineRule="exact"/>
        <w:rPr>
          <w:sz w:val="20"/>
          <w:szCs w:val="20"/>
          <w:color w:val="auto"/>
        </w:rPr>
      </w:pPr>
    </w:p>
    <w:p>
      <w:pPr>
        <w:ind w:right="20" w:firstLine="677"/>
        <w:spacing w:after="0" w:line="267" w:lineRule="auto"/>
        <w:rPr>
          <w:sz w:val="20"/>
          <w:szCs w:val="20"/>
          <w:color w:val="auto"/>
        </w:rPr>
      </w:pPr>
      <w:r>
        <w:rPr>
          <w:rFonts w:ascii="Arial" w:cs="Arial" w:eastAsia="Arial" w:hAnsi="Arial"/>
          <w:sz w:val="13"/>
          <w:szCs w:val="13"/>
          <w:color w:val="auto"/>
        </w:rPr>
        <w:t>If and whenever six quarterly dividends (whether or not consecutive) payable on the Series D Preferred Stock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D Preferred Stock, together with the holders of shares of every series or class of Dividend Parity Stock having like voting rights (shares of any such series or class, including the Series A Preferred Stock, the Series B Preferred Stock, the Series C Preferred Stock, the Series E Preferred Stock, the Series F Preferred Stock, the Series G Preferred Stock and the Series H Preferred Stock, the “</w:t>
      </w:r>
      <w:r>
        <w:rPr>
          <w:rFonts w:ascii="Arial" w:cs="Arial" w:eastAsia="Arial" w:hAnsi="Arial"/>
          <w:sz w:val="13"/>
          <w:szCs w:val="13"/>
          <w:b w:val="1"/>
          <w:bCs w:val="1"/>
          <w:color w:val="auto"/>
        </w:rPr>
        <w:t>Voting Preferred Shares</w:t>
      </w:r>
      <w:r>
        <w:rPr>
          <w:rFonts w:ascii="Arial" w:cs="Arial" w:eastAsia="Arial" w:hAnsi="Arial"/>
          <w:sz w:val="13"/>
          <w:szCs w:val="13"/>
          <w:color w:val="auto"/>
        </w:rPr>
        <w:t>”), voting as a single class regardless of series, shall be entitled to elect two additional directors (the “</w:t>
      </w:r>
      <w:r>
        <w:rPr>
          <w:rFonts w:ascii="Arial" w:cs="Arial" w:eastAsia="Arial" w:hAnsi="Arial"/>
          <w:sz w:val="13"/>
          <w:szCs w:val="13"/>
          <w:b w:val="1"/>
          <w:bCs w:val="1"/>
          <w:color w:val="auto"/>
        </w:rPr>
        <w:t>Preferred Directors</w:t>
      </w:r>
      <w:r>
        <w:rPr>
          <w:rFonts w:ascii="Arial" w:cs="Arial" w:eastAsia="Arial" w:hAnsi="Arial"/>
          <w:sz w:val="13"/>
          <w:szCs w:val="13"/>
          <w:color w:val="auto"/>
        </w:rPr>
        <w:t>”) to serve on the Board of Directors at any annual meeting of stockholders or special meeting held in place thereof, or at a special meeting of the holders of Series D Preferred Stock and the Voting Preferred Shares called as hereinafter provided. For the avoidance of doubt, in the election of both Preferred Directors, any outstanding shares of Series D Preferred Stock, Series A Preferred Stock, Series B Preferred Stock, Series C Preferred Stock, Series E Preferred Stock, Series F Preferred Stock, Series G Preferred Stock, Series H Preferred Stock and other Voting Preferred Shares shall vote together as a class, and the affirmative vote of a plurality of the votes cast by holders of outstanding shares of Series D Preferred Stock, Series A Preferred Stock, Series B Preferred Stock, Series C Preferred Stock, Series E Preferred Stock, Series F Preferred Stock, Series G Preferred Stock, Series H Preferred Stock and other Voting Preferred Shares shall be required to elect a Preferred Director. Whenever all arrears in dividends on the</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D-15</w:t>
      </w:r>
    </w:p>
    <w:p>
      <w:pPr>
        <w:sectPr>
          <w:pgSz w:w="11900" w:h="16838" w:orient="portrait"/>
          <w:cols w:equalWidth="0" w:num="1">
            <w:col w:w="11040"/>
          </w:cols>
          <w:pgMar w:left="400" w:top="821" w:right="459" w:bottom="1440" w:gutter="0" w:footer="0" w:header="0"/>
        </w:sectPr>
      </w:pPr>
    </w:p>
    <w:bookmarkStart w:id="284" w:name="page285"/>
    <w:bookmarkEnd w:id="284"/>
    <w:p>
      <w:pPr>
        <w:spacing w:after="0" w:line="266" w:lineRule="auto"/>
        <w:rPr>
          <w:sz w:val="20"/>
          <w:szCs w:val="20"/>
          <w:color w:val="auto"/>
        </w:rPr>
      </w:pPr>
      <w:r>
        <w:rPr>
          <w:rFonts w:ascii="Arial" w:cs="Arial" w:eastAsia="Arial" w:hAnsi="Arial"/>
          <w:sz w:val="13"/>
          <w:szCs w:val="13"/>
          <w:color w:val="auto"/>
        </w:rPr>
        <w:t>Series D Preferred Stock and the Voting Preferred Shares then outstanding shall have been paid and full dividends thereon for the current quarterly dividend period shall have been paid or declared and set apart for payment, then the right of the holders of the Series D Preferred Stock and the Voting Preferred Shares to elect such two additional directors shall cease (but subject always to the same provision for the vesting of such voting rights in the case of any similar future arrearages in six quarterly dividends), and the terms of office of the persons elected as director, by the holders of the Series D Preferred Stock and the Voting Preferred Shares shall forthwith terminate and the number of directors constituting the Board of Directors shall be reduced accordingly. At any time after such voting power shall have been so vested in the holders of shares of Series D Preferred Stock and the Voting Preferred Shares, the Secretary of the Corporation may, and upon the written request of any holder of Series D Preferred Stock (addressed to the Secretary at the principal office of the Corporation) shall, call a special meeting of the holders of the Series D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D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D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D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81" w:lineRule="exact"/>
        <w:rPr>
          <w:sz w:val="20"/>
          <w:szCs w:val="20"/>
          <w:color w:val="auto"/>
        </w:rPr>
      </w:pPr>
    </w:p>
    <w:p>
      <w:pPr>
        <w:ind w:right="160" w:firstLine="677"/>
        <w:spacing w:after="0" w:line="286" w:lineRule="auto"/>
        <w:rPr>
          <w:sz w:val="20"/>
          <w:szCs w:val="20"/>
          <w:color w:val="auto"/>
        </w:rPr>
      </w:pPr>
      <w:r>
        <w:rPr>
          <w:rFonts w:ascii="Arial" w:cs="Arial" w:eastAsia="Arial" w:hAnsi="Arial"/>
          <w:sz w:val="13"/>
          <w:szCs w:val="13"/>
          <w:color w:val="auto"/>
        </w:rPr>
        <w:t>So long as any shares of Series D Preferred Stock are outstanding, in addition to any other vote or consent of stockholders required by the Charter, the affirmative vote of at least 66-2/3% of the votes entitled to be cast by the holders of Series D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167" w:lineRule="exact"/>
        <w:rPr>
          <w:sz w:val="20"/>
          <w:szCs w:val="20"/>
          <w:color w:val="auto"/>
        </w:rPr>
      </w:pPr>
    </w:p>
    <w:p>
      <w:pPr>
        <w:jc w:val="both"/>
        <w:ind w:right="100" w:firstLine="677"/>
        <w:spacing w:after="0" w:line="286" w:lineRule="auto"/>
        <w:tabs>
          <w:tab w:leader="none" w:pos="969"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Any amendment, alteration or repeal of any of the provisions of the Charter or these Articles Supplementary (whether by merger, consolidation or otherwise) that materially and adversely affects the voting powers, rights or preferences of the holders of the Series D Preferred Stock or the Voting Preferred Shares; provided, however, that (i) the amendment of the provisions of the Charter so as to authorize or create or to increase the authorized amount of, any Junior Shares or any shares of any class or series ranking on a parity</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D-16</w:t>
      </w:r>
    </w:p>
    <w:p>
      <w:pPr>
        <w:sectPr>
          <w:pgSz w:w="11900" w:h="16838" w:orient="portrait"/>
          <w:cols w:equalWidth="0" w:num="1">
            <w:col w:w="11000"/>
          </w:cols>
          <w:pgMar w:left="400" w:top="903" w:right="499" w:bottom="1440" w:gutter="0" w:footer="0" w:header="0"/>
        </w:sectPr>
      </w:pPr>
    </w:p>
    <w:bookmarkStart w:id="285" w:name="page286"/>
    <w:bookmarkEnd w:id="285"/>
    <w:p>
      <w:pPr>
        <w:ind w:right="60"/>
        <w:spacing w:after="0" w:line="286" w:lineRule="auto"/>
        <w:rPr>
          <w:sz w:val="20"/>
          <w:szCs w:val="20"/>
          <w:color w:val="auto"/>
        </w:rPr>
      </w:pPr>
      <w:r>
        <w:rPr>
          <w:rFonts w:ascii="Arial" w:cs="Arial" w:eastAsia="Arial" w:hAnsi="Arial"/>
          <w:sz w:val="12"/>
          <w:szCs w:val="12"/>
          <w:color w:val="auto"/>
        </w:rPr>
        <w:t xml:space="preserve">with the Series D Preferred Stock as to the payment of dividends or as to the distribution of assets upon liquidation, dissolution or winding up or the Voting Preferred Shares (including any amendment to increase the amount of authorized shares of Series D Preferred Stock) shall not be deemed to materially adversely affect the voting powers, rights or preferences of the holders of Series D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D Preferred Stock, provided that: (1) the Corporation is the surviving entity and the Series D Preferred Stock remain outstanding with the terms thereof materially unchanged in any respect adverse to the holders thereof; or (2) the resulting, surviving or transferee entity is organized under the laws of any state and substitutes or exchanges the Series D Preferred Stock for other preferred stock, shares or other equity interests having preferences, conversion and other rights, voting powers, restrictions, limitations as to dividends, qualifications and terms and conditions of redemption thereof that are substantially similar to that of the Series D Preferred Stock (except for changes that do not materially and adversely affect the holders of Series D Preferred Stock); and </w:t>
      </w:r>
      <w:r>
        <w:rPr>
          <w:rFonts w:ascii="Arial" w:cs="Arial" w:eastAsia="Arial" w:hAnsi="Arial"/>
          <w:sz w:val="12"/>
          <w:szCs w:val="12"/>
          <w:i w:val="1"/>
          <w:iCs w:val="1"/>
          <w:color w:val="auto"/>
        </w:rPr>
        <w:t>provided further</w:t>
      </w:r>
      <w:r>
        <w:rPr>
          <w:rFonts w:ascii="Arial" w:cs="Arial" w:eastAsia="Arial" w:hAnsi="Arial"/>
          <w:sz w:val="12"/>
          <w:szCs w:val="12"/>
          <w:color w:val="auto"/>
        </w:rPr>
        <w:t>, that if any such amendment, alteration or repeal would materially and adversely affect any voting powers, rights or preferences of the Series D Preferred Stock or one or more but not all series of Voting Preferred Shares at the time outstanding, the affirmative vote of at least</w:t>
      </w:r>
    </w:p>
    <w:p>
      <w:pPr>
        <w:spacing w:after="0" w:line="5" w:lineRule="exact"/>
        <w:rPr>
          <w:sz w:val="20"/>
          <w:szCs w:val="20"/>
          <w:color w:val="auto"/>
        </w:rPr>
      </w:pPr>
    </w:p>
    <w:p>
      <w:pPr>
        <w:jc w:val="both"/>
        <w:ind w:right="120"/>
        <w:spacing w:after="0" w:line="248" w:lineRule="auto"/>
        <w:rPr>
          <w:sz w:val="20"/>
          <w:szCs w:val="20"/>
          <w:color w:val="auto"/>
        </w:rPr>
      </w:pPr>
      <w:r>
        <w:rPr>
          <w:rFonts w:ascii="Arial" w:cs="Arial" w:eastAsia="Arial" w:hAnsi="Arial"/>
          <w:sz w:val="12"/>
          <w:szCs w:val="12"/>
          <w:color w:val="auto"/>
        </w:rPr>
        <w:t xml:space="preserve">66-2 </w:t>
      </w:r>
      <w:r>
        <w:rPr>
          <w:rFonts w:ascii="Arial" w:cs="Arial" w:eastAsia="Arial" w:hAnsi="Arial"/>
          <w:sz w:val="14"/>
          <w:szCs w:val="14"/>
          <w:color w:val="auto"/>
        </w:rPr>
        <w:t>/3% of the votes entitled to be cast by the holders of all series similarly affected, at the time outstanding, voting as a single class regardless of series, given in person or by proxy, either in</w:t>
      </w:r>
      <w:r>
        <w:rPr>
          <w:rFonts w:ascii="Arial" w:cs="Arial" w:eastAsia="Arial" w:hAnsi="Arial"/>
          <w:sz w:val="12"/>
          <w:szCs w:val="12"/>
          <w:color w:val="auto"/>
        </w:rPr>
        <w:t xml:space="preserve"> </w:t>
      </w:r>
      <w:r>
        <w:rPr>
          <w:rFonts w:ascii="Arial" w:cs="Arial" w:eastAsia="Arial" w:hAnsi="Arial"/>
          <w:sz w:val="14"/>
          <w:szCs w:val="14"/>
          <w:color w:val="auto"/>
        </w:rPr>
        <w:t>writing without a meeting or by vote at any meeting called for the purpose, shall be required in lieu of the affirmative vote of at least 66-2/3% of the votes entitled to be cast by the holders of the Series D Preferred Stock and the Voting Preferred Shares otherwise entitled to vote in accordance herewith; or</w:t>
      </w:r>
    </w:p>
    <w:p>
      <w:pPr>
        <w:spacing w:after="0" w:line="62" w:lineRule="exact"/>
        <w:rPr>
          <w:sz w:val="20"/>
          <w:szCs w:val="20"/>
          <w:color w:val="auto"/>
        </w:rPr>
      </w:pPr>
    </w:p>
    <w:p>
      <w:pPr>
        <w:ind w:firstLine="677"/>
        <w:spacing w:after="0" w:line="299" w:lineRule="auto"/>
        <w:tabs>
          <w:tab w:leader="none" w:pos="979"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authorization or creation of, or the increase in the authorized amount of, any shares of any class or series or any security convertible into shares of any class or series ranking prior to the Series D Preferred Stock in the distribution on any liquidation, dissolution or winding up of the Corporation or in the payment of dividends; provided, however, that, in the case of each of subparagraphs (a) and (b), no such vote of the holders of Series D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D Preferred Stock or Voting Preferred Shares, as the case may be, at the time outstanding in accordance with Section 5 hereof or, in the case of a merger, consolidation or otherwise, regardless of the date of the transaction, the holders of the Series D Preferred Stock receive in the transaction their liquidation preference plus accrued and unpaid dividends.</w:t>
      </w:r>
    </w:p>
    <w:p>
      <w:pPr>
        <w:spacing w:after="0" w:line="173" w:lineRule="exact"/>
        <w:rPr>
          <w:sz w:val="20"/>
          <w:szCs w:val="20"/>
          <w:color w:val="auto"/>
        </w:rPr>
      </w:pPr>
    </w:p>
    <w:p>
      <w:pPr>
        <w:ind w:right="60" w:firstLine="677"/>
        <w:spacing w:after="0" w:line="310" w:lineRule="auto"/>
        <w:rPr>
          <w:sz w:val="20"/>
          <w:szCs w:val="20"/>
          <w:color w:val="auto"/>
        </w:rPr>
      </w:pPr>
      <w:r>
        <w:rPr>
          <w:rFonts w:ascii="Arial" w:cs="Arial" w:eastAsia="Arial" w:hAnsi="Arial"/>
          <w:sz w:val="13"/>
          <w:szCs w:val="13"/>
          <w:color w:val="auto"/>
        </w:rPr>
        <w:t>For purposes of determining the voting rights of the holders of the Series D Preferred Stock under this Section 10, each holder will be entitled to one vote for each Liquidation Preference per share with respect to shares of the Series D Preferred Stock held by such holder. Whether the vote or consent of the holders of a plurality, majority or other portion</w:t>
      </w: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D-17</w:t>
      </w:r>
    </w:p>
    <w:p>
      <w:pPr>
        <w:sectPr>
          <w:pgSz w:w="11900" w:h="16838" w:orient="portrait"/>
          <w:cols w:equalWidth="0" w:num="1">
            <w:col w:w="10980"/>
          </w:cols>
          <w:pgMar w:left="400" w:top="903" w:right="519" w:bottom="1440" w:gutter="0" w:footer="0" w:header="0"/>
        </w:sectPr>
      </w:pPr>
    </w:p>
    <w:bookmarkStart w:id="286" w:name="page287"/>
    <w:bookmarkEnd w:id="286"/>
    <w:p>
      <w:pPr>
        <w:ind w:right="40"/>
        <w:spacing w:after="0" w:line="270" w:lineRule="auto"/>
        <w:rPr>
          <w:sz w:val="20"/>
          <w:szCs w:val="20"/>
          <w:color w:val="auto"/>
        </w:rPr>
      </w:pPr>
      <w:r>
        <w:rPr>
          <w:rFonts w:ascii="Arial" w:cs="Arial" w:eastAsia="Arial" w:hAnsi="Arial"/>
          <w:sz w:val="14"/>
          <w:szCs w:val="14"/>
          <w:color w:val="auto"/>
        </w:rPr>
        <w:t>of the shares of the Series D Preferred Stock and any Voting Preferred Shares has been cast or given on any matter on which the holders of shares of the Series D Preferred Stock are entitled to vote shall be determined by the Corporation by reference to the specified liquidation amounts of the shares voted or covered by the consent.</w:t>
      </w:r>
    </w:p>
    <w:p>
      <w:pPr>
        <w:spacing w:after="0" w:line="176" w:lineRule="exact"/>
        <w:rPr>
          <w:sz w:val="20"/>
          <w:szCs w:val="20"/>
          <w:color w:val="auto"/>
        </w:rPr>
      </w:pPr>
    </w:p>
    <w:p>
      <w:pPr>
        <w:ind w:right="120" w:firstLine="677"/>
        <w:spacing w:after="0" w:line="249"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Information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During any period in which the Corporation is not subject to Section 13 or 15(d) of the Securities Exchange Act and any shares of Series D Preferred Stock are outstanding, the Corporation will (i) transmit by mail to all holders of Series D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D Preferred Stock. The Corporation will mail the information to the holders of Series D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02" w:lineRule="exact"/>
        <w:rPr>
          <w:sz w:val="20"/>
          <w:szCs w:val="20"/>
          <w:color w:val="auto"/>
        </w:rPr>
      </w:pPr>
    </w:p>
    <w:p>
      <w:pPr>
        <w:ind w:right="80" w:firstLine="677"/>
        <w:spacing w:after="0" w:line="270"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Record Holders</w:t>
      </w:r>
      <w:r>
        <w:rPr>
          <w:rFonts w:ascii="Arial" w:cs="Arial" w:eastAsia="Arial" w:hAnsi="Arial"/>
          <w:sz w:val="14"/>
          <w:szCs w:val="14"/>
          <w:color w:val="auto"/>
        </w:rPr>
        <w:t>. The Corporation and the Transfer Agent may deem and treat the record holder of any Series D Preferred Stock as the true and lawful owner thereof for all purposes, and neither the Corporation nor the Transfer Agent shall be affected by any notice to the contrary.</w:t>
      </w:r>
    </w:p>
    <w:p>
      <w:pPr>
        <w:spacing w:after="0" w:line="176" w:lineRule="exact"/>
        <w:rPr>
          <w:sz w:val="20"/>
          <w:szCs w:val="20"/>
          <w:color w:val="auto"/>
        </w:rPr>
      </w:pPr>
    </w:p>
    <w:p>
      <w:pPr>
        <w:ind w:firstLine="677"/>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Restrictions on Ownership and Transfer</w:t>
      </w:r>
      <w:r>
        <w:rPr>
          <w:rFonts w:ascii="Arial" w:cs="Arial" w:eastAsia="Arial" w:hAnsi="Arial"/>
          <w:sz w:val="14"/>
          <w:szCs w:val="14"/>
          <w:color w:val="auto"/>
        </w:rPr>
        <w:t>. The Series D Preferred Stock constitutes Preferred Stock, and Preferred Stock constitutes Capital Stock of the Corporation. Therefore, the Series D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D Preferred Stock of any other term or provision of the Charter.</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D-18</w:t>
      </w:r>
    </w:p>
    <w:p>
      <w:pPr>
        <w:sectPr>
          <w:pgSz w:w="11900" w:h="16838" w:orient="portrait"/>
          <w:cols w:equalWidth="0" w:num="1">
            <w:col w:w="10980"/>
          </w:cols>
          <w:pgMar w:left="400" w:top="903" w:right="519" w:bottom="1440" w:gutter="0" w:footer="0" w:header="0"/>
        </w:sectPr>
      </w:pPr>
    </w:p>
    <w:bookmarkStart w:id="287" w:name="page288"/>
    <w:bookmarkEnd w:id="287"/>
    <w:p>
      <w:pPr>
        <w:jc w:val="center"/>
        <w:ind w:right="-179"/>
        <w:spacing w:after="0"/>
        <w:rPr>
          <w:sz w:val="20"/>
          <w:szCs w:val="20"/>
          <w:color w:val="auto"/>
        </w:rPr>
      </w:pPr>
      <w:r>
        <w:rPr>
          <w:rFonts w:ascii="Arial" w:cs="Arial" w:eastAsia="Arial" w:hAnsi="Arial"/>
          <w:sz w:val="14"/>
          <w:szCs w:val="14"/>
          <w:b w:val="1"/>
          <w:bCs w:val="1"/>
          <w:color w:val="auto"/>
        </w:rPr>
        <w:t>EXHIBIT E</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SERIES E PREFERRED STOCK</w:t>
      </w:r>
    </w:p>
    <w:p>
      <w:pPr>
        <w:spacing w:after="0" w:line="197" w:lineRule="exact"/>
        <w:rPr>
          <w:sz w:val="20"/>
          <w:szCs w:val="20"/>
          <w:color w:val="auto"/>
        </w:rPr>
      </w:pPr>
    </w:p>
    <w:p>
      <w:pPr>
        <w:ind w:right="20" w:firstLine="677"/>
        <w:spacing w:after="0" w:line="276" w:lineRule="auto"/>
        <w:rPr>
          <w:sz w:val="20"/>
          <w:szCs w:val="20"/>
          <w:color w:val="auto"/>
        </w:rPr>
      </w:pPr>
      <w:r>
        <w:rPr>
          <w:rFonts w:ascii="Arial" w:cs="Arial" w:eastAsia="Arial" w:hAnsi="Arial"/>
          <w:sz w:val="13"/>
          <w:szCs w:val="13"/>
          <w:color w:val="auto"/>
        </w:rPr>
        <w:t>Under a power contained in the charter (the “</w:t>
      </w:r>
      <w:r>
        <w:rPr>
          <w:rFonts w:ascii="Arial" w:cs="Arial" w:eastAsia="Arial" w:hAnsi="Arial"/>
          <w:sz w:val="13"/>
          <w:szCs w:val="13"/>
          <w:b w:val="1"/>
          <w:bCs w:val="1"/>
          <w:color w:val="auto"/>
        </w:rPr>
        <w:t>Charter</w:t>
      </w:r>
      <w:r>
        <w:rPr>
          <w:rFonts w:ascii="Arial" w:cs="Arial" w:eastAsia="Arial" w:hAnsi="Arial"/>
          <w:sz w:val="13"/>
          <w:szCs w:val="13"/>
          <w:color w:val="auto"/>
        </w:rPr>
        <w:t>”) of Colony NorthStar,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the Board of Directors of the Corporation, classified and designated 10,350,000 shares (the “</w:t>
      </w:r>
      <w:r>
        <w:rPr>
          <w:rFonts w:ascii="Arial" w:cs="Arial" w:eastAsia="Arial" w:hAnsi="Arial"/>
          <w:sz w:val="13"/>
          <w:szCs w:val="13"/>
          <w:b w:val="1"/>
          <w:bCs w:val="1"/>
          <w:color w:val="auto"/>
        </w:rPr>
        <w:t>Shares</w:t>
      </w:r>
      <w:r>
        <w:rPr>
          <w:rFonts w:ascii="Arial" w:cs="Arial" w:eastAsia="Arial" w:hAnsi="Arial"/>
          <w:sz w:val="13"/>
          <w:szCs w:val="13"/>
          <w:color w:val="auto"/>
        </w:rPr>
        <w:t>”) of the Preferred Stock (as defined in the Charter), as shares of 8.75% Series E Cumulative Redeemable Perpetual Preferred Stock, liquidation preference $25.00 per share (the “</w:t>
      </w:r>
      <w:r>
        <w:rPr>
          <w:rFonts w:ascii="Arial" w:cs="Arial" w:eastAsia="Arial" w:hAnsi="Arial"/>
          <w:sz w:val="13"/>
          <w:szCs w:val="13"/>
          <w:b w:val="1"/>
          <w:bCs w:val="1"/>
          <w:color w:val="auto"/>
        </w:rPr>
        <w:t>Series E Preferred Stock</w:t>
      </w:r>
      <w:r>
        <w:rPr>
          <w:rFonts w:ascii="Arial" w:cs="Arial" w:eastAsia="Arial" w:hAnsi="Arial"/>
          <w:sz w:val="13"/>
          <w:szCs w:val="13"/>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8.75% Series E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right="200" w:firstLine="677"/>
        <w:spacing w:after="0" w:line="310"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Number of Shares and Des</w:t>
      </w:r>
      <w:r>
        <w:rPr>
          <w:rFonts w:ascii="Arial" w:cs="Arial" w:eastAsia="Arial" w:hAnsi="Arial"/>
          <w:sz w:val="13"/>
          <w:szCs w:val="13"/>
          <w:color w:val="auto"/>
        </w:rPr>
        <w:t>ig</w:t>
      </w:r>
      <w:r>
        <w:rPr>
          <w:rFonts w:ascii="Arial" w:cs="Arial" w:eastAsia="Arial" w:hAnsi="Arial"/>
          <w:sz w:val="13"/>
          <w:szCs w:val="13"/>
          <w:u w:val="single" w:color="auto"/>
          <w:color w:val="auto"/>
        </w:rPr>
        <w:t>nation</w:t>
      </w:r>
      <w:r>
        <w:rPr>
          <w:rFonts w:ascii="Arial" w:cs="Arial" w:eastAsia="Arial" w:hAnsi="Arial"/>
          <w:sz w:val="13"/>
          <w:szCs w:val="13"/>
          <w:color w:val="auto"/>
        </w:rPr>
        <w:t>. This series of Preferred Stock shall be designated as 8.75% Series E Cumulative Redeemable Perpetual Preferred Stock, liquidation preference $25.00 per share (the “</w:t>
      </w:r>
      <w:r>
        <w:rPr>
          <w:rFonts w:ascii="Arial" w:cs="Arial" w:eastAsia="Arial" w:hAnsi="Arial"/>
          <w:sz w:val="13"/>
          <w:szCs w:val="13"/>
          <w:b w:val="1"/>
          <w:bCs w:val="1"/>
          <w:color w:val="auto"/>
        </w:rPr>
        <w:t>Series E Preferred Stock</w:t>
      </w:r>
      <w:r>
        <w:rPr>
          <w:rFonts w:ascii="Arial" w:cs="Arial" w:eastAsia="Arial" w:hAnsi="Arial"/>
          <w:sz w:val="13"/>
          <w:szCs w:val="13"/>
          <w:color w:val="auto"/>
        </w:rPr>
        <w:t>”), and 10,350,000 shall be the number of shares of Preferred Stock constituting such series.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Definitions</w:t>
      </w:r>
      <w:r>
        <w:rPr>
          <w:rFonts w:ascii="Arial" w:cs="Arial" w:eastAsia="Arial" w:hAnsi="Arial"/>
          <w:sz w:val="13"/>
          <w:szCs w:val="13"/>
          <w:b w:val="1"/>
          <w:bCs w:val="1"/>
          <w:color w:val="auto"/>
        </w:rPr>
        <w:t>.</w:t>
      </w:r>
      <w:r>
        <w:rPr>
          <w:rFonts w:ascii="Arial" w:cs="Arial" w:eastAsia="Arial" w:hAnsi="Arial"/>
          <w:sz w:val="13"/>
          <w:szCs w:val="13"/>
          <w:color w:val="auto"/>
        </w:rPr>
        <w:t xml:space="preserve"> For purposes of the Series E Preferred Stock, the following terms shall have the meanings indicated: </w:t>
      </w:r>
      <w:r>
        <w:rPr>
          <w:rFonts w:ascii="Arial" w:cs="Arial" w:eastAsia="Arial" w:hAnsi="Arial"/>
          <w:sz w:val="13"/>
          <w:szCs w:val="13"/>
          <w:b w:val="1"/>
          <w:bCs w:val="1"/>
          <w:color w:val="auto"/>
        </w:rPr>
        <w:t>“Alternative Conversion Consideration”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shall have the meaning set forth in paragraph (e) of Section 7 hereof. </w:t>
      </w:r>
      <w:r>
        <w:rPr>
          <w:rFonts w:ascii="Arial" w:cs="Arial" w:eastAsia="Arial" w:hAnsi="Arial"/>
          <w:sz w:val="13"/>
          <w:szCs w:val="13"/>
          <w:b w:val="1"/>
          <w:bCs w:val="1"/>
          <w:color w:val="auto"/>
        </w:rPr>
        <w:t>“Alternative Form Consideration”</w:t>
      </w:r>
      <w:r>
        <w:rPr>
          <w:rFonts w:ascii="Arial" w:cs="Arial" w:eastAsia="Arial" w:hAnsi="Arial"/>
          <w:sz w:val="13"/>
          <w:szCs w:val="13"/>
          <w:color w:val="auto"/>
        </w:rPr>
        <w:t xml:space="preserve"> shall have the meaning set forth in paragraph (e) of Section 7</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hereof.</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Dividend Rate</w:t>
      </w:r>
      <w:r>
        <w:rPr>
          <w:rFonts w:ascii="Arial" w:cs="Arial" w:eastAsia="Arial" w:hAnsi="Arial"/>
          <w:sz w:val="14"/>
          <w:szCs w:val="14"/>
          <w:color w:val="auto"/>
        </w:rPr>
        <w:t>” shall have the meaning set forth in paragraph (a) of Section 3 hereof.</w:t>
      </w:r>
    </w:p>
    <w:p>
      <w:pPr>
        <w:spacing w:after="0" w:line="85" w:lineRule="exact"/>
        <w:rPr>
          <w:sz w:val="20"/>
          <w:szCs w:val="20"/>
          <w:color w:val="auto"/>
        </w:rPr>
      </w:pPr>
    </w:p>
    <w:p>
      <w:pPr>
        <w:ind w:left="34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shall mean the Board of Directors of the Corporation or any committee authorized by such Board of Directors to perform any of its responsibilities with respect to the Series E Preferred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shall mean any day other than a Saturday, Sunday or a day on which state or federally chartered banking institutions in New York, New York are not required to be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open.</w:t>
      </w:r>
    </w:p>
    <w:p>
      <w:pPr>
        <w:spacing w:after="0" w:line="127" w:lineRule="exact"/>
        <w:rPr>
          <w:sz w:val="20"/>
          <w:szCs w:val="20"/>
          <w:color w:val="auto"/>
        </w:rPr>
      </w:pPr>
    </w:p>
    <w:p>
      <w:pPr>
        <w:ind w:left="660" w:right="900"/>
        <w:spacing w:after="0" w:line="41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Conversion Date</w:t>
      </w:r>
      <w:r>
        <w:rPr>
          <w:rFonts w:ascii="Arial" w:cs="Arial" w:eastAsia="Arial" w:hAnsi="Arial"/>
          <w:sz w:val="14"/>
          <w:szCs w:val="14"/>
          <w:color w:val="auto"/>
        </w:rPr>
        <w:t>” shall have the meaning set forth in paragraph (c) of Section 7 hereof. “</w:t>
      </w:r>
      <w:r>
        <w:rPr>
          <w:rFonts w:ascii="Arial" w:cs="Arial" w:eastAsia="Arial" w:hAnsi="Arial"/>
          <w:sz w:val="14"/>
          <w:szCs w:val="14"/>
          <w:b w:val="1"/>
          <w:bCs w:val="1"/>
          <w:color w:val="auto"/>
        </w:rPr>
        <w:t>Change of Control Conversion Right</w:t>
      </w:r>
      <w:r>
        <w:rPr>
          <w:rFonts w:ascii="Arial" w:cs="Arial" w:eastAsia="Arial" w:hAnsi="Arial"/>
          <w:sz w:val="14"/>
          <w:szCs w:val="14"/>
          <w:color w:val="auto"/>
        </w:rPr>
        <w:t>” shall have the meaning set forth in paragraph (a) of Section 7 hereof.</w:t>
      </w:r>
    </w:p>
    <w:p>
      <w:pPr>
        <w:sectPr>
          <w:pgSz w:w="11900" w:h="16838" w:orient="portrait"/>
          <w:cols w:equalWidth="0" w:num="1">
            <w:col w:w="10900"/>
          </w:cols>
          <w:pgMar w:left="400" w:top="888" w:right="599" w:bottom="1440" w:gutter="0" w:footer="0" w:header="0"/>
        </w:sectPr>
      </w:pPr>
    </w:p>
    <w:bookmarkStart w:id="288" w:name="page289"/>
    <w:bookmarkEnd w:id="288"/>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shall have the meaning set forth in paragraph (a) of Section 5 hereof. “</w:t>
      </w:r>
      <w:r>
        <w:rPr>
          <w:rFonts w:ascii="Arial" w:cs="Arial" w:eastAsia="Arial" w:hAnsi="Arial"/>
          <w:sz w:val="14"/>
          <w:szCs w:val="14"/>
          <w:b w:val="1"/>
          <w:bCs w:val="1"/>
          <w:color w:val="auto"/>
        </w:rPr>
        <w:t>Charter</w:t>
      </w:r>
      <w:r>
        <w:rPr>
          <w:rFonts w:ascii="Arial" w:cs="Arial" w:eastAsia="Arial" w:hAnsi="Arial"/>
          <w:sz w:val="14"/>
          <w:szCs w:val="14"/>
          <w:color w:val="auto"/>
        </w:rPr>
        <w:t>” shall mean the charter of the</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Corporation.</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 Common Stock</w:t>
      </w:r>
      <w:r>
        <w:rPr>
          <w:rFonts w:ascii="Arial" w:cs="Arial" w:eastAsia="Arial" w:hAnsi="Arial"/>
          <w:sz w:val="14"/>
          <w:szCs w:val="14"/>
          <w:color w:val="auto"/>
        </w:rPr>
        <w:t>” shall mean the Class A Common Stock of the Corporation, par value $.01 per share.</w:t>
      </w:r>
    </w:p>
    <w:p>
      <w:pPr>
        <w:spacing w:after="0" w:line="96"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xml:space="preserve"> ” shall mean, collectively, the Class A Common Stock, the Class B Common Stock of the Corporation, par value $.01 per share, and the Performance Common Stock of the Corporation, par value $.01 per share.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Common Stock Conversion Consideration</w:t>
      </w:r>
      <w:r>
        <w:rPr>
          <w:rFonts w:ascii="Arial" w:cs="Arial" w:eastAsia="Arial" w:hAnsi="Arial"/>
          <w:sz w:val="13"/>
          <w:szCs w:val="13"/>
          <w:color w:val="auto"/>
        </w:rPr>
        <w:t>” shall have the meaning set forth in paragraph (a) of Section 7 hereof. “</w:t>
      </w:r>
      <w:r>
        <w:rPr>
          <w:rFonts w:ascii="Arial" w:cs="Arial" w:eastAsia="Arial" w:hAnsi="Arial"/>
          <w:sz w:val="13"/>
          <w:szCs w:val="13"/>
          <w:b w:val="1"/>
          <w:bCs w:val="1"/>
          <w:color w:val="auto"/>
        </w:rPr>
        <w:t>Common Stock Price</w:t>
      </w:r>
      <w:r>
        <w:rPr>
          <w:rFonts w:ascii="Arial" w:cs="Arial" w:eastAsia="Arial" w:hAnsi="Arial"/>
          <w:sz w:val="13"/>
          <w:szCs w:val="13"/>
          <w:color w:val="auto"/>
        </w:rPr>
        <w:t>” shall have the meaning set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forth in paragraph (d) of Section 7 hereof.</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“Conversion Consideration” </w:t>
      </w:r>
      <w:r>
        <w:rPr>
          <w:rFonts w:ascii="Arial" w:cs="Arial" w:eastAsia="Arial" w:hAnsi="Arial"/>
          <w:sz w:val="14"/>
          <w:szCs w:val="14"/>
          <w:color w:val="auto"/>
        </w:rPr>
        <w:t>shall have the meaning set forth in paragraph (e) of Section 7 hereof.</w:t>
      </w:r>
      <w:r>
        <w:rPr>
          <w:rFonts w:ascii="Arial" w:cs="Arial" w:eastAsia="Arial" w:hAnsi="Arial"/>
          <w:sz w:val="14"/>
          <w:szCs w:val="14"/>
          <w:b w:val="1"/>
          <w:bCs w:val="1"/>
          <w:color w:val="auto"/>
        </w:rPr>
        <w:t xml:space="preserve"> “Conversion Rate” </w:t>
      </w:r>
      <w:r>
        <w:rPr>
          <w:rFonts w:ascii="Arial" w:cs="Arial" w:eastAsia="Arial" w:hAnsi="Arial"/>
          <w:sz w:val="14"/>
          <w:szCs w:val="14"/>
          <w:color w:val="auto"/>
        </w:rPr>
        <w:t>shall have the meaning set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forth in paragraph (a) of Section 7 hereof. </w:t>
      </w:r>
      <w:r>
        <w:rPr>
          <w:rFonts w:ascii="Arial" w:cs="Arial" w:eastAsia="Arial" w:hAnsi="Arial"/>
          <w:sz w:val="14"/>
          <w:szCs w:val="14"/>
          <w:b w:val="1"/>
          <w:bCs w:val="1"/>
          <w:color w:val="auto"/>
        </w:rPr>
        <w:t>“Depository”</w:t>
      </w:r>
      <w:r>
        <w:rPr>
          <w:rFonts w:ascii="Arial" w:cs="Arial" w:eastAsia="Arial" w:hAnsi="Arial"/>
          <w:sz w:val="14"/>
          <w:szCs w:val="14"/>
          <w:color w:val="auto"/>
        </w:rPr>
        <w:t xml:space="preserve"> shall have the meaning set forth in paragraph (l) of Section 7 hereof.</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Parity Stock</w:t>
      </w:r>
      <w:r>
        <w:rPr>
          <w:rFonts w:ascii="Arial" w:cs="Arial" w:eastAsia="Arial" w:hAnsi="Arial"/>
          <w:sz w:val="14"/>
          <w:szCs w:val="14"/>
          <w:color w:val="auto"/>
        </w:rPr>
        <w:t>” shall have the meaning set forth in paragraph (c) of Section 3 hereof.</w:t>
      </w:r>
    </w:p>
    <w:p>
      <w:pPr>
        <w:spacing w:after="0" w:line="85" w:lineRule="exact"/>
        <w:rPr>
          <w:sz w:val="20"/>
          <w:szCs w:val="20"/>
          <w:color w:val="auto"/>
        </w:rPr>
      </w:pPr>
    </w:p>
    <w:p>
      <w:pPr>
        <w:jc w:val="both"/>
        <w:ind w:right="100" w:firstLine="325"/>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Payment Date</w:t>
      </w:r>
      <w:r>
        <w:rPr>
          <w:rFonts w:ascii="Arial" w:cs="Arial" w:eastAsia="Arial" w:hAnsi="Arial"/>
          <w:sz w:val="13"/>
          <w:szCs w:val="13"/>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instead be paid on the first Business Day immediately following such Dividend Payment Date without any adjustment to the amount of the dividend due on that Dividend Payment Date on account of such delay.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shall have the meaning set forth in paragraph (a) of Section 3 hereof.</w:t>
      </w:r>
    </w:p>
    <w:p>
      <w:pPr>
        <w:spacing w:after="0" w:line="96" w:lineRule="exact"/>
        <w:rPr>
          <w:sz w:val="20"/>
          <w:szCs w:val="20"/>
          <w:color w:val="auto"/>
        </w:rPr>
      </w:pPr>
    </w:p>
    <w:p>
      <w:pPr>
        <w:jc w:val="both"/>
        <w:ind w:right="280" w:firstLine="325"/>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Period</w:t>
      </w:r>
      <w:r>
        <w:rPr>
          <w:rFonts w:ascii="Arial" w:cs="Arial" w:eastAsia="Arial" w:hAnsi="Arial"/>
          <w:sz w:val="13"/>
          <w:szCs w:val="13"/>
          <w:color w:val="auto"/>
        </w:rPr>
        <w:t>” shall mean a quarterly dividend period commencing on, and including, a Dividend Payment Date and ending on, but excluding, the next succeeding Dividend Payment Date (other than the initial Dividend Period with respect to each share of Series E Preferred Stock, which, (i) for shares of Series E Preferred Stock issued prior to January 11, 2017, shall commence on, and include, November 15, 2016 and end on, but exclude, the first Dividend Payment Date; and (ii) for shares of Series E Preferred</w:t>
      </w:r>
    </w:p>
    <w:p>
      <w:pPr>
        <w:spacing w:after="0" w:line="6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E-2</w:t>
      </w:r>
    </w:p>
    <w:p>
      <w:pPr>
        <w:sectPr>
          <w:pgSz w:w="11900" w:h="16838" w:orient="portrait"/>
          <w:cols w:equalWidth="0" w:num="1">
            <w:col w:w="10600"/>
          </w:cols>
          <w:pgMar w:left="740" w:top="946" w:right="559" w:bottom="1440" w:gutter="0" w:footer="0" w:header="0"/>
        </w:sectPr>
      </w:pPr>
    </w:p>
    <w:bookmarkStart w:id="289" w:name="page290"/>
    <w:bookmarkEnd w:id="289"/>
    <w:p>
      <w:pPr>
        <w:spacing w:after="0" w:line="310" w:lineRule="auto"/>
        <w:rPr>
          <w:sz w:val="20"/>
          <w:szCs w:val="20"/>
          <w:color w:val="auto"/>
        </w:rPr>
      </w:pPr>
      <w:r>
        <w:rPr>
          <w:rFonts w:ascii="Arial" w:cs="Arial" w:eastAsia="Arial" w:hAnsi="Arial"/>
          <w:sz w:val="13"/>
          <w:szCs w:val="13"/>
          <w:color w:val="auto"/>
        </w:rPr>
        <w:t>Stock issued on or after January 11, 2017, shall commence on, and include, the Dividend Payment Date with respect to which dividends were actually paid on Series E Preferred Stock that were outstanding immediately preceding the issuance of such Series E Preferred Stock and end on, but exclude, the next succeeding Dividend Payment Date).</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“DTC” </w:t>
      </w:r>
      <w:r>
        <w:rPr>
          <w:rFonts w:ascii="Arial" w:cs="Arial" w:eastAsia="Arial" w:hAnsi="Arial"/>
          <w:sz w:val="14"/>
          <w:szCs w:val="14"/>
          <w:color w:val="auto"/>
        </w:rPr>
        <w:t>shall have the meaning set forth in paragraph (l) of Section 7 hereof.</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“Exchange Cap” </w:t>
      </w:r>
      <w:r>
        <w:rPr>
          <w:rFonts w:ascii="Arial" w:cs="Arial" w:eastAsia="Arial" w:hAnsi="Arial"/>
          <w:sz w:val="14"/>
          <w:szCs w:val="14"/>
          <w:color w:val="auto"/>
        </w:rPr>
        <w:t>shall have the meaning set forth in paragraph (b) of Section 7 hereof.</w:t>
      </w:r>
    </w:p>
    <w:p>
      <w:pPr>
        <w:spacing w:after="0" w:line="85" w:lineRule="exact"/>
        <w:rPr>
          <w:sz w:val="20"/>
          <w:szCs w:val="20"/>
          <w:color w:val="auto"/>
        </w:rPr>
      </w:pPr>
    </w:p>
    <w:p>
      <w:pPr>
        <w:ind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Junior Shares</w:t>
      </w:r>
      <w:r>
        <w:rPr>
          <w:rFonts w:ascii="Arial" w:cs="Arial" w:eastAsia="Arial" w:hAnsi="Arial"/>
          <w:sz w:val="14"/>
          <w:szCs w:val="14"/>
          <w:color w:val="auto"/>
        </w:rPr>
        <w:t>” shall mean the Common Stock and any other class or series of stock of the Corporation constituting junior shares of stock within the meaning set forth in paragraph (c) of Section 9 hereof.</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xml:space="preserve"> shall have the meaning set forth in paragraph (a) of Section 4 hereof.</w:t>
      </w:r>
    </w:p>
    <w:p>
      <w:pPr>
        <w:spacing w:after="0" w:line="85" w:lineRule="exact"/>
        <w:rPr>
          <w:sz w:val="20"/>
          <w:szCs w:val="20"/>
          <w:color w:val="auto"/>
        </w:rPr>
      </w:pPr>
    </w:p>
    <w:p>
      <w:pPr>
        <w:ind w:left="320" w:right="240"/>
        <w:spacing w:after="0" w:line="40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shall mean any individual, firm, partnership, corporation, limited liability company or other entity, and shall include any successor (by merger or otherwise) of such entity. “</w:t>
      </w:r>
      <w:r>
        <w:rPr>
          <w:rFonts w:ascii="Arial" w:cs="Arial" w:eastAsia="Arial" w:hAnsi="Arial"/>
          <w:sz w:val="14"/>
          <w:szCs w:val="14"/>
          <w:b w:val="1"/>
          <w:bCs w:val="1"/>
          <w:color w:val="auto"/>
        </w:rPr>
        <w:t>Preferred Directors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set forth in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paragraph (c) of Section 5 hereof. “</w:t>
      </w:r>
      <w:r>
        <w:rPr>
          <w:rFonts w:ascii="Arial" w:cs="Arial" w:eastAsia="Arial" w:hAnsi="Arial"/>
          <w:sz w:val="14"/>
          <w:szCs w:val="14"/>
          <w:b w:val="1"/>
          <w:bCs w:val="1"/>
          <w:color w:val="auto"/>
        </w:rPr>
        <w:t>Redemption Price</w:t>
      </w:r>
      <w:r>
        <w:rPr>
          <w:rFonts w:ascii="Arial" w:cs="Arial" w:eastAsia="Arial" w:hAnsi="Arial"/>
          <w:sz w:val="14"/>
          <w:szCs w:val="14"/>
          <w:color w:val="auto"/>
        </w:rPr>
        <w:t>” shall have the meaning set forth in paragraph (a) of Section 5 hereof.</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“Securities Exchange Act” </w:t>
      </w:r>
      <w:r>
        <w:rPr>
          <w:rFonts w:ascii="Arial" w:cs="Arial" w:eastAsia="Arial" w:hAnsi="Arial"/>
          <w:sz w:val="14"/>
          <w:szCs w:val="14"/>
          <w:color w:val="auto"/>
        </w:rPr>
        <w:t>shall have the meaning set forth in paragraph (a) of Section 5 hereof.</w:t>
      </w:r>
    </w:p>
    <w:p>
      <w:pPr>
        <w:spacing w:after="0" w:line="73"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A Preferred Stock</w:t>
      </w:r>
      <w:r>
        <w:rPr>
          <w:rFonts w:ascii="Arial" w:cs="Arial" w:eastAsia="Arial" w:hAnsi="Arial"/>
          <w:sz w:val="14"/>
          <w:szCs w:val="14"/>
          <w:color w:val="auto"/>
        </w:rPr>
        <w:t>” shall mean the 8.75% Series A Cumulative Redeemable Perpetual Preferred Stock, liquidation preference $25.00 per share.</w:t>
      </w:r>
    </w:p>
    <w:p>
      <w:pPr>
        <w:spacing w:after="0" w:line="38" w:lineRule="exact"/>
        <w:rPr>
          <w:sz w:val="20"/>
          <w:szCs w:val="20"/>
          <w:color w:val="auto"/>
        </w:rPr>
      </w:pPr>
    </w:p>
    <w:p>
      <w:pPr>
        <w:ind w:right="282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shall mean the 8.25% Series B Cumulative Redeemable Perpetual Preferred Stock, liquidation preference $25.00 per share.</w:t>
      </w:r>
    </w:p>
    <w:p>
      <w:pPr>
        <w:spacing w:after="0" w:line="50" w:lineRule="exact"/>
        <w:rPr>
          <w:sz w:val="20"/>
          <w:szCs w:val="20"/>
          <w:color w:val="auto"/>
        </w:rPr>
      </w:pPr>
    </w:p>
    <w:p>
      <w:pPr>
        <w:ind w:right="27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C Preferred Stock</w:t>
      </w:r>
      <w:r>
        <w:rPr>
          <w:rFonts w:ascii="Arial" w:cs="Arial" w:eastAsia="Arial" w:hAnsi="Arial"/>
          <w:sz w:val="14"/>
          <w:szCs w:val="14"/>
          <w:color w:val="auto"/>
        </w:rPr>
        <w:t>” shall mean the 8.875% Series C Cumulative Redeemable Perpetual Preferred Stock, liquidation preference $25.00 per share.</w:t>
      </w:r>
    </w:p>
    <w:p>
      <w:pPr>
        <w:spacing w:after="0" w:line="38" w:lineRule="exact"/>
        <w:rPr>
          <w:sz w:val="20"/>
          <w:szCs w:val="20"/>
          <w:color w:val="auto"/>
        </w:rPr>
      </w:pPr>
    </w:p>
    <w:p>
      <w:pPr>
        <w:ind w:right="27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D Preferred Stock</w:t>
      </w:r>
      <w:r>
        <w:rPr>
          <w:rFonts w:ascii="Arial" w:cs="Arial" w:eastAsia="Arial" w:hAnsi="Arial"/>
          <w:sz w:val="14"/>
          <w:szCs w:val="14"/>
          <w:color w:val="auto"/>
        </w:rPr>
        <w:t>” shall mean the 8.500% Series D Cumulative Redeemable Perpetual Preferred Stock, liquidation preference $25.00 per share.</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E Preferred Stock</w:t>
      </w:r>
      <w:r>
        <w:rPr>
          <w:rFonts w:ascii="Arial" w:cs="Arial" w:eastAsia="Arial" w:hAnsi="Arial"/>
          <w:sz w:val="14"/>
          <w:szCs w:val="14"/>
          <w:color w:val="auto"/>
        </w:rPr>
        <w:t>” shall have the meaning set forth in Section 1 hereof.</w:t>
      </w:r>
    </w:p>
    <w:p>
      <w:pPr>
        <w:spacing w:after="0" w:line="73" w:lineRule="exact"/>
        <w:rPr>
          <w:sz w:val="20"/>
          <w:szCs w:val="20"/>
          <w:color w:val="auto"/>
        </w:rPr>
      </w:pPr>
    </w:p>
    <w:p>
      <w:pPr>
        <w:ind w:right="286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F Preferred Stock</w:t>
      </w:r>
      <w:r>
        <w:rPr>
          <w:rFonts w:ascii="Arial" w:cs="Arial" w:eastAsia="Arial" w:hAnsi="Arial"/>
          <w:sz w:val="14"/>
          <w:szCs w:val="14"/>
          <w:color w:val="auto"/>
        </w:rPr>
        <w:t>” shall mean the 8.50% Series F Cumulative Redeemable Perpetual Preferred Stock, liquidation preference $25.00 per share.</w:t>
      </w:r>
    </w:p>
    <w:p>
      <w:pPr>
        <w:spacing w:after="0" w:line="77"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E-3</w:t>
      </w:r>
    </w:p>
    <w:p>
      <w:pPr>
        <w:sectPr>
          <w:pgSz w:w="11900" w:h="16838" w:orient="portrait"/>
          <w:cols w:equalWidth="0" w:num="1">
            <w:col w:w="10700"/>
          </w:cols>
          <w:pgMar w:left="740" w:top="903" w:right="459" w:bottom="1440" w:gutter="0" w:footer="0" w:header="0"/>
        </w:sectPr>
      </w:pPr>
    </w:p>
    <w:bookmarkStart w:id="290" w:name="page291"/>
    <w:bookmarkEnd w:id="290"/>
    <w:p>
      <w:pPr>
        <w:ind w:left="340" w:right="284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G Preferred Stock</w:t>
      </w:r>
      <w:r>
        <w:rPr>
          <w:rFonts w:ascii="Arial" w:cs="Arial" w:eastAsia="Arial" w:hAnsi="Arial"/>
          <w:sz w:val="14"/>
          <w:szCs w:val="14"/>
          <w:color w:val="auto"/>
        </w:rPr>
        <w:t>” shall mean the 7.50% Series G Cumulative Redeemable Perpetual Preferred Stock, liquidation preference $25.00 per share.</w:t>
      </w:r>
    </w:p>
    <w:p>
      <w:pPr>
        <w:spacing w:after="0" w:line="50" w:lineRule="exact"/>
        <w:rPr>
          <w:sz w:val="20"/>
          <w:szCs w:val="20"/>
          <w:color w:val="auto"/>
        </w:rPr>
      </w:pPr>
    </w:p>
    <w:p>
      <w:pPr>
        <w:ind w:left="340" w:right="2780" w:firstLine="325"/>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H Preferred Stock</w:t>
      </w:r>
      <w:r>
        <w:rPr>
          <w:rFonts w:ascii="Arial" w:cs="Arial" w:eastAsia="Arial" w:hAnsi="Arial"/>
          <w:sz w:val="14"/>
          <w:szCs w:val="14"/>
          <w:color w:val="auto"/>
        </w:rPr>
        <w:t>” shall mean the 7.125% Series H Cumulative Redeemable Perpetual Preferred Stock, liquidation preference $25.00 per share.</w:t>
      </w:r>
    </w:p>
    <w:p>
      <w:pPr>
        <w:spacing w:after="0" w:line="50" w:lineRule="exact"/>
        <w:rPr>
          <w:sz w:val="20"/>
          <w:szCs w:val="20"/>
          <w:color w:val="auto"/>
        </w:rPr>
      </w:pPr>
    </w:p>
    <w:p>
      <w:pPr>
        <w:jc w:val="both"/>
        <w:ind w:left="340" w:right="440" w:firstLine="325"/>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 apart for payment</w:t>
      </w:r>
      <w:r>
        <w:rPr>
          <w:rFonts w:ascii="Arial" w:cs="Arial" w:eastAsia="Arial" w:hAnsi="Arial"/>
          <w:sz w:val="14"/>
          <w:szCs w:val="14"/>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“Share Cap” </w:t>
      </w:r>
      <w:r>
        <w:rPr>
          <w:rFonts w:ascii="Arial" w:cs="Arial" w:eastAsia="Arial" w:hAnsi="Arial"/>
          <w:sz w:val="14"/>
          <w:szCs w:val="14"/>
          <w:color w:val="auto"/>
        </w:rPr>
        <w:t>shall have the meaning set forth in paragraph (a) of Section 7 hereof.</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“Share Split” </w:t>
      </w:r>
      <w:r>
        <w:rPr>
          <w:rFonts w:ascii="Arial" w:cs="Arial" w:eastAsia="Arial" w:hAnsi="Arial"/>
          <w:sz w:val="14"/>
          <w:szCs w:val="14"/>
          <w:color w:val="auto"/>
        </w:rPr>
        <w:t>shall have the meaning set forth in paragraph (b) of Section 7 hereof.</w:t>
      </w:r>
    </w:p>
    <w:p>
      <w:pPr>
        <w:spacing w:after="0" w:line="96" w:lineRule="exact"/>
        <w:rPr>
          <w:sz w:val="20"/>
          <w:szCs w:val="20"/>
          <w:color w:val="auto"/>
        </w:rPr>
      </w:pPr>
    </w:p>
    <w:p>
      <w:pPr>
        <w:ind w:left="340" w:right="300" w:firstLine="32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means American Stock Transfer &amp; Trust Company, New York, New York, or such other agent or agents of the Corporation as may be designated by the Board of Directors or its designee as the transfer agent for the Series E Preferred Stock.</w:t>
      </w:r>
    </w:p>
    <w:p>
      <w:pPr>
        <w:spacing w:after="0" w:line="86" w:lineRule="exact"/>
        <w:rPr>
          <w:sz w:val="20"/>
          <w:szCs w:val="20"/>
          <w:color w:val="auto"/>
        </w:rPr>
      </w:pPr>
    </w:p>
    <w:p>
      <w:pPr>
        <w:ind w:left="660" w:right="2920"/>
        <w:spacing w:after="0" w:line="41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Preferred Shares</w:t>
      </w:r>
      <w:r>
        <w:rPr>
          <w:rFonts w:ascii="Arial" w:cs="Arial" w:eastAsia="Arial" w:hAnsi="Arial"/>
          <w:sz w:val="14"/>
          <w:szCs w:val="14"/>
          <w:color w:val="auto"/>
        </w:rPr>
        <w:t>” shall have the meaning set forth in Section 10 hereof. “</w:t>
      </w:r>
      <w:r>
        <w:rPr>
          <w:rFonts w:ascii="Arial" w:cs="Arial" w:eastAsia="Arial" w:hAnsi="Arial"/>
          <w:sz w:val="14"/>
          <w:szCs w:val="14"/>
          <w:b w:val="1"/>
          <w:bCs w:val="1"/>
          <w:color w:val="auto"/>
        </w:rPr>
        <w:t>Voting Stock</w:t>
      </w:r>
      <w:r>
        <w:rPr>
          <w:rFonts w:ascii="Arial" w:cs="Arial" w:eastAsia="Arial" w:hAnsi="Arial"/>
          <w:sz w:val="14"/>
          <w:szCs w:val="14"/>
          <w:color w:val="auto"/>
        </w:rPr>
        <w:t>” shall have the meaning set forth in paragraph (a) of Section 5 hereof.</w:t>
      </w:r>
    </w:p>
    <w:p>
      <w:pPr>
        <w:spacing w:after="0" w:line="1" w:lineRule="exact"/>
        <w:rPr>
          <w:sz w:val="20"/>
          <w:szCs w:val="20"/>
          <w:color w:val="auto"/>
        </w:rPr>
      </w:pPr>
    </w:p>
    <w:p>
      <w:pPr>
        <w:ind w:firstLine="677"/>
        <w:spacing w:after="0" w:line="252"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Dividends.</w:t>
      </w:r>
      <w:r>
        <w:rPr>
          <w:rFonts w:ascii="Arial" w:cs="Arial" w:eastAsia="Arial" w:hAnsi="Arial"/>
          <w:sz w:val="14"/>
          <w:szCs w:val="14"/>
          <w:color w:val="auto"/>
        </w:rPr>
        <w:t xml:space="preserve"> (a) The holders of Series E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$2.1875 per share of Series E Preferred Stock (the “</w:t>
      </w:r>
      <w:r>
        <w:rPr>
          <w:rFonts w:ascii="Arial" w:cs="Arial" w:eastAsia="Arial" w:hAnsi="Arial"/>
          <w:sz w:val="13"/>
          <w:szCs w:val="13"/>
          <w:b w:val="1"/>
          <w:bCs w:val="1"/>
          <w:color w:val="auto"/>
        </w:rPr>
        <w:t>Annual Dividend Rate</w:t>
      </w:r>
      <w:r>
        <w:rPr>
          <w:rFonts w:ascii="Arial" w:cs="Arial" w:eastAsia="Arial" w:hAnsi="Arial"/>
          <w:sz w:val="13"/>
          <w:szCs w:val="13"/>
          <w:color w:val="auto"/>
        </w:rPr>
        <w:t>”) (equivalent to a rate of 8.75% of the Liquidation Preference per annum). Such dividends with respect to each share of Series E Preferred Stock issued prior to January 11, 2017 shall be cumulative from, and including, November 15, 2016 and with respect to each share of Series E Preferred Stock issued on or after January 11, 2017 shall be cumulative from, and including, the Dividend Payment Date with respect to which dividends were actually paid on shares of Series E Preferred Stock that were outstanding immediately preceding the issuance of such shares of Series E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E Preferred Stock on the first Dividend Payment Date following issuance of such shares of Series E Preferred Stock. Dividends are cumulative from the most recent Dividend Payment Date to which dividends have been paid, whether or not in any Dividend Period or Periods there shall be assets legally available therefor. Each such dividend shall be payable in arrears to the holders of</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E-4</w:t>
      </w:r>
    </w:p>
    <w:p>
      <w:pPr>
        <w:sectPr>
          <w:pgSz w:w="11900" w:h="16838" w:orient="portrait"/>
          <w:cols w:equalWidth="0" w:num="1">
            <w:col w:w="11080"/>
          </w:cols>
          <w:pgMar w:left="400" w:top="887" w:right="419" w:bottom="1440" w:gutter="0" w:footer="0" w:header="0"/>
        </w:sectPr>
      </w:pPr>
    </w:p>
    <w:bookmarkStart w:id="291" w:name="page292"/>
    <w:bookmarkEnd w:id="291"/>
    <w:p>
      <w:pPr>
        <w:ind w:right="60"/>
        <w:spacing w:after="0" w:line="253" w:lineRule="auto"/>
        <w:rPr>
          <w:sz w:val="20"/>
          <w:szCs w:val="20"/>
          <w:color w:val="auto"/>
        </w:rPr>
      </w:pPr>
      <w:r>
        <w:rPr>
          <w:rFonts w:ascii="Arial" w:cs="Arial" w:eastAsia="Arial" w:hAnsi="Arial"/>
          <w:sz w:val="14"/>
          <w:szCs w:val="14"/>
          <w:color w:val="auto"/>
        </w:rPr>
        <w:t>record of the Series E Preferred Stock, as they appear on the share records of the Corporation at the close of business on such record dates, not more than 30 days preceding the applicable Dividend Payment Date (the “</w:t>
      </w:r>
      <w:r>
        <w:rPr>
          <w:rFonts w:ascii="Arial" w:cs="Arial" w:eastAsia="Arial" w:hAnsi="Arial"/>
          <w:sz w:val="14"/>
          <w:szCs w:val="14"/>
          <w:b w:val="1"/>
          <w:bCs w:val="1"/>
          <w:color w:val="auto"/>
        </w:rPr>
        <w:t>Dividend Payment Record Date</w:t>
      </w:r>
      <w:r>
        <w:rPr>
          <w:rFonts w:ascii="Arial" w:cs="Arial" w:eastAsia="Arial" w:hAnsi="Arial"/>
          <w:sz w:val="14"/>
          <w:szCs w:val="14"/>
          <w:color w:val="auto"/>
        </w:rPr>
        <w:t>”), as shall be fixed by the Board of Directors. Accrued and unpaid dividends for any past Dividend Periods may be authorized and declared and paid at any time, without reference to any regular Dividend Payment Date, to holders of record on such date, not exceeding 30 days preceding the payment date thereof, as may be fixed by the Board of Directors.</w:t>
      </w:r>
    </w:p>
    <w:p>
      <w:pPr>
        <w:spacing w:after="0" w:line="70" w:lineRule="exact"/>
        <w:rPr>
          <w:sz w:val="20"/>
          <w:szCs w:val="20"/>
          <w:color w:val="auto"/>
        </w:rPr>
      </w:pPr>
    </w:p>
    <w:p>
      <w:pPr>
        <w:ind w:right="100" w:firstLine="677"/>
        <w:spacing w:after="0" w:line="250" w:lineRule="auto"/>
        <w:tabs>
          <w:tab w:leader="none" w:pos="979"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amount of dividends payable for each full Dividend Period for the Series E Preferred Stock shall be computed by dividing the Annual Dividend Rate by four. The amount of dividends payable for the initial Dividend Period, or any other period shorter or longer than a full Dividend Period, on the Series E Preferred Stock shall be computed on the basis of twelve 30-day months and a 360-day year. Holders of Series E Preferred Stock shall not be entitled to any dividends, whether payable in cash, property or stock, in excess of cumulative dividends, as herein provided, on the Series E Preferred Stock. No interest, or sum of money in lieu of interest, shall be payable in respect of any dividend payment or payments on the Series E Preferred Stock that may be in arrears.</w:t>
      </w:r>
    </w:p>
    <w:p>
      <w:pPr>
        <w:spacing w:after="0" w:line="61" w:lineRule="exact"/>
        <w:rPr>
          <w:rFonts w:ascii="Arial" w:cs="Arial" w:eastAsia="Arial" w:hAnsi="Arial"/>
          <w:sz w:val="14"/>
          <w:szCs w:val="14"/>
          <w:color w:val="auto"/>
        </w:rPr>
      </w:pPr>
    </w:p>
    <w:p>
      <w:pPr>
        <w:ind w:right="220" w:firstLine="677"/>
        <w:spacing w:after="0" w:line="299" w:lineRule="auto"/>
        <w:tabs>
          <w:tab w:leader="none" w:pos="973" w:val="left"/>
        </w:tabs>
        <w:numPr>
          <w:ilvl w:val="0"/>
          <w:numId w:val="189"/>
        </w:numPr>
        <w:rPr>
          <w:rFonts w:ascii="Arial" w:cs="Arial" w:eastAsia="Arial" w:hAnsi="Arial"/>
          <w:sz w:val="12"/>
          <w:szCs w:val="12"/>
          <w:color w:val="auto"/>
        </w:rPr>
      </w:pPr>
      <w:r>
        <w:rPr>
          <w:rFonts w:ascii="Arial" w:cs="Arial" w:eastAsia="Arial" w:hAnsi="Arial"/>
          <w:sz w:val="12"/>
          <w:szCs w:val="12"/>
          <w:color w:val="auto"/>
        </w:rPr>
        <w:t>So long as any shares of Series E Preferred Stock are outstanding, no dividends, except as described in the immediately following sentence, shall be authorized and declared or paid or set apart for payment on any series or class or classes of capital stock of the Corporation ranking on a parity with the Series E Preferred Stock as to payment of dividends (“</w:t>
      </w:r>
      <w:r>
        <w:rPr>
          <w:rFonts w:ascii="Arial" w:cs="Arial" w:eastAsia="Arial" w:hAnsi="Arial"/>
          <w:sz w:val="12"/>
          <w:szCs w:val="12"/>
          <w:b w:val="1"/>
          <w:bCs w:val="1"/>
          <w:color w:val="auto"/>
        </w:rPr>
        <w:t>Dividend</w:t>
      </w:r>
      <w:r>
        <w:rPr>
          <w:rFonts w:ascii="Arial" w:cs="Arial" w:eastAsia="Arial" w:hAnsi="Arial"/>
          <w:sz w:val="12"/>
          <w:szCs w:val="12"/>
          <w:color w:val="auto"/>
        </w:rPr>
        <w:t xml:space="preserve"> </w:t>
      </w:r>
      <w:r>
        <w:rPr>
          <w:rFonts w:ascii="Arial" w:cs="Arial" w:eastAsia="Arial" w:hAnsi="Arial"/>
          <w:sz w:val="12"/>
          <w:szCs w:val="12"/>
          <w:b w:val="1"/>
          <w:bCs w:val="1"/>
          <w:color w:val="auto"/>
        </w:rPr>
        <w:t>Parity Stock</w:t>
      </w:r>
      <w:r>
        <w:rPr>
          <w:rFonts w:ascii="Arial" w:cs="Arial" w:eastAsia="Arial" w:hAnsi="Arial"/>
          <w:sz w:val="12"/>
          <w:szCs w:val="12"/>
          <w:color w:val="auto"/>
        </w:rPr>
        <w:t>”) for any period unless full cumulative dividends have been or contemporaneously are authorized, declared and paid or authorized, declared and a sum sufficient for the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thereof set apart for such payment on the Series E Preferred Stock for all past Dividend Periods. When dividends are not paid in full or a sum sufficient for such payment is not set apart, as aforesaid, all dividends authorized and declared upon Series E Preferred Stock and all dividends authorized and declared upon any series or class or classes of Dividend Parity Stock shall be authorized and declared ratably in proportion to the respective amounts of dividends accrued and unpaid on the Series E Preferred Stock and such Dividend Parity Stock.</w:t>
      </w:r>
    </w:p>
    <w:p>
      <w:pPr>
        <w:spacing w:after="0" w:line="32" w:lineRule="exact"/>
        <w:rPr>
          <w:rFonts w:ascii="Arial" w:cs="Arial" w:eastAsia="Arial" w:hAnsi="Arial"/>
          <w:sz w:val="12"/>
          <w:szCs w:val="12"/>
          <w:color w:val="auto"/>
        </w:rPr>
      </w:pPr>
    </w:p>
    <w:p>
      <w:pPr>
        <w:ind w:firstLine="677"/>
        <w:spacing w:after="0" w:line="294" w:lineRule="auto"/>
        <w:tabs>
          <w:tab w:leader="none" w:pos="981" w:val="left"/>
        </w:tabs>
        <w:numPr>
          <w:ilvl w:val="0"/>
          <w:numId w:val="189"/>
        </w:numPr>
        <w:rPr>
          <w:rFonts w:ascii="Arial" w:cs="Arial" w:eastAsia="Arial" w:hAnsi="Arial"/>
          <w:sz w:val="12"/>
          <w:szCs w:val="12"/>
          <w:color w:val="auto"/>
        </w:rPr>
      </w:pPr>
      <w:r>
        <w:rPr>
          <w:rFonts w:ascii="Arial" w:cs="Arial" w:eastAsia="Arial" w:hAnsi="Arial"/>
          <w:sz w:val="12"/>
          <w:szCs w:val="12"/>
          <w:color w:val="auto"/>
        </w:rPr>
        <w:t>So long as any shares of Series E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(i) a redemption, purchase or other acquisition of Common Stock made for purposes of and in compliance with requirements of an employee incentive or benefit plan of the Corporation or any subsidiary, (ii) pursuant to Article VII of the Charter, (iii) as a result of a reclassification of such Junior Shares for or into other Junior Shares, or (iv)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by the Corporation, directly or indirectly (except by conversion into or exchange for Junior Shares), unless in each case the full cumulative dividends on all outstanding Series E Preferred Stock and any Dividend Parity Stock of the Corporation shall have been paid or set apart for payment for all past Dividend Periods with respect to the Series E Preferred Stock and all past dividend periods with respect to such Dividend Parity Stock.</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E-5</w:t>
      </w:r>
    </w:p>
    <w:p>
      <w:pPr>
        <w:sectPr>
          <w:pgSz w:w="11900" w:h="16838" w:orient="portrait"/>
          <w:cols w:equalWidth="0" w:num="1">
            <w:col w:w="11020"/>
          </w:cols>
          <w:pgMar w:left="400" w:top="903" w:right="479" w:bottom="1440" w:gutter="0" w:footer="0" w:header="0"/>
        </w:sectPr>
      </w:pPr>
    </w:p>
    <w:bookmarkStart w:id="292" w:name="page293"/>
    <w:bookmarkEnd w:id="292"/>
    <w:p>
      <w:pPr>
        <w:ind w:right="60" w:firstLine="677"/>
        <w:spacing w:after="0" w:line="268"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E Preferred Stock shall be entitled to receive $25.00 per share of the Series E Preferred Stock (the “</w:t>
      </w:r>
      <w:r>
        <w:rPr>
          <w:rFonts w:ascii="Arial" w:cs="Arial" w:eastAsia="Arial" w:hAnsi="Arial"/>
          <w:sz w:val="13"/>
          <w:szCs w:val="13"/>
          <w:b w:val="1"/>
          <w:bCs w:val="1"/>
          <w:color w:val="auto"/>
        </w:rPr>
        <w:t>Liquidation Preference</w:t>
      </w:r>
      <w:r>
        <w:rPr>
          <w:rFonts w:ascii="Arial" w:cs="Arial" w:eastAsia="Arial" w:hAnsi="Arial"/>
          <w:sz w:val="13"/>
          <w:szCs w:val="13"/>
          <w:color w:val="auto"/>
        </w:rPr>
        <w:t>”) plus an amount equal to all dividends (whether or not earned or declared) accrued and unpaid thereon to the date of final distribution to such holder; but such holders of Series E Preferred Stock shall not be entitled to any further payment. If, upon any such liquidation, dissolution or winding up of the Corporation, the assets of the Corporation, or proceeds thereof, distributable among the holders of Series E Preferred Stock shall be insufficient to pay in full the preferential amount aforesaid and liquidating payments on any other capital stock of the Corporation ranking on a parity with the Series E Preferred Stock as to such distribution, then such assets, or the proceeds thereof, shall be distributed among the holders of such Series E Preferred Stock and any such other stock ratably in accordance with the respective amounts that would be payable on such Series E Preferred Stock and any such other stock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50" w:lineRule="exact"/>
        <w:rPr>
          <w:sz w:val="20"/>
          <w:szCs w:val="20"/>
          <w:color w:val="auto"/>
        </w:rPr>
      </w:pPr>
    </w:p>
    <w:p>
      <w:pPr>
        <w:ind w:firstLine="677"/>
        <w:spacing w:after="0" w:line="253" w:lineRule="auto"/>
        <w:tabs>
          <w:tab w:leader="none" w:pos="876" w:val="left"/>
        </w:tabs>
        <w:numPr>
          <w:ilvl w:val="0"/>
          <w:numId w:val="190"/>
        </w:numPr>
        <w:rPr>
          <w:rFonts w:ascii="Arial" w:cs="Arial" w:eastAsia="Arial" w:hAnsi="Arial"/>
          <w:sz w:val="14"/>
          <w:szCs w:val="14"/>
          <w:color w:val="auto"/>
        </w:rPr>
      </w:pPr>
      <w:r>
        <w:rPr>
          <w:rFonts w:ascii="Arial" w:cs="Arial" w:eastAsia="Arial" w:hAnsi="Arial"/>
          <w:sz w:val="14"/>
          <w:szCs w:val="14"/>
          <w:color w:val="auto"/>
        </w:rPr>
        <w:t>Subject to the rights of the holders of shares of any series or class or classes of shares of stock ranking on a parity with or prior to the Series E Preferred Stock upon liquidation, dissolution or winding up, upon any liquidation, dissolution or winding up of the Corporation, after payment shall have been made in full to the holders of the Series E Preferred Stock, as provided in this Section 4, any series or class or classes of Junior Shares shall, subject to any respective terms and provisions applying thereto, be entitled to receive any and all assets remaining to be paid or distributed, and the holders of the Series E Preferred Stock shall not be entitled to share therein.</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Redemption at the Option of the Corporation</w:t>
      </w:r>
      <w:r>
        <w:rPr>
          <w:rFonts w:ascii="Arial" w:cs="Arial" w:eastAsia="Arial" w:hAnsi="Arial"/>
          <w:sz w:val="14"/>
          <w:szCs w:val="14"/>
          <w:color w:val="auto"/>
        </w:rPr>
        <w:t>.</w:t>
      </w:r>
    </w:p>
    <w:p>
      <w:pPr>
        <w:spacing w:after="0" w:line="85" w:lineRule="exact"/>
        <w:rPr>
          <w:sz w:val="20"/>
          <w:szCs w:val="20"/>
          <w:color w:val="auto"/>
        </w:rPr>
      </w:pPr>
    </w:p>
    <w:p>
      <w:pPr>
        <w:ind w:right="100" w:firstLine="677"/>
        <w:spacing w:after="0" w:line="249" w:lineRule="auto"/>
        <w:tabs>
          <w:tab w:leader="none" w:pos="868" w:val="left"/>
        </w:tabs>
        <w:numPr>
          <w:ilvl w:val="0"/>
          <w:numId w:val="191"/>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Section 7(a), upon the occurrence of a Change of Control, the Corporation may, at its option, upon not less than 30 nor more than 90 days’ written notice, redeem the Series E Preferred Stock, in whole, at any time, or in part, from time to time, within 120 days after the first date on which such Change of Control occurred, for cash at a redemption price of $25.00 per share, plus any accrued and unpaid dividends thereon (whether or not declared) to, but not including, the date fixed for redemption (the “</w:t>
      </w:r>
      <w:r>
        <w:rPr>
          <w:rFonts w:ascii="Arial" w:cs="Arial" w:eastAsia="Arial" w:hAnsi="Arial"/>
          <w:sz w:val="14"/>
          <w:szCs w:val="14"/>
          <w:b w:val="1"/>
          <w:bCs w:val="1"/>
          <w:color w:val="auto"/>
        </w:rPr>
        <w:t>Redemption Price</w:t>
      </w:r>
      <w:r>
        <w:rPr>
          <w:rFonts w:ascii="Arial" w:cs="Arial" w:eastAsia="Arial" w:hAnsi="Arial"/>
          <w:sz w:val="14"/>
          <w:szCs w:val="14"/>
          <w:color w:val="auto"/>
        </w:rPr>
        <w:t>”); provided that, if the Redemption Date is after a Dividend Payment Record Date and prior to the corresponding Dividend Payment Date, no additional amount for such accrued and unpaid dividend will be included in the Redemption Price and the dividend payments on such Dividend Payment Date shall be made pursuant to Section 5(d). If, prior to the Change of Control Conversion Date, the Corporation has provided notice of its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E-6</w:t>
      </w:r>
    </w:p>
    <w:p>
      <w:pPr>
        <w:sectPr>
          <w:pgSz w:w="11900" w:h="16838" w:orient="portrait"/>
          <w:cols w:equalWidth="0" w:num="1">
            <w:col w:w="11020"/>
          </w:cols>
          <w:pgMar w:left="400" w:top="903" w:right="479" w:bottom="1440" w:gutter="0" w:footer="0" w:header="0"/>
        </w:sectPr>
      </w:pPr>
    </w:p>
    <w:bookmarkStart w:id="293" w:name="page294"/>
    <w:bookmarkEnd w:id="293"/>
    <w:p>
      <w:pPr>
        <w:spacing w:after="0" w:line="290" w:lineRule="auto"/>
        <w:rPr>
          <w:sz w:val="20"/>
          <w:szCs w:val="20"/>
          <w:color w:val="auto"/>
        </w:rPr>
      </w:pPr>
      <w:r>
        <w:rPr>
          <w:rFonts w:ascii="Arial" w:cs="Arial" w:eastAsia="Arial" w:hAnsi="Arial"/>
          <w:sz w:val="12"/>
          <w:szCs w:val="12"/>
          <w:color w:val="auto"/>
        </w:rPr>
        <w:t>election to redeem some or all of the shares of Series E Preferred Stock pursuant to this Section 5, the holders of Series E Preferred Stock will not have the Change of Control Conversion Right (as hereinafter defined) with respect to the shares called for redemption. If the Corporation elects to redeem any shares of Series E Preferred Stock as described in this Section 5(a), it may use any available cash to pay the Redemption Price, and it will not be required to pay the Redemption Price only out of the proceeds from the issuance of other equity securities or any other specific source. A “</w:t>
      </w:r>
      <w:r>
        <w:rPr>
          <w:rFonts w:ascii="Arial" w:cs="Arial" w:eastAsia="Arial" w:hAnsi="Arial"/>
          <w:sz w:val="12"/>
          <w:szCs w:val="12"/>
          <w:b w:val="1"/>
          <w:bCs w:val="1"/>
          <w:color w:val="auto"/>
        </w:rPr>
        <w:t>Change of Control</w:t>
      </w:r>
      <w:r>
        <w:rPr>
          <w:rFonts w:ascii="Arial" w:cs="Arial" w:eastAsia="Arial" w:hAnsi="Arial"/>
          <w:sz w:val="12"/>
          <w:szCs w:val="12"/>
          <w:color w:val="auto"/>
        </w:rPr>
        <w:t>” shall be deemed to have occurred at such time as (i) (A) the date a “person”, including any syndicate or group deemed to be a person within the meaning of Sections 13(d)(3) and 14(d)(2) of the Securities Exchange Act of 1934, as amended (the “</w:t>
      </w:r>
      <w:r>
        <w:rPr>
          <w:rFonts w:ascii="Arial" w:cs="Arial" w:eastAsia="Arial" w:hAnsi="Arial"/>
          <w:sz w:val="12"/>
          <w:szCs w:val="12"/>
          <w:b w:val="1"/>
          <w:bCs w:val="1"/>
          <w:color w:val="auto"/>
        </w:rPr>
        <w:t>Securities Exchange Act</w:t>
      </w:r>
      <w:r>
        <w:rPr>
          <w:rFonts w:ascii="Arial" w:cs="Arial" w:eastAsia="Arial" w:hAnsi="Arial"/>
          <w:sz w:val="12"/>
          <w:szCs w:val="12"/>
          <w:color w:val="auto"/>
        </w:rPr>
        <w:t>”) becomes 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or (B)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and (ii) following the closing of any transaction referred to in clause (i), neither the Corporation nor the acquiring or surviving entity has a class of common equity securities (or American Depositary Receipts representing such securities) listed on the New York Stock Exchange, the NYSE MKT or the NASDAQ Stock Market, or listed or quoted on an exchange or quotation system that is a successor to any such securities exchange. “</w:t>
      </w:r>
      <w:r>
        <w:rPr>
          <w:rFonts w:ascii="Arial" w:cs="Arial" w:eastAsia="Arial" w:hAnsi="Arial"/>
          <w:sz w:val="12"/>
          <w:szCs w:val="12"/>
          <w:b w:val="1"/>
          <w:bCs w:val="1"/>
          <w:color w:val="auto"/>
        </w:rPr>
        <w:t>Voting Stock</w:t>
      </w:r>
      <w:r>
        <w:rPr>
          <w:rFonts w:ascii="Arial" w:cs="Arial" w:eastAsia="Arial" w:hAnsi="Arial"/>
          <w:sz w:val="12"/>
          <w:szCs w:val="12"/>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203" w:lineRule="exact"/>
        <w:rPr>
          <w:sz w:val="20"/>
          <w:szCs w:val="20"/>
          <w:color w:val="auto"/>
        </w:rPr>
      </w:pPr>
    </w:p>
    <w:p>
      <w:pPr>
        <w:ind w:right="60" w:firstLine="677"/>
        <w:spacing w:after="0" w:line="310" w:lineRule="auto"/>
        <w:tabs>
          <w:tab w:leader="none" w:pos="1003" w:val="left"/>
        </w:tabs>
        <w:numPr>
          <w:ilvl w:val="0"/>
          <w:numId w:val="192"/>
        </w:numPr>
        <w:rPr>
          <w:rFonts w:ascii="Arial" w:cs="Arial" w:eastAsia="Arial" w:hAnsi="Arial"/>
          <w:sz w:val="13"/>
          <w:szCs w:val="13"/>
          <w:color w:val="auto"/>
        </w:rPr>
      </w:pPr>
      <w:r>
        <w:rPr>
          <w:rFonts w:ascii="Arial" w:cs="Arial" w:eastAsia="Arial" w:hAnsi="Arial"/>
          <w:sz w:val="13"/>
          <w:szCs w:val="13"/>
          <w:color w:val="auto"/>
        </w:rPr>
        <w:t>Except as otherwise permitted by the Charter and paragraph (a) above, the Series E Preferred Stock shall not be redeemable by the Corporation prior to May 15, 2019. On and after May 15, 2019, the Corporation, at its option, may redeem the shares of Series E Preferred Stock, in whole or in part, as set forth herein, subject to the provisions described below.</w:t>
      </w:r>
    </w:p>
    <w:p>
      <w:pPr>
        <w:spacing w:after="0" w:line="151" w:lineRule="exact"/>
        <w:rPr>
          <w:rFonts w:ascii="Arial" w:cs="Arial" w:eastAsia="Arial" w:hAnsi="Arial"/>
          <w:sz w:val="13"/>
          <w:szCs w:val="13"/>
          <w:color w:val="auto"/>
        </w:rPr>
      </w:pPr>
    </w:p>
    <w:p>
      <w:pPr>
        <w:ind w:right="20" w:firstLine="677"/>
        <w:spacing w:after="0" w:line="320" w:lineRule="auto"/>
        <w:tabs>
          <w:tab w:leader="none" w:pos="973" w:val="left"/>
        </w:tabs>
        <w:numPr>
          <w:ilvl w:val="0"/>
          <w:numId w:val="192"/>
        </w:numPr>
        <w:rPr>
          <w:rFonts w:ascii="Arial" w:cs="Arial" w:eastAsia="Arial" w:hAnsi="Arial"/>
          <w:sz w:val="12"/>
          <w:szCs w:val="12"/>
          <w:color w:val="auto"/>
        </w:rPr>
      </w:pPr>
      <w:r>
        <w:rPr>
          <w:rFonts w:ascii="Arial" w:cs="Arial" w:eastAsia="Arial" w:hAnsi="Arial"/>
          <w:sz w:val="12"/>
          <w:szCs w:val="12"/>
          <w:color w:val="auto"/>
        </w:rPr>
        <w:t>On and after May 15, 2019, the Series E Preferred Stock shall be redeemable at the option of the Corporation, in whole or in part, at any time or from time to time, at the Redemption Price. Each date on which Series E Preferred Stock are to be redeemed (a “</w:t>
      </w:r>
      <w:r>
        <w:rPr>
          <w:rFonts w:ascii="Arial" w:cs="Arial" w:eastAsia="Arial" w:hAnsi="Arial"/>
          <w:sz w:val="12"/>
          <w:szCs w:val="12"/>
          <w:b w:val="1"/>
          <w:bCs w:val="1"/>
          <w:color w:val="auto"/>
        </w:rPr>
        <w:t>Redemption Date</w:t>
      </w:r>
      <w:r>
        <w:rPr>
          <w:rFonts w:ascii="Arial" w:cs="Arial" w:eastAsia="Arial" w:hAnsi="Arial"/>
          <w:sz w:val="12"/>
          <w:szCs w:val="12"/>
          <w:color w:val="auto"/>
        </w:rPr>
        <w:t>”) shall be selected by the Corporation, shall be specified in the notice of redemption and shall not be less than 30 days or more than 90 days after the date on which the Corporation gives, or causes to be given, notice of redemption by mail pursuant to the next paragraph.</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E-7</w:t>
      </w:r>
    </w:p>
    <w:p>
      <w:pPr>
        <w:sectPr>
          <w:pgSz w:w="11900" w:h="16838" w:orient="portrait"/>
          <w:cols w:equalWidth="0" w:num="1">
            <w:col w:w="11000"/>
          </w:cols>
          <w:pgMar w:left="400" w:top="903" w:right="499" w:bottom="1440" w:gutter="0" w:footer="0" w:header="0"/>
        </w:sectPr>
      </w:pPr>
    </w:p>
    <w:bookmarkStart w:id="294" w:name="page295"/>
    <w:bookmarkEnd w:id="294"/>
    <w:p>
      <w:pPr>
        <w:ind w:firstLine="677"/>
        <w:spacing w:after="0" w:line="267" w:lineRule="auto"/>
        <w:rPr>
          <w:sz w:val="20"/>
          <w:szCs w:val="20"/>
          <w:color w:val="auto"/>
        </w:rPr>
      </w:pPr>
      <w:r>
        <w:rPr>
          <w:rFonts w:ascii="Arial" w:cs="Arial" w:eastAsia="Arial" w:hAnsi="Arial"/>
          <w:sz w:val="13"/>
          <w:szCs w:val="13"/>
          <w:color w:val="auto"/>
        </w:rPr>
        <w:t>A notice of redemption (which may be contingent on the occurrence of a future event) shall be mailed, postage prepaid, not less than 30 nor more than 90 days prior to the Redemption Date, addressed to the respective holders of record of the Series E Preferred Stock at their respective addresses as they appear on the Corporation’s share transfer records. A failure to give such notice or any defect in the notice or in its mailing shall not affect the validity of the proceedings for the redemption of any Series E Preferred Stock except as to the holder to whom notice was defective or not given (unless such a holder elects to tender such holder’s shares). Each notice shall state: (i) the Redemption Date; (ii) the Redemption Price; (iii) the number of shares of Series E Preferred Stock to be redeemed and, if fewer than all the shares of Series E Preferred Stock held by such holder are to be redeemed, the number of such shares of Series E Preferred Stock to be redeemed from such holder; (iv) the place or places where the certificates representing the shares of Series E Preferred Stock are to be surrendered for payment of the Redemption Price, if any of such shares are certificated; (v) that distributions on the shares to be redeemed will cease to accrue on such Redemption Date except as otherwise provided herein; and (vi)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(as defined below), for redemption will be redeemed on the related date of redemption instead of converted on the Change of Control Conversion Date. Notwithstanding the foregoing, no notice of redemption will be required where the Corporation elects to redeem Series E Preferred Stock pursuant to Section 5(b) and Article VII of the Charter to preserve its REIT qualification for federal income tax purposes.</w:t>
      </w:r>
    </w:p>
    <w:p>
      <w:pPr>
        <w:spacing w:after="0" w:line="51" w:lineRule="exact"/>
        <w:rPr>
          <w:sz w:val="20"/>
          <w:szCs w:val="20"/>
          <w:color w:val="auto"/>
        </w:rPr>
      </w:pPr>
    </w:p>
    <w:p>
      <w:pPr>
        <w:ind w:right="40" w:firstLine="677"/>
        <w:spacing w:after="0" w:line="278" w:lineRule="auto"/>
        <w:tabs>
          <w:tab w:leader="none" w:pos="981"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If the Redemption Date falls after a Dividend Payment Record Date and prior to the corresponding Dividend Payment Date, then each holder of Series E Preferred Stock at the close of business on such Dividend Payment Record Date shall be entitled to the dividend payable on such Series E Preferred Stock on the corresponding Dividend Payment Date notwithstanding the redemption of such Series E Preferred Stock before such Dividend Payment Date. Except as provided in calculating the Redemption Price and in this Section 5(d), the Corporation shall make no payment or allowance for unpaid dividends, whether or not in arrears, on Series E Preferred Stock called for redemption.</w:t>
      </w:r>
    </w:p>
    <w:p>
      <w:pPr>
        <w:spacing w:after="0" w:line="44" w:lineRule="exact"/>
        <w:rPr>
          <w:rFonts w:ascii="Arial" w:cs="Arial" w:eastAsia="Arial" w:hAnsi="Arial"/>
          <w:sz w:val="13"/>
          <w:szCs w:val="13"/>
          <w:color w:val="auto"/>
        </w:rPr>
      </w:pPr>
    </w:p>
    <w:p>
      <w:pPr>
        <w:ind w:right="180" w:firstLine="677"/>
        <w:spacing w:after="0" w:line="253" w:lineRule="auto"/>
        <w:tabs>
          <w:tab w:leader="none" w:pos="973" w:val="left"/>
        </w:tabs>
        <w:numPr>
          <w:ilvl w:val="0"/>
          <w:numId w:val="193"/>
        </w:numPr>
        <w:rPr>
          <w:rFonts w:ascii="Arial" w:cs="Arial" w:eastAsia="Arial" w:hAnsi="Arial"/>
          <w:sz w:val="14"/>
          <w:szCs w:val="14"/>
          <w:color w:val="auto"/>
        </w:rPr>
      </w:pPr>
      <w:r>
        <w:rPr>
          <w:rFonts w:ascii="Arial" w:cs="Arial" w:eastAsia="Arial" w:hAnsi="Arial"/>
          <w:sz w:val="14"/>
          <w:szCs w:val="14"/>
          <w:color w:val="auto"/>
        </w:rPr>
        <w:t>If full cumulative dividends for all past dividend periods on the Series E Preferred Stock and any series or class or classes of Dividend Parity Stock have not been paid or declared and set apart for payment, except as otherwise permitted under the Charter, the Series E Preferred Stock may not be redeemed in part and the Corporation may not purchase, redeem or otherwise acquire Series E Preferred Stock or any capital stock of the Corporation ranking on a parity with the Series E Preferred Stock as to payment of dividends or as to the distribution of assets upon liquidation, dissolution or winding up, other than in exchange for Junior Shares.</w:t>
      </w:r>
    </w:p>
    <w:p>
      <w:pPr>
        <w:spacing w:after="0" w:line="57" w:lineRule="exact"/>
        <w:rPr>
          <w:rFonts w:ascii="Arial" w:cs="Arial" w:eastAsia="Arial" w:hAnsi="Arial"/>
          <w:sz w:val="14"/>
          <w:szCs w:val="14"/>
          <w:color w:val="auto"/>
        </w:rPr>
      </w:pPr>
    </w:p>
    <w:p>
      <w:pPr>
        <w:ind w:right="100" w:firstLine="677"/>
        <w:spacing w:after="0" w:line="257" w:lineRule="auto"/>
        <w:tabs>
          <w:tab w:leader="none" w:pos="958" w:val="left"/>
        </w:tabs>
        <w:numPr>
          <w:ilvl w:val="0"/>
          <w:numId w:val="193"/>
        </w:numPr>
        <w:rPr>
          <w:rFonts w:ascii="Arial" w:cs="Arial" w:eastAsia="Arial" w:hAnsi="Arial"/>
          <w:sz w:val="14"/>
          <w:szCs w:val="14"/>
          <w:color w:val="auto"/>
        </w:rPr>
      </w:pPr>
      <w:r>
        <w:rPr>
          <w:rFonts w:ascii="Arial" w:cs="Arial" w:eastAsia="Arial" w:hAnsi="Arial"/>
          <w:sz w:val="14"/>
          <w:szCs w:val="14"/>
          <w:color w:val="auto"/>
        </w:rPr>
        <w:t>Notice having been mailed as aforesaid, from and after the Redemption Date (unless the Corporation shall fail to make available the amount of cash necessary to effect such redemption), (i) except as otherwise provided herein, dividends on the shares of Series E Preferred Stock so called for redemption shall cease to accrue, (ii) said shares shall no longer be deemed to be outstanding, and (iii) all rights of the holders thereof as holders of Series 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E-8</w:t>
      </w:r>
    </w:p>
    <w:p>
      <w:pPr>
        <w:sectPr>
          <w:pgSz w:w="11900" w:h="16838" w:orient="portrait"/>
          <w:cols w:equalWidth="0" w:num="1">
            <w:col w:w="10980"/>
          </w:cols>
          <w:pgMar w:left="400" w:top="903" w:right="519" w:bottom="1440" w:gutter="0" w:footer="0" w:header="0"/>
        </w:sectPr>
      </w:pPr>
    </w:p>
    <w:bookmarkStart w:id="295" w:name="page296"/>
    <w:bookmarkEnd w:id="295"/>
    <w:p>
      <w:pPr>
        <w:ind w:right="60"/>
        <w:spacing w:after="0" w:line="247" w:lineRule="auto"/>
        <w:rPr>
          <w:sz w:val="20"/>
          <w:szCs w:val="20"/>
          <w:color w:val="auto"/>
        </w:rPr>
      </w:pPr>
      <w:r>
        <w:rPr>
          <w:rFonts w:ascii="Arial" w:cs="Arial" w:eastAsia="Arial" w:hAnsi="Arial"/>
          <w:sz w:val="14"/>
          <w:szCs w:val="14"/>
          <w:color w:val="auto"/>
        </w:rPr>
        <w:t>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E Preferred Stock so called for redemption. No interest shall accrue for the benefit of the holder of Series E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66" w:lineRule="exact"/>
        <w:rPr>
          <w:sz w:val="20"/>
          <w:szCs w:val="20"/>
          <w:color w:val="auto"/>
        </w:rPr>
      </w:pPr>
    </w:p>
    <w:p>
      <w:pPr>
        <w:ind w:right="40" w:firstLine="677"/>
        <w:spacing w:after="0" w:line="249" w:lineRule="auto"/>
        <w:rPr>
          <w:sz w:val="20"/>
          <w:szCs w:val="20"/>
          <w:color w:val="auto"/>
        </w:rPr>
      </w:pPr>
      <w:r>
        <w:rPr>
          <w:rFonts w:ascii="Arial" w:cs="Arial" w:eastAsia="Arial" w:hAnsi="Arial"/>
          <w:sz w:val="14"/>
          <w:szCs w:val="14"/>
          <w:color w:val="auto"/>
        </w:rPr>
        <w:t>As promptly as practicable after the surrender in accordance with said notice of the certificates for any such shares of Series E Preferred Stock so redeemed (properly endorsed or assigned for transfer, if the Corporation shall so require and if the notice shall so state), such shares of Series E Preferred Stock shall be exchanged for the cash (without interest thereon) for which such shares of Series E Preferred Stock have been redeemed. If fewer than all of the outstanding shares of Series E Preferred Stock are to be redeemed, the shares of Series E Preferred Stock to be redeemed shall be selected by the Corporation from the outstanding shares of Series E Preferred Stock not previously called for redemption by lot or pro rata (as nearly as may be possible). If fewer than all the shares of Series E Preferred Stock represented by any certificate are redeemed, then new certificates representing the unredeemed shares of Series E Preferred Stock shall be issued without cost to the holder thereof.</w:t>
      </w:r>
    </w:p>
    <w:p>
      <w:pPr>
        <w:spacing w:after="0" w:line="202" w:lineRule="exact"/>
        <w:rPr>
          <w:sz w:val="20"/>
          <w:szCs w:val="20"/>
          <w:color w:val="auto"/>
        </w:rPr>
      </w:pPr>
    </w:p>
    <w:p>
      <w:pPr>
        <w:ind w:firstLine="677"/>
        <w:spacing w:after="0" w:line="270"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Reacquired Shares to Be Retired</w:t>
      </w:r>
      <w:r>
        <w:rPr>
          <w:rFonts w:ascii="Arial" w:cs="Arial" w:eastAsia="Arial" w:hAnsi="Arial"/>
          <w:sz w:val="14"/>
          <w:szCs w:val="14"/>
          <w:color w:val="auto"/>
        </w:rPr>
        <w:t>. All shares of Series E Preferred Stock that have been issued and reacquired in any manner by the Corporation shall be restored to the status of authorized but unissued shares of Preferred Stock, without designation as to series.</w:t>
      </w:r>
    </w:p>
    <w:p>
      <w:pPr>
        <w:spacing w:after="0" w:line="176" w:lineRule="exact"/>
        <w:rPr>
          <w:sz w:val="20"/>
          <w:szCs w:val="20"/>
          <w:color w:val="auto"/>
        </w:rPr>
      </w:pPr>
    </w:p>
    <w:p>
      <w:pPr>
        <w:ind w:right="300" w:firstLine="677"/>
        <w:spacing w:after="0" w:line="270"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Conversion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Except as provided in this Section 7, the Series E Preferred Stock are not convertible into or exchangeable for any other property or securities of the Corporation at the option of any holder of Series E Preferred Stock.</w:t>
      </w:r>
    </w:p>
    <w:p>
      <w:pPr>
        <w:spacing w:after="0" w:line="47" w:lineRule="exact"/>
        <w:rPr>
          <w:sz w:val="20"/>
          <w:szCs w:val="20"/>
          <w:color w:val="auto"/>
        </w:rPr>
      </w:pPr>
    </w:p>
    <w:p>
      <w:pPr>
        <w:jc w:val="both"/>
        <w:ind w:firstLine="677"/>
        <w:spacing w:after="0" w:line="274" w:lineRule="auto"/>
        <w:tabs>
          <w:tab w:leader="none" w:pos="973" w:val="left"/>
        </w:tabs>
        <w:numPr>
          <w:ilvl w:val="0"/>
          <w:numId w:val="194"/>
        </w:numPr>
        <w:rPr>
          <w:rFonts w:ascii="Arial" w:cs="Arial" w:eastAsia="Arial" w:hAnsi="Arial"/>
          <w:sz w:val="13"/>
          <w:szCs w:val="13"/>
          <w:color w:val="auto"/>
        </w:rPr>
      </w:pPr>
      <w:r>
        <w:rPr>
          <w:rFonts w:ascii="Arial" w:cs="Arial" w:eastAsia="Arial" w:hAnsi="Arial"/>
          <w:sz w:val="13"/>
          <w:szCs w:val="13"/>
          <w:color w:val="auto"/>
        </w:rPr>
        <w:t>Upon the occurrence of a Change of Control, each holder of Series E Preferred Stock shall have the right (unless, prior to the Change of Control Conversion Date, the Corporation has provided notice of its election to redeem some or all of the shares of Series E Preferred Stock held by such holder pursuant to Section 5, in which case such holder will have the right only with respect to shares of Series E Preferred Stock that are not called for redemption) to convert each of the Series E Preferred Stock held by such holder (the “</w:t>
      </w:r>
      <w:r>
        <w:rPr>
          <w:rFonts w:ascii="Arial" w:cs="Arial" w:eastAsia="Arial" w:hAnsi="Arial"/>
          <w:sz w:val="13"/>
          <w:szCs w:val="13"/>
          <w:b w:val="1"/>
          <w:bCs w:val="1"/>
          <w:color w:val="auto"/>
        </w:rPr>
        <w:t>Change of Control Conversion Right</w:t>
      </w:r>
      <w:r>
        <w:rPr>
          <w:rFonts w:ascii="Arial" w:cs="Arial" w:eastAsia="Arial" w:hAnsi="Arial"/>
          <w:sz w:val="13"/>
          <w:szCs w:val="13"/>
          <w:color w:val="auto"/>
        </w:rPr>
        <w:t>”) on the Change of Control Conversion Date into a number of shares of Class A Common Stock (the “</w:t>
      </w:r>
      <w:r>
        <w:rPr>
          <w:rFonts w:ascii="Arial" w:cs="Arial" w:eastAsia="Arial" w:hAnsi="Arial"/>
          <w:sz w:val="13"/>
          <w:szCs w:val="13"/>
          <w:b w:val="1"/>
          <w:bCs w:val="1"/>
          <w:color w:val="auto"/>
        </w:rPr>
        <w:t>Common Stock Conversion Consideration</w:t>
      </w:r>
      <w:r>
        <w:rPr>
          <w:rFonts w:ascii="Arial" w:cs="Arial" w:eastAsia="Arial" w:hAnsi="Arial"/>
          <w:sz w:val="13"/>
          <w:szCs w:val="13"/>
          <w:color w:val="auto"/>
        </w:rPr>
        <w:t>”) equal to the lesser of: (i) the quotient obtained by dividing (x) the sum of the Liquidation Preference per share of Series E Preferred Stock plus the amount of any accrued and unpaid dividends thereon</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E-9</w:t>
      </w:r>
    </w:p>
    <w:p>
      <w:pPr>
        <w:sectPr>
          <w:pgSz w:w="11900" w:h="16838" w:orient="portrait"/>
          <w:cols w:equalWidth="0" w:num="1">
            <w:col w:w="11000"/>
          </w:cols>
          <w:pgMar w:left="400" w:top="903" w:right="499" w:bottom="1440" w:gutter="0" w:footer="0" w:header="0"/>
        </w:sectPr>
      </w:pPr>
    </w:p>
    <w:bookmarkStart w:id="296" w:name="page297"/>
    <w:bookmarkEnd w:id="296"/>
    <w:p>
      <w:pPr>
        <w:ind w:right="240"/>
        <w:spacing w:after="0" w:line="286" w:lineRule="auto"/>
        <w:rPr>
          <w:sz w:val="20"/>
          <w:szCs w:val="20"/>
          <w:color w:val="auto"/>
        </w:rPr>
      </w:pPr>
      <w:r>
        <w:rPr>
          <w:rFonts w:ascii="Arial" w:cs="Arial" w:eastAsia="Arial" w:hAnsi="Arial"/>
          <w:sz w:val="13"/>
          <w:szCs w:val="13"/>
          <w:color w:val="auto"/>
        </w:rPr>
        <w:t>to, but not including, the Change of Control Conversion Date (unless the Change of Control Conversion Date is after a Dividend Payment Record Date and prior to the corresponding Dividend Payment Date for the Series E Preferred Stock, in which case no additional amount for such accrued and unpaid dividends shall be included in this sum) by (y) the Common Stock Price (as defined below) (such quotient, the “</w:t>
      </w:r>
      <w:r>
        <w:rPr>
          <w:rFonts w:ascii="Arial" w:cs="Arial" w:eastAsia="Arial" w:hAnsi="Arial"/>
          <w:sz w:val="13"/>
          <w:szCs w:val="13"/>
          <w:b w:val="1"/>
          <w:bCs w:val="1"/>
          <w:color w:val="auto"/>
        </w:rPr>
        <w:t>Conversion Rate</w:t>
      </w:r>
      <w:r>
        <w:rPr>
          <w:rFonts w:ascii="Arial" w:cs="Arial" w:eastAsia="Arial" w:hAnsi="Arial"/>
          <w:sz w:val="13"/>
          <w:szCs w:val="13"/>
          <w:color w:val="auto"/>
        </w:rPr>
        <w:t xml:space="preserve">”); and (ii) 3.5403 (the </w:t>
      </w:r>
      <w:r>
        <w:rPr>
          <w:rFonts w:ascii="Arial" w:cs="Arial" w:eastAsia="Arial" w:hAnsi="Arial"/>
          <w:sz w:val="13"/>
          <w:szCs w:val="13"/>
          <w:b w:val="1"/>
          <w:bCs w:val="1"/>
          <w:color w:val="auto"/>
        </w:rPr>
        <w:t>“Share Cap”</w:t>
      </w:r>
      <w:r>
        <w:rPr>
          <w:rFonts w:ascii="Arial" w:cs="Arial" w:eastAsia="Arial" w:hAnsi="Arial"/>
          <w:sz w:val="13"/>
          <w:szCs w:val="13"/>
          <w:color w:val="auto"/>
        </w:rPr>
        <w:t>), subject to adjustments provided in Section 7(b) below.</w:t>
      </w:r>
    </w:p>
    <w:p>
      <w:pPr>
        <w:spacing w:after="0" w:line="50" w:lineRule="exact"/>
        <w:rPr>
          <w:sz w:val="20"/>
          <w:szCs w:val="20"/>
          <w:color w:val="auto"/>
        </w:rPr>
      </w:pPr>
    </w:p>
    <w:p>
      <w:pPr>
        <w:ind w:right="120" w:firstLine="677"/>
        <w:spacing w:after="0" w:line="247" w:lineRule="auto"/>
        <w:tabs>
          <w:tab w:leader="none" w:pos="979"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Share Cap is subject to pro rata adjustments for any share splits (including those effected pursuant to a distribution of Class A Common Stock to existing holders of Class A Common Stock), subdivisions or combinations (in each case, a “</w:t>
      </w:r>
      <w:r>
        <w:rPr>
          <w:rFonts w:ascii="Arial" w:cs="Arial" w:eastAsia="Arial" w:hAnsi="Arial"/>
          <w:sz w:val="14"/>
          <w:szCs w:val="14"/>
          <w:b w:val="1"/>
          <w:bCs w:val="1"/>
          <w:color w:val="auto"/>
        </w:rPr>
        <w:t>Share Split</w:t>
      </w:r>
      <w:r>
        <w:rPr>
          <w:rFonts w:ascii="Arial" w:cs="Arial" w:eastAsia="Arial" w:hAnsi="Arial"/>
          <w:sz w:val="14"/>
          <w:szCs w:val="14"/>
          <w:color w:val="auto"/>
        </w:rPr>
        <w:t>”) with respect to Class A Common Stock as follows: the adjusted Share Cap as the result of a Share Split will be the number of shares of Class A Common Stock that is equivalent to the product obtained by multiplying (i) the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 For the avoidance of doubt, subject to the immediately succeeding sentence, the aggregate number of shares of Class A Common Stock (or equivalent Alternative</w:t>
      </w:r>
    </w:p>
    <w:p>
      <w:pPr>
        <w:spacing w:after="0" w:line="247" w:lineRule="auto"/>
        <w:rPr>
          <w:rFonts w:ascii="Arial" w:cs="Arial" w:eastAsia="Arial" w:hAnsi="Arial"/>
          <w:sz w:val="14"/>
          <w:szCs w:val="14"/>
          <w:color w:val="auto"/>
        </w:rPr>
      </w:pPr>
      <w:r>
        <w:rPr>
          <w:rFonts w:ascii="Arial" w:cs="Arial" w:eastAsia="Arial" w:hAnsi="Arial"/>
          <w:sz w:val="14"/>
          <w:szCs w:val="14"/>
          <w:color w:val="auto"/>
        </w:rPr>
        <w:t>Conversion Consideration (as defined below), as applicable) issuable or deliverable, as applicable, in connection with the exercise of the Change of Control Conversion Right shall not exceed the product of the Share Cap times the aggregate number of shares of the Series E Preferred Stock issued and outstanding at the Change of Control Conversion Date (or equivalent Alternative Conversion Consideration, as applicable) (the “</w:t>
      </w:r>
      <w:r>
        <w:rPr>
          <w:rFonts w:ascii="Arial" w:cs="Arial" w:eastAsia="Arial" w:hAnsi="Arial"/>
          <w:sz w:val="14"/>
          <w:szCs w:val="14"/>
          <w:b w:val="1"/>
          <w:bCs w:val="1"/>
          <w:color w:val="auto"/>
        </w:rPr>
        <w:t>Exchange Cap</w:t>
      </w:r>
      <w:r>
        <w:rPr>
          <w:rFonts w:ascii="Arial" w:cs="Arial" w:eastAsia="Arial" w:hAnsi="Arial"/>
          <w:sz w:val="14"/>
          <w:szCs w:val="14"/>
          <w:color w:val="auto"/>
        </w:rPr>
        <w:t>”). The Exchange Cap is subject to pro rata adjustments for any Share Splits on the same basis as the corresponding adjustment to the Share Cap.</w:t>
      </w:r>
    </w:p>
    <w:p>
      <w:pPr>
        <w:spacing w:after="0" w:line="46" w:lineRule="exact"/>
        <w:rPr>
          <w:rFonts w:ascii="Arial" w:cs="Arial" w:eastAsia="Arial" w:hAnsi="Arial"/>
          <w:sz w:val="14"/>
          <w:szCs w:val="14"/>
          <w:color w:val="auto"/>
        </w:rPr>
      </w:pPr>
    </w:p>
    <w:p>
      <w:pPr>
        <w:ind w:right="360" w:firstLine="677"/>
        <w:spacing w:after="0" w:line="316" w:lineRule="auto"/>
        <w:tabs>
          <w:tab w:leader="none" w:pos="971"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Change of Control Conversion Date</w:t>
      </w:r>
      <w:r>
        <w:rPr>
          <w:rFonts w:ascii="Arial" w:cs="Arial" w:eastAsia="Arial" w:hAnsi="Arial"/>
          <w:sz w:val="13"/>
          <w:szCs w:val="13"/>
          <w:color w:val="auto"/>
        </w:rPr>
        <w:t>” is the date the Series E Preferred Stock is to be converted, which shall be a Business Day selected by the Corporation that is no fewer than 20 days nor more than 35 days after the date on which it provides the notice described in Section 7(h) to the holders of Series E Preferred Stock.</w:t>
      </w:r>
    </w:p>
    <w:p>
      <w:pPr>
        <w:spacing w:after="0" w:line="144" w:lineRule="exact"/>
        <w:rPr>
          <w:rFonts w:ascii="Arial" w:cs="Arial" w:eastAsia="Arial" w:hAnsi="Arial"/>
          <w:sz w:val="13"/>
          <w:szCs w:val="13"/>
          <w:color w:val="auto"/>
        </w:rPr>
      </w:pPr>
    </w:p>
    <w:p>
      <w:pPr>
        <w:ind w:right="180" w:firstLine="677"/>
        <w:spacing w:after="0" w:line="271" w:lineRule="auto"/>
        <w:tabs>
          <w:tab w:leader="none" w:pos="979"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Common Stock Price</w:t>
      </w:r>
      <w:r>
        <w:rPr>
          <w:rFonts w:ascii="Arial" w:cs="Arial" w:eastAsia="Arial" w:hAnsi="Arial"/>
          <w:sz w:val="13"/>
          <w:szCs w:val="13"/>
          <w:color w:val="auto"/>
        </w:rPr>
        <w:t>” is (i) if the consideration to be received in the Change of Control by the holders of Class A Common Stock is solely cash, the amount of cash consideration per share of Class A Common Stock or (ii) if the consideration to be received in the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Class A Common Stock is then traded, or (y) the average of the last quoted bid prices for Class A Common Stock in the over-the-counter market as reported by Pink OTC Markets Inc. or similar organization for the ten consecutive trading days immediately preceding, but not including, the date on which such Change of Control occurred, if Class A Common Stock is not then listed for trading on a U.S. securities exchange.</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E-10</w:t>
      </w:r>
    </w:p>
    <w:p>
      <w:pPr>
        <w:sectPr>
          <w:pgSz w:w="11900" w:h="16838" w:orient="portrait"/>
          <w:cols w:equalWidth="0" w:num="1">
            <w:col w:w="11020"/>
          </w:cols>
          <w:pgMar w:left="400" w:top="903" w:right="479" w:bottom="1440" w:gutter="0" w:footer="0" w:header="0"/>
        </w:sectPr>
      </w:pPr>
    </w:p>
    <w:bookmarkStart w:id="297" w:name="page298"/>
    <w:bookmarkEnd w:id="297"/>
    <w:p>
      <w:pPr>
        <w:jc w:val="both"/>
        <w:ind w:left="1" w:right="180" w:firstLine="677"/>
        <w:spacing w:after="0" w:line="274" w:lineRule="auto"/>
        <w:tabs>
          <w:tab w:leader="none" w:pos="974" w:val="left"/>
        </w:tabs>
        <w:numPr>
          <w:ilvl w:val="1"/>
          <w:numId w:val="196"/>
        </w:numPr>
        <w:rPr>
          <w:rFonts w:ascii="Arial" w:cs="Arial" w:eastAsia="Arial" w:hAnsi="Arial"/>
          <w:sz w:val="13"/>
          <w:szCs w:val="13"/>
          <w:color w:val="auto"/>
        </w:rPr>
      </w:pPr>
      <w:r>
        <w:rPr>
          <w:rFonts w:ascii="Arial" w:cs="Arial" w:eastAsia="Arial" w:hAnsi="Arial"/>
          <w:sz w:val="13"/>
          <w:szCs w:val="13"/>
          <w:color w:val="auto"/>
        </w:rPr>
        <w:t>In the case of a Change of Control pursuant to which Class A Common Stock is or will be converted into cash, securities or other property or assets (including any combination thereof) (the “</w:t>
      </w:r>
      <w:r>
        <w:rPr>
          <w:rFonts w:ascii="Arial" w:cs="Arial" w:eastAsia="Arial" w:hAnsi="Arial"/>
          <w:sz w:val="13"/>
          <w:szCs w:val="13"/>
          <w:b w:val="1"/>
          <w:bCs w:val="1"/>
          <w:color w:val="auto"/>
        </w:rPr>
        <w:t>Alternative Form Consideration</w:t>
      </w:r>
      <w:r>
        <w:rPr>
          <w:rFonts w:ascii="Arial" w:cs="Arial" w:eastAsia="Arial" w:hAnsi="Arial"/>
          <w:sz w:val="13"/>
          <w:szCs w:val="13"/>
          <w:color w:val="auto"/>
        </w:rPr>
        <w:t>”), a holder of Series E Preferred Stock shall receive upon conversion of such Series E Preferred Stock the kind and amount of Alternative Form Consideration which such holder would have owned or been entitled to receive upon the Change of Control had such holder held a number of shares of Class A Common Stock equal to the Common Stock Conversion Consideration immediately prior to the effective time of the Change of Control (the “</w:t>
      </w:r>
      <w:r>
        <w:rPr>
          <w:rFonts w:ascii="Arial" w:cs="Arial" w:eastAsia="Arial" w:hAnsi="Arial"/>
          <w:sz w:val="13"/>
          <w:szCs w:val="13"/>
          <w:b w:val="1"/>
          <w:bCs w:val="1"/>
          <w:color w:val="auto"/>
        </w:rPr>
        <w:t>Alternative Conversion Consideration</w:t>
      </w:r>
      <w:r>
        <w:rPr>
          <w:rFonts w:ascii="Arial" w:cs="Arial" w:eastAsia="Arial" w:hAnsi="Arial"/>
          <w:sz w:val="13"/>
          <w:szCs w:val="13"/>
          <w:color w:val="auto"/>
        </w:rPr>
        <w:t>”; the Common Stock Conversion Consideration or the Alternative Conversion Consideration, whichever shall be applicable to a Change of Control, is referred to as the “</w:t>
      </w:r>
      <w:r>
        <w:rPr>
          <w:rFonts w:ascii="Arial" w:cs="Arial" w:eastAsia="Arial" w:hAnsi="Arial"/>
          <w:sz w:val="13"/>
          <w:szCs w:val="13"/>
          <w:b w:val="1"/>
          <w:bCs w:val="1"/>
          <w:color w:val="auto"/>
        </w:rPr>
        <w:t>Conversion Consideration</w:t>
      </w:r>
      <w:r>
        <w:rPr>
          <w:rFonts w:ascii="Arial" w:cs="Arial" w:eastAsia="Arial" w:hAnsi="Arial"/>
          <w:sz w:val="13"/>
          <w:szCs w:val="13"/>
          <w:color w:val="auto"/>
        </w:rPr>
        <w:t>”).</w:t>
      </w:r>
    </w:p>
    <w:p>
      <w:pPr>
        <w:spacing w:after="0" w:line="47" w:lineRule="exact"/>
        <w:rPr>
          <w:rFonts w:ascii="Arial" w:cs="Arial" w:eastAsia="Arial" w:hAnsi="Arial"/>
          <w:sz w:val="13"/>
          <w:szCs w:val="13"/>
          <w:color w:val="auto"/>
        </w:rPr>
      </w:pPr>
    </w:p>
    <w:p>
      <w:pPr>
        <w:jc w:val="both"/>
        <w:ind w:left="1" w:right="60" w:firstLine="677"/>
        <w:spacing w:after="0" w:line="274" w:lineRule="auto"/>
        <w:tabs>
          <w:tab w:leader="none" w:pos="959" w:val="left"/>
        </w:tabs>
        <w:numPr>
          <w:ilvl w:val="1"/>
          <w:numId w:val="196"/>
        </w:numPr>
        <w:rPr>
          <w:rFonts w:ascii="Arial" w:cs="Arial" w:eastAsia="Arial" w:hAnsi="Arial"/>
          <w:sz w:val="13"/>
          <w:szCs w:val="13"/>
          <w:color w:val="auto"/>
        </w:rPr>
      </w:pPr>
      <w:r>
        <w:rPr>
          <w:rFonts w:ascii="Arial" w:cs="Arial" w:eastAsia="Arial" w:hAnsi="Arial"/>
          <w:sz w:val="13"/>
          <w:szCs w:val="13"/>
          <w:color w:val="auto"/>
        </w:rPr>
        <w:t>If the holders of Class A Common Stock have the opportunity to elect the form of consideration to be received in the Change of Control, the Conversion Consideration in respect of such Change of Control shall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shall be subject to any limitations to which all holders of Class A Common Stock are subject, including, without limitation, pro rata reductions applicable to any portion of the consideration payable in such Change of Control.</w:t>
      </w:r>
    </w:p>
    <w:p>
      <w:pPr>
        <w:spacing w:after="0" w:line="47" w:lineRule="exact"/>
        <w:rPr>
          <w:rFonts w:ascii="Arial" w:cs="Arial" w:eastAsia="Arial" w:hAnsi="Arial"/>
          <w:sz w:val="13"/>
          <w:szCs w:val="13"/>
          <w:color w:val="auto"/>
        </w:rPr>
      </w:pPr>
    </w:p>
    <w:p>
      <w:pPr>
        <w:ind w:left="1" w:right="60" w:firstLine="677"/>
        <w:spacing w:after="0" w:line="356" w:lineRule="auto"/>
        <w:tabs>
          <w:tab w:leader="none" w:pos="982" w:val="left"/>
        </w:tabs>
        <w:numPr>
          <w:ilvl w:val="1"/>
          <w:numId w:val="196"/>
        </w:numPr>
        <w:rPr>
          <w:rFonts w:ascii="Arial" w:cs="Arial" w:eastAsia="Arial" w:hAnsi="Arial"/>
          <w:sz w:val="12"/>
          <w:szCs w:val="12"/>
          <w:color w:val="auto"/>
        </w:rPr>
      </w:pPr>
      <w:r>
        <w:rPr>
          <w:rFonts w:ascii="Arial" w:cs="Arial" w:eastAsia="Arial" w:hAnsi="Arial"/>
          <w:sz w:val="12"/>
          <w:szCs w:val="12"/>
          <w:color w:val="auto"/>
        </w:rPr>
        <w:t>No fractional shares of Class A Common Stock shall be issued upon the conversion of the Series E Preferred Stock in connection with a Change of Control. Instead, holders shall be entitled to receive the cash value of such fractional shares based upon the Common Stock Price used in determining the Common Stock Conversion Consideration for such Change of Control.</w:t>
      </w:r>
    </w:p>
    <w:p>
      <w:pPr>
        <w:spacing w:after="0" w:line="128" w:lineRule="exact"/>
        <w:rPr>
          <w:rFonts w:ascii="Arial" w:cs="Arial" w:eastAsia="Arial" w:hAnsi="Arial"/>
          <w:sz w:val="12"/>
          <w:szCs w:val="12"/>
          <w:color w:val="auto"/>
        </w:rPr>
      </w:pPr>
    </w:p>
    <w:p>
      <w:pPr>
        <w:ind w:left="1" w:right="40" w:firstLine="677"/>
        <w:spacing w:after="0" w:line="247" w:lineRule="auto"/>
        <w:tabs>
          <w:tab w:leader="none" w:pos="980" w:val="left"/>
        </w:tabs>
        <w:numPr>
          <w:ilvl w:val="1"/>
          <w:numId w:val="196"/>
        </w:numPr>
        <w:rPr>
          <w:rFonts w:ascii="Arial" w:cs="Arial" w:eastAsia="Arial" w:hAnsi="Arial"/>
          <w:sz w:val="14"/>
          <w:szCs w:val="14"/>
          <w:color w:val="auto"/>
        </w:rPr>
      </w:pPr>
      <w:r>
        <w:rPr>
          <w:rFonts w:ascii="Arial" w:cs="Arial" w:eastAsia="Arial" w:hAnsi="Arial"/>
          <w:sz w:val="14"/>
          <w:szCs w:val="14"/>
          <w:color w:val="auto"/>
        </w:rPr>
        <w:t>Within 15 days following the occurrence of a Change of Control, provided that the Corporation has not then exercised its right to redeem all shares of Series E Preferred Stock pursuant to Section 5, the Corporation shall provide to holders of Series E Preferred Stock a notice of occurrence of the Change of Control that describes the resulting Change of Control Conversion Right, which notice shall be delivered to the holders of record of the shares of the Series E Preferred Stock in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w:t>
      </w:r>
    </w:p>
    <w:p>
      <w:pPr>
        <w:spacing w:after="0" w:line="2" w:lineRule="exact"/>
        <w:rPr>
          <w:rFonts w:ascii="Arial" w:cs="Arial" w:eastAsia="Arial" w:hAnsi="Arial"/>
          <w:sz w:val="14"/>
          <w:szCs w:val="14"/>
          <w:color w:val="auto"/>
        </w:rPr>
      </w:pPr>
    </w:p>
    <w:p>
      <w:pPr>
        <w:ind w:left="1" w:hanging="1"/>
        <w:spacing w:after="0" w:line="246" w:lineRule="auto"/>
        <w:tabs>
          <w:tab w:leader="none" w:pos="305"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w:t>
      </w:r>
    </w:p>
    <w:p>
      <w:pPr>
        <w:spacing w:after="0" w:line="8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E-11</w:t>
      </w:r>
    </w:p>
    <w:p>
      <w:pPr>
        <w:sectPr>
          <w:pgSz w:w="11900" w:h="16838" w:orient="portrait"/>
          <w:cols w:equalWidth="0" w:num="1">
            <w:col w:w="11021"/>
          </w:cols>
          <w:pgMar w:left="399" w:top="821" w:right="479" w:bottom="1440" w:gutter="0" w:footer="0" w:header="0"/>
        </w:sectPr>
      </w:pPr>
    </w:p>
    <w:bookmarkStart w:id="298" w:name="page299"/>
    <w:bookmarkEnd w:id="298"/>
    <w:p>
      <w:pPr>
        <w:ind w:left="1" w:right="100"/>
        <w:spacing w:after="0" w:line="257" w:lineRule="auto"/>
        <w:rPr>
          <w:sz w:val="20"/>
          <w:szCs w:val="20"/>
          <w:color w:val="auto"/>
        </w:rPr>
      </w:pPr>
      <w:r>
        <w:rPr>
          <w:rFonts w:ascii="Arial" w:cs="Arial" w:eastAsia="Arial" w:hAnsi="Arial"/>
          <w:sz w:val="14"/>
          <w:szCs w:val="14"/>
          <w:color w:val="auto"/>
        </w:rPr>
        <w:t>must follow to exercise the Change of Control Conversion Right (including procedures for surrendering shares for conversion through the facilities of a Depositary (as defined below)), including the form of conversion notice to be delivered by such holders as described below; and (x) the last date on which holders of Series E Preferred Stock may withdraw shares surrendered for conversion and the procedures that such holders must follow to effect such a withdrawal.</w:t>
      </w:r>
    </w:p>
    <w:p>
      <w:pPr>
        <w:spacing w:after="0" w:line="67" w:lineRule="exact"/>
        <w:rPr>
          <w:sz w:val="20"/>
          <w:szCs w:val="20"/>
          <w:color w:val="auto"/>
        </w:rPr>
      </w:pPr>
    </w:p>
    <w:p>
      <w:pPr>
        <w:ind w:left="1" w:right="40" w:firstLine="677"/>
        <w:spacing w:after="0" w:line="253" w:lineRule="auto"/>
        <w:tabs>
          <w:tab w:leader="none" w:pos="948" w:val="left"/>
        </w:tabs>
        <w:numPr>
          <w:ilvl w:val="1"/>
          <w:numId w:val="198"/>
        </w:numPr>
        <w:rPr>
          <w:rFonts w:ascii="Arial" w:cs="Arial" w:eastAsia="Arial" w:hAnsi="Arial"/>
          <w:sz w:val="14"/>
          <w:szCs w:val="14"/>
          <w:color w:val="auto"/>
        </w:rPr>
      </w:pPr>
      <w:r>
        <w:rPr>
          <w:rFonts w:ascii="Arial" w:cs="Arial" w:eastAsia="Arial" w:hAnsi="Arial"/>
          <w:sz w:val="14"/>
          <w:szCs w:val="14"/>
          <w:color w:val="auto"/>
        </w:rPr>
        <w:t>The Corporation shall also issue a press release containing such notice provided for in Section 7(h)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in any event prior to the opening of business on the first Business Day following any date on which it provides the notice provided for in Section 7(h) to the holders of Series E Preferred Stock.</w:t>
      </w:r>
    </w:p>
    <w:p>
      <w:pPr>
        <w:spacing w:after="0" w:line="57" w:lineRule="exact"/>
        <w:rPr>
          <w:rFonts w:ascii="Arial" w:cs="Arial" w:eastAsia="Arial" w:hAnsi="Arial"/>
          <w:sz w:val="14"/>
          <w:szCs w:val="14"/>
          <w:color w:val="auto"/>
        </w:rPr>
      </w:pPr>
    </w:p>
    <w:p>
      <w:pPr>
        <w:ind w:left="1" w:firstLine="677"/>
        <w:spacing w:after="0" w:line="289" w:lineRule="auto"/>
        <w:tabs>
          <w:tab w:leader="none" w:pos="948"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To exercise the Change of Control Conversion Right, the holders of Series E Preferred Stock shall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to deliver, on or before the close of business on the Change of Control Conversion Date, the shares of Series E Preferred Stock to be converted through the facilities of such Depositary), together with a written conversion notice in the form provided by the Corporation, duly completed, to its transfer agent. The conversion notice must state:</w:t>
      </w:r>
    </w:p>
    <w:p>
      <w:pPr>
        <w:spacing w:after="0" w:line="2" w:lineRule="exact"/>
        <w:rPr>
          <w:rFonts w:ascii="Arial" w:cs="Arial" w:eastAsia="Arial" w:hAnsi="Arial"/>
          <w:sz w:val="12"/>
          <w:szCs w:val="12"/>
          <w:color w:val="auto"/>
        </w:rPr>
      </w:pPr>
    </w:p>
    <w:p>
      <w:pPr>
        <w:ind w:left="1" w:right="160" w:hanging="1"/>
        <w:spacing w:after="0" w:line="253" w:lineRule="auto"/>
        <w:tabs>
          <w:tab w:leader="none" w:pos="168" w:val="left"/>
        </w:tabs>
        <w:numPr>
          <w:ilvl w:val="0"/>
          <w:numId w:val="199"/>
        </w:numPr>
        <w:rPr>
          <w:rFonts w:ascii="Arial" w:cs="Arial" w:eastAsia="Arial" w:hAnsi="Arial"/>
          <w:sz w:val="14"/>
          <w:szCs w:val="14"/>
          <w:color w:val="auto"/>
        </w:rPr>
      </w:pPr>
      <w:r>
        <w:rPr>
          <w:rFonts w:ascii="Arial" w:cs="Arial" w:eastAsia="Arial" w:hAnsi="Arial"/>
          <w:sz w:val="14"/>
          <w:szCs w:val="14"/>
          <w:color w:val="auto"/>
        </w:rPr>
        <w:t>the relevant Change of Control Conversion Date; (ii) the number of shares of Series E Preferred Stock to be converted; and (iii) that the shares of Series E Preferred Stock are to be converted pursuant to the applicable provisions of the Series E Preferred Stock.</w:t>
      </w:r>
    </w:p>
    <w:p>
      <w:pPr>
        <w:spacing w:after="0" w:line="57" w:lineRule="exact"/>
        <w:rPr>
          <w:rFonts w:ascii="Arial" w:cs="Arial" w:eastAsia="Arial" w:hAnsi="Arial"/>
          <w:sz w:val="14"/>
          <w:szCs w:val="14"/>
          <w:color w:val="auto"/>
        </w:rPr>
      </w:pPr>
    </w:p>
    <w:p>
      <w:pPr>
        <w:ind w:left="1" w:right="240" w:firstLine="677"/>
        <w:spacing w:after="0" w:line="308" w:lineRule="auto"/>
        <w:tabs>
          <w:tab w:leader="none" w:pos="982" w:val="left"/>
        </w:tabs>
        <w:numPr>
          <w:ilvl w:val="1"/>
          <w:numId w:val="199"/>
        </w:numPr>
        <w:rPr>
          <w:rFonts w:ascii="Arial" w:cs="Arial" w:eastAsia="Arial" w:hAnsi="Arial"/>
          <w:sz w:val="12"/>
          <w:szCs w:val="12"/>
          <w:color w:val="auto"/>
        </w:rPr>
      </w:pPr>
      <w:r>
        <w:rPr>
          <w:rFonts w:ascii="Arial" w:cs="Arial" w:eastAsia="Arial" w:hAnsi="Arial"/>
          <w:sz w:val="12"/>
          <w:szCs w:val="12"/>
          <w:color w:val="auto"/>
        </w:rPr>
        <w:t>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spacing w:after="0" w:line="28" w:lineRule="exact"/>
        <w:rPr>
          <w:rFonts w:ascii="Arial" w:cs="Arial" w:eastAsia="Arial" w:hAnsi="Arial"/>
          <w:sz w:val="12"/>
          <w:szCs w:val="12"/>
          <w:color w:val="auto"/>
        </w:rPr>
      </w:pPr>
    </w:p>
    <w:p>
      <w:pPr>
        <w:ind w:left="1" w:right="20" w:firstLine="677"/>
        <w:spacing w:after="0" w:line="257" w:lineRule="auto"/>
        <w:tabs>
          <w:tab w:leader="none" w:pos="951" w:val="left"/>
        </w:tabs>
        <w:numPr>
          <w:ilvl w:val="1"/>
          <w:numId w:val="199"/>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Sections 7(j) and (k), if any shares of Series E Preferred Stock are held in book-entry form through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or a similar depositary (each, a “</w:t>
      </w:r>
      <w:r>
        <w:rPr>
          <w:rFonts w:ascii="Arial" w:cs="Arial" w:eastAsia="Arial" w:hAnsi="Arial"/>
          <w:sz w:val="14"/>
          <w:szCs w:val="14"/>
          <w:b w:val="1"/>
          <w:bCs w:val="1"/>
          <w:color w:val="auto"/>
        </w:rPr>
        <w:t>Depositary</w:t>
      </w:r>
      <w:r>
        <w:rPr>
          <w:rFonts w:ascii="Arial" w:cs="Arial" w:eastAsia="Arial" w:hAnsi="Arial"/>
          <w:sz w:val="14"/>
          <w:szCs w:val="14"/>
          <w:color w:val="auto"/>
        </w:rPr>
        <w:t>”), the conversion notice and/or the notice of withdrawal, as applicable, must comply with applicable procedures, if any, of DTC or the applicable Depositary.</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E-12</w:t>
      </w:r>
    </w:p>
    <w:p>
      <w:pPr>
        <w:sectPr>
          <w:pgSz w:w="11900" w:h="16838" w:orient="portrait"/>
          <w:cols w:equalWidth="0" w:num="1">
            <w:col w:w="11001"/>
          </w:cols>
          <w:pgMar w:left="399" w:top="903" w:right="499" w:bottom="1440" w:gutter="0" w:footer="0" w:header="0"/>
        </w:sectPr>
      </w:pPr>
    </w:p>
    <w:bookmarkStart w:id="299" w:name="page300"/>
    <w:bookmarkEnd w:id="299"/>
    <w:p>
      <w:pPr>
        <w:ind w:right="60" w:firstLine="677"/>
        <w:spacing w:after="0" w:line="299" w:lineRule="auto"/>
        <w:tabs>
          <w:tab w:leader="none" w:pos="10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Section 5,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shall not be so converted and the holders of such shares shall be entitled to receive on the applicable Redemption Date the Redemption Price as provided in Section 5.</w:t>
      </w:r>
    </w:p>
    <w:p>
      <w:pPr>
        <w:spacing w:after="0" w:line="32" w:lineRule="exact"/>
        <w:rPr>
          <w:rFonts w:ascii="Arial" w:cs="Arial" w:eastAsia="Arial" w:hAnsi="Arial"/>
          <w:sz w:val="12"/>
          <w:szCs w:val="12"/>
          <w:color w:val="auto"/>
        </w:rPr>
      </w:pPr>
    </w:p>
    <w:p>
      <w:pPr>
        <w:ind w:firstLine="677"/>
        <w:spacing w:after="0" w:line="257" w:lineRule="auto"/>
        <w:tabs>
          <w:tab w:leader="none" w:pos="979"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Corporation shall deliver all securities, cash and any other property owing upon conversion no later than the third Business Day following the Change of Control Conversion Date. Notwithstanding the foregoing, the persons entitled to receive any shares of Class A Common Stock or other securities delivered on conversion will be deemed to have become the holders of record thereof as of the Change of Control Conversion Date.</w:t>
      </w:r>
    </w:p>
    <w:p>
      <w:pPr>
        <w:spacing w:after="0" w:line="55" w:lineRule="exact"/>
        <w:rPr>
          <w:rFonts w:ascii="Arial" w:cs="Arial" w:eastAsia="Arial" w:hAnsi="Arial"/>
          <w:sz w:val="14"/>
          <w:szCs w:val="14"/>
          <w:color w:val="auto"/>
        </w:rPr>
      </w:pPr>
    </w:p>
    <w:p>
      <w:pPr>
        <w:ind w:right="60" w:firstLine="677"/>
        <w:spacing w:after="0" w:line="250" w:lineRule="auto"/>
        <w:tabs>
          <w:tab w:leader="none" w:pos="981" w:val="left"/>
        </w:tabs>
        <w:numPr>
          <w:ilvl w:val="0"/>
          <w:numId w:val="200"/>
        </w:numPr>
        <w:rPr>
          <w:rFonts w:ascii="Arial" w:cs="Arial" w:eastAsia="Arial" w:hAnsi="Arial"/>
          <w:sz w:val="14"/>
          <w:szCs w:val="14"/>
          <w:color w:val="auto"/>
        </w:rPr>
      </w:pPr>
      <w:r>
        <w:rPr>
          <w:rFonts w:ascii="Arial" w:cs="Arial" w:eastAsia="Arial" w:hAnsi="Arial"/>
          <w:sz w:val="14"/>
          <w:szCs w:val="14"/>
          <w:color w:val="auto"/>
        </w:rPr>
        <w:t>Notwithstanding any other provision of the Series E Preferred Stock, no holder of Series E Preferred Stock shall be entitled to convert such Series E Preferred Stock into shares of Class A Common Stock or the Alternative Conversion Consideration, as the case may be, to the extent that receipt of such Class A Common Stock or the Alternative Conversion Consideration would cause such holder (or any other person) to exceed the applicable share ownership limitations contained in the Charter or this Articles Supplementary or the governing document of the surviving entity, as the case may be, unless the Corporation provides an exemption from this limitation to such holder pursuant to the Charter and this Articles Supplementary or the surviving entity provides an exemption pursuant to the governing document of the surviving entity.</w:t>
      </w:r>
    </w:p>
    <w:p>
      <w:pPr>
        <w:spacing w:after="0" w:line="73" w:lineRule="exact"/>
        <w:rPr>
          <w:rFonts w:ascii="Arial" w:cs="Arial" w:eastAsia="Arial" w:hAnsi="Arial"/>
          <w:sz w:val="14"/>
          <w:szCs w:val="14"/>
          <w:color w:val="auto"/>
        </w:rPr>
      </w:pPr>
    </w:p>
    <w:p>
      <w:pPr>
        <w:ind w:right="200" w:firstLine="677"/>
        <w:spacing w:after="0" w:line="250" w:lineRule="auto"/>
        <w:tabs>
          <w:tab w:leader="none" w:pos="981" w:val="left"/>
        </w:tabs>
        <w:numPr>
          <w:ilvl w:val="0"/>
          <w:numId w:val="200"/>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and except as otherwise required by law, the persons who are the holders of record of shares of Series E Preferred Stock at the close of business on a Dividend Payment Record Date shall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Section 7(p), the Corporation shall make no allowance for unpaid dividends that are not in arrears on the shares of Series E Preferred Stock to be converted.</w:t>
      </w:r>
    </w:p>
    <w:p>
      <w:pPr>
        <w:spacing w:after="0" w:line="191" w:lineRule="exact"/>
        <w:rPr>
          <w:sz w:val="20"/>
          <w:szCs w:val="20"/>
          <w:color w:val="auto"/>
        </w:rPr>
      </w:pPr>
    </w:p>
    <w:p>
      <w:pPr>
        <w:jc w:val="both"/>
        <w:ind w:firstLine="677"/>
        <w:spacing w:after="0" w:line="25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Permissible Distributions</w:t>
      </w:r>
      <w:r>
        <w:rPr>
          <w:rFonts w:ascii="Arial" w:cs="Arial" w:eastAsia="Arial" w:hAnsi="Arial"/>
          <w:sz w:val="14"/>
          <w:szCs w:val="14"/>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E-13</w:t>
      </w:r>
    </w:p>
    <w:p>
      <w:pPr>
        <w:sectPr>
          <w:pgSz w:w="11900" w:h="16838" w:orient="portrait"/>
          <w:cols w:equalWidth="0" w:num="1">
            <w:col w:w="11000"/>
          </w:cols>
          <w:pgMar w:left="400" w:top="821" w:right="499" w:bottom="1440" w:gutter="0" w:footer="0" w:header="0"/>
        </w:sectPr>
      </w:pPr>
    </w:p>
    <w:bookmarkStart w:id="300" w:name="page301"/>
    <w:bookmarkEnd w:id="300"/>
    <w:p>
      <w:pPr>
        <w:ind w:left="680"/>
        <w:spacing w:after="0"/>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Rankin</w:t>
      </w:r>
      <w:r>
        <w:rPr>
          <w:rFonts w:ascii="Arial" w:cs="Arial" w:eastAsia="Arial" w:hAnsi="Arial"/>
          <w:sz w:val="14"/>
          <w:szCs w:val="14"/>
          <w:color w:val="auto"/>
        </w:rPr>
        <w:t>g. Any class or series of stock of the Corporation shall be deemed to rank:</w:t>
      </w:r>
    </w:p>
    <w:p>
      <w:pPr>
        <w:spacing w:after="0" w:line="96" w:lineRule="exact"/>
        <w:rPr>
          <w:sz w:val="20"/>
          <w:szCs w:val="20"/>
          <w:color w:val="auto"/>
        </w:rPr>
      </w:pPr>
    </w:p>
    <w:p>
      <w:pPr>
        <w:ind w:right="280" w:firstLine="677"/>
        <w:spacing w:after="0" w:line="257" w:lineRule="auto"/>
        <w:tabs>
          <w:tab w:leader="none" w:pos="973" w:val="left"/>
        </w:tabs>
        <w:numPr>
          <w:ilvl w:val="0"/>
          <w:numId w:val="201"/>
        </w:numPr>
        <w:rPr>
          <w:rFonts w:ascii="Arial" w:cs="Arial" w:eastAsia="Arial" w:hAnsi="Arial"/>
          <w:sz w:val="14"/>
          <w:szCs w:val="14"/>
          <w:color w:val="auto"/>
        </w:rPr>
      </w:pPr>
      <w:r>
        <w:rPr>
          <w:rFonts w:ascii="Arial" w:cs="Arial" w:eastAsia="Arial" w:hAnsi="Arial"/>
          <w:sz w:val="14"/>
          <w:szCs w:val="14"/>
          <w:color w:val="auto"/>
        </w:rPr>
        <w:t>prior to the Series E Preferred Stock, as to the payment of dividends or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E Preferred Stock;</w:t>
      </w:r>
    </w:p>
    <w:p>
      <w:pPr>
        <w:spacing w:after="0" w:line="184" w:lineRule="exact"/>
        <w:rPr>
          <w:rFonts w:ascii="Arial" w:cs="Arial" w:eastAsia="Arial" w:hAnsi="Arial"/>
          <w:sz w:val="14"/>
          <w:szCs w:val="14"/>
          <w:color w:val="auto"/>
        </w:rPr>
      </w:pPr>
    </w:p>
    <w:p>
      <w:pPr>
        <w:ind w:right="240" w:firstLine="677"/>
        <w:spacing w:after="0" w:line="278" w:lineRule="auto"/>
        <w:tabs>
          <w:tab w:leader="none" w:pos="981" w:val="left"/>
        </w:tabs>
        <w:numPr>
          <w:ilvl w:val="0"/>
          <w:numId w:val="201"/>
        </w:numPr>
        <w:rPr>
          <w:rFonts w:ascii="Arial" w:cs="Arial" w:eastAsia="Arial" w:hAnsi="Arial"/>
          <w:sz w:val="13"/>
          <w:szCs w:val="13"/>
          <w:color w:val="auto"/>
        </w:rPr>
      </w:pPr>
      <w:r>
        <w:rPr>
          <w:rFonts w:ascii="Arial" w:cs="Arial" w:eastAsia="Arial" w:hAnsi="Arial"/>
          <w:sz w:val="13"/>
          <w:szCs w:val="13"/>
          <w:color w:val="auto"/>
        </w:rPr>
        <w:t>on a parity with the Series E Preferred Stock, as to the payment of dividends or as to the distribution of assets upon liquidation, dissolution or winding up, whether or not the dividend rates, dividend payment dates or redemption or liquidation prices per share thereof be different from those of the Series E Preferred Stock, if the holders of such class or series and the Series E Preferred Stock shall be entitled to the receipt of dividends or of amounts distributable upon liquidation, dissolution or winding up, as the case may be, in proportion to their respective amounts of accrued and unpaid dividends per share or liquidation preferences, without preference or priority one over the other; and</w:t>
      </w:r>
    </w:p>
    <w:p>
      <w:pPr>
        <w:spacing w:after="0" w:line="44" w:lineRule="exact"/>
        <w:rPr>
          <w:rFonts w:ascii="Arial" w:cs="Arial" w:eastAsia="Arial" w:hAnsi="Arial"/>
          <w:sz w:val="13"/>
          <w:szCs w:val="13"/>
          <w:color w:val="auto"/>
        </w:rPr>
      </w:pPr>
    </w:p>
    <w:p>
      <w:pPr>
        <w:ind w:right="100" w:firstLine="677"/>
        <w:spacing w:after="0" w:line="286" w:lineRule="auto"/>
        <w:tabs>
          <w:tab w:leader="none" w:pos="973" w:val="left"/>
        </w:tabs>
        <w:numPr>
          <w:ilvl w:val="0"/>
          <w:numId w:val="201"/>
        </w:numPr>
        <w:rPr>
          <w:rFonts w:ascii="Arial" w:cs="Arial" w:eastAsia="Arial" w:hAnsi="Arial"/>
          <w:sz w:val="13"/>
          <w:szCs w:val="13"/>
          <w:color w:val="auto"/>
        </w:rPr>
      </w:pPr>
      <w:r>
        <w:rPr>
          <w:rFonts w:ascii="Arial" w:cs="Arial" w:eastAsia="Arial" w:hAnsi="Arial"/>
          <w:sz w:val="13"/>
          <w:szCs w:val="13"/>
          <w:color w:val="auto"/>
        </w:rPr>
        <w:t>junior to the Series E Preferred Stock, as to the payment of dividends or as to the distribution of assets upon liquidation, dissolution or winding up, if such class or series of stock shall be Common Stock or if the holders of Series E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E Preferred Stock (“</w:t>
      </w:r>
      <w:r>
        <w:rPr>
          <w:rFonts w:ascii="Arial" w:cs="Arial" w:eastAsia="Arial" w:hAnsi="Arial"/>
          <w:sz w:val="13"/>
          <w:szCs w:val="13"/>
          <w:b w:val="1"/>
          <w:bCs w:val="1"/>
          <w:color w:val="auto"/>
        </w:rPr>
        <w:t>Junior Shares</w:t>
      </w:r>
      <w:r>
        <w:rPr>
          <w:rFonts w:ascii="Arial" w:cs="Arial" w:eastAsia="Arial" w:hAnsi="Arial"/>
          <w:sz w:val="13"/>
          <w:szCs w:val="13"/>
          <w:color w:val="auto"/>
        </w:rPr>
        <w:t>”).</w:t>
      </w:r>
    </w:p>
    <w:p>
      <w:pPr>
        <w:spacing w:after="0" w:line="167" w:lineRule="exact"/>
        <w:rPr>
          <w:sz w:val="20"/>
          <w:szCs w:val="20"/>
          <w:color w:val="auto"/>
        </w:rPr>
      </w:pPr>
    </w:p>
    <w:p>
      <w:pPr>
        <w:ind w:right="200" w:firstLine="677"/>
        <w:spacing w:after="0" w:line="253" w:lineRule="auto"/>
        <w:rPr>
          <w:sz w:val="20"/>
          <w:szCs w:val="20"/>
          <w:color w:val="auto"/>
        </w:rPr>
      </w:pPr>
      <w:r>
        <w:rPr>
          <w:rFonts w:ascii="Arial" w:cs="Arial" w:eastAsia="Arial" w:hAnsi="Arial"/>
          <w:sz w:val="14"/>
          <w:szCs w:val="14"/>
          <w:color w:val="auto"/>
        </w:rPr>
        <w:t>As of the date hereof, 2,900,000 authorized shares of Series A Preferred Stock, 14,900,000 authorized shares of Series B Preferred Stock, 5,750,000 authorized shares of Series C Preferred Stock, 8,050,000 authorized shares of Series D Preferred Stock, 10,400,000 authorized shares of Series F Preferred Stock, 3,450,000 authorized shares of Series G Preferred Stock and 11,500,000 authorized shares of Series H Preferred Stock rank on a parity with the Series E Preferred Stock as to the payment of dividends and as to the distribution of assets upon liquidation, dissolution or winding up.</w:t>
      </w:r>
    </w:p>
    <w:p>
      <w:pPr>
        <w:spacing w:after="0" w:line="198" w:lineRule="exact"/>
        <w:rPr>
          <w:sz w:val="20"/>
          <w:szCs w:val="20"/>
          <w:color w:val="auto"/>
        </w:rPr>
      </w:pPr>
    </w:p>
    <w:p>
      <w:pPr>
        <w:ind w:firstLine="677"/>
        <w:spacing w:after="0" w:line="270"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Votin</w:t>
      </w:r>
      <w:r>
        <w:rPr>
          <w:rFonts w:ascii="Arial" w:cs="Arial" w:eastAsia="Arial" w:hAnsi="Arial"/>
          <w:sz w:val="14"/>
          <w:szCs w:val="14"/>
          <w:color w:val="auto"/>
        </w:rPr>
        <w:t>g. Except as otherwise set forth herein, the Series E Preferred Stock shall not have any relative, participating, optional or other voting rights or powers, and the consent of the holders thereof shall not be required for the taking of any corporate action.</w:t>
      </w:r>
    </w:p>
    <w:p>
      <w:pPr>
        <w:spacing w:after="0" w:line="176" w:lineRule="exact"/>
        <w:rPr>
          <w:sz w:val="20"/>
          <w:szCs w:val="20"/>
          <w:color w:val="auto"/>
        </w:rPr>
      </w:pPr>
    </w:p>
    <w:p>
      <w:pPr>
        <w:ind w:right="20" w:firstLine="677"/>
        <w:spacing w:after="0" w:line="248" w:lineRule="auto"/>
        <w:rPr>
          <w:sz w:val="20"/>
          <w:szCs w:val="20"/>
          <w:color w:val="auto"/>
        </w:rPr>
      </w:pPr>
      <w:r>
        <w:rPr>
          <w:rFonts w:ascii="Arial" w:cs="Arial" w:eastAsia="Arial" w:hAnsi="Arial"/>
          <w:sz w:val="14"/>
          <w:szCs w:val="14"/>
          <w:color w:val="auto"/>
        </w:rPr>
        <w:t>If and whenever six quarterly dividends (whether or not consecutive) payable on the Series E Preferred Stock are in arrears (which shall, with respect to any such quarterly dividend, mean that any such dividend has not been paid in full), whether or not earned or declared, the number of directors then constituting the Board of Directors shall be increased by two and the holders of Series E Preferred Stock, together with the holders of shares of every series or class of Dividend Parity Stock having like voting rights (shares of any such series or class, including the Series A Preferred Stock, the Series B Preferred Stock, the Series C Preferred Stock, the Series D Preferred Stock, the Series F Preferred Stock, the Series G Preferred Stock and the Series H Preferred Stock, the “</w:t>
      </w:r>
      <w:r>
        <w:rPr>
          <w:rFonts w:ascii="Arial" w:cs="Arial" w:eastAsia="Arial" w:hAnsi="Arial"/>
          <w:sz w:val="14"/>
          <w:szCs w:val="14"/>
          <w:b w:val="1"/>
          <w:bCs w:val="1"/>
          <w:color w:val="auto"/>
        </w:rPr>
        <w:t>Voting Preferred Shares</w:t>
      </w:r>
      <w:r>
        <w:rPr>
          <w:rFonts w:ascii="Arial" w:cs="Arial" w:eastAsia="Arial" w:hAnsi="Arial"/>
          <w:sz w:val="14"/>
          <w:szCs w:val="14"/>
          <w:color w:val="auto"/>
        </w:rPr>
        <w:t>”), voting as a single class regardless of series, will have the right to elect two additional directors (the “</w:t>
      </w:r>
      <w:r>
        <w:rPr>
          <w:rFonts w:ascii="Arial" w:cs="Arial" w:eastAsia="Arial" w:hAnsi="Arial"/>
          <w:sz w:val="14"/>
          <w:szCs w:val="14"/>
          <w:b w:val="1"/>
          <w:bCs w:val="1"/>
          <w:color w:val="auto"/>
        </w:rPr>
        <w:t>Preferred Directors</w:t>
      </w:r>
      <w:r>
        <w:rPr>
          <w:rFonts w:ascii="Arial" w:cs="Arial" w:eastAsia="Arial" w:hAnsi="Arial"/>
          <w:sz w:val="14"/>
          <w:szCs w:val="14"/>
          <w:color w:val="auto"/>
        </w:rPr>
        <w:t>”) to serve on the Board of Directors at any annual meeting of stockholders or special meeting held in place thereof, or at a special meeting of the holders of Series E Preferred Stock and the Voting Preferred Shares called as hereinafter provided. For the avoidance of doubt, in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E-14</w:t>
      </w:r>
    </w:p>
    <w:p>
      <w:pPr>
        <w:sectPr>
          <w:pgSz w:w="11900" w:h="16838" w:orient="portrait"/>
          <w:cols w:equalWidth="0" w:num="1">
            <w:col w:w="11020"/>
          </w:cols>
          <w:pgMar w:left="400" w:top="892" w:right="479" w:bottom="1440" w:gutter="0" w:footer="0" w:header="0"/>
        </w:sectPr>
      </w:pPr>
    </w:p>
    <w:bookmarkStart w:id="301" w:name="page302"/>
    <w:bookmarkEnd w:id="301"/>
    <w:p>
      <w:pPr>
        <w:spacing w:after="0" w:line="265" w:lineRule="auto"/>
        <w:rPr>
          <w:sz w:val="20"/>
          <w:szCs w:val="20"/>
          <w:color w:val="auto"/>
        </w:rPr>
      </w:pPr>
      <w:r>
        <w:rPr>
          <w:rFonts w:ascii="Arial" w:cs="Arial" w:eastAsia="Arial" w:hAnsi="Arial"/>
          <w:sz w:val="13"/>
          <w:szCs w:val="13"/>
          <w:color w:val="auto"/>
        </w:rPr>
        <w:t>the election of both Preferred Directors, any outstanding shares of Series E Preferred Stock, Series A Preferred Stock, Series B Preferred Stock, Series C Preferred Stock, Series D Preferred Stock, Series F Preferred Stock, Series G Preferred Stock, Series H Preferred Stock and other Voting Preferred Shares shall vote together as a class, and the affirmative vote of a plurality of the votes cast by holders of outstanding shares of Series E Preferred Stock, Series A Preferred Stock, Series B Preferred Stock, Series C Preferred Stock, Series D Preferred Stock, Series F Preferred Stock, Series G Preferred Stock, Series H Preferred Stock and other Voting Preferred Shares shall be required to elect a Preferred Director. Whenever all arrears in dividends on the Series E Preferred Stock and the Voting Preferred Shares then outstanding shall have been paid and full dividends thereon for the current quarterly dividend period shall have been paid or declared and set apart for payment, then the right of the holders of the Series E Preferred Stock and the Voting Preferred Shares to elect such two additional directors shall cease (but subject always to the same provision for the vesting of such voting rights in the case of any similar future arrearages in six quarterly dividends), and the terms of office of the persons elected as director, by the holders of the Series E Preferred Stock and the Voting Preferred Shares shall forthwith terminate and the number of directors constituting the Board of Directors shall be reduced accordingly. At any time after such voting power shall have been so vested in the holders of shares of Series E Preferred Stock and the Voting Preferred Shares, the Secretary of the Corporation may, and upon the written request of any holder of Series E Preferred Stock (addressed to the Secretary at the principal office of the Corporation) shall, call a special meeting of the holders of the Series E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E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E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E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96" w:lineRule="exact"/>
        <w:rPr>
          <w:sz w:val="20"/>
          <w:szCs w:val="20"/>
          <w:color w:val="auto"/>
        </w:rPr>
      </w:pPr>
    </w:p>
    <w:p>
      <w:pPr>
        <w:ind w:right="220" w:firstLine="677"/>
        <w:spacing w:after="0" w:line="286" w:lineRule="auto"/>
        <w:rPr>
          <w:sz w:val="20"/>
          <w:szCs w:val="20"/>
          <w:color w:val="auto"/>
        </w:rPr>
      </w:pPr>
      <w:r>
        <w:rPr>
          <w:rFonts w:ascii="Arial" w:cs="Arial" w:eastAsia="Arial" w:hAnsi="Arial"/>
          <w:sz w:val="13"/>
          <w:szCs w:val="13"/>
          <w:color w:val="auto"/>
        </w:rPr>
        <w:t>So long as any shares of Series E Preferred Stock are outstanding, in addition to any other vote or consent of stockholders required by the Charter, the affirmative vote of at least 66-2/3% of the votes entitled to be cast by the holders of Series E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E-15</w:t>
      </w:r>
    </w:p>
    <w:p>
      <w:pPr>
        <w:sectPr>
          <w:pgSz w:w="11900" w:h="16838" w:orient="portrait"/>
          <w:cols w:equalWidth="0" w:num="1">
            <w:col w:w="11040"/>
          </w:cols>
          <w:pgMar w:left="400" w:top="903" w:right="459" w:bottom="1440" w:gutter="0" w:footer="0" w:header="0"/>
        </w:sectPr>
      </w:pPr>
    </w:p>
    <w:bookmarkStart w:id="302" w:name="page303"/>
    <w:bookmarkEnd w:id="302"/>
    <w:p>
      <w:pPr>
        <w:ind w:firstLine="677"/>
        <w:spacing w:after="0" w:line="262" w:lineRule="auto"/>
        <w:tabs>
          <w:tab w:leader="none" w:pos="966" w:val="left"/>
        </w:tabs>
        <w:numPr>
          <w:ilvl w:val="0"/>
          <w:numId w:val="202"/>
        </w:numPr>
        <w:rPr>
          <w:rFonts w:ascii="Arial" w:cs="Arial" w:eastAsia="Arial" w:hAnsi="Arial"/>
          <w:sz w:val="13"/>
          <w:szCs w:val="13"/>
          <w:color w:val="auto"/>
        </w:rPr>
      </w:pPr>
      <w:r>
        <w:rPr>
          <w:rFonts w:ascii="Arial" w:cs="Arial" w:eastAsia="Arial" w:hAnsi="Arial"/>
          <w:sz w:val="13"/>
          <w:szCs w:val="13"/>
          <w:color w:val="auto"/>
        </w:rPr>
        <w:t xml:space="preserve">Any amendment, alteration or repeal of any of the provisions of the Charter or these Articles Supplementary (whether by merger, consolidation or otherwise) that materially and adversely affects the voting powers, rights or preferences of the holders of the Series E Preferred Stock or the Voting Preferred Shares; provided, however, that (i) the amendment of the provisions of the Charter so as to authorize or create or to increase the authorized amount of, any Junior Shares or any shares of any class or series ranking on a parity with the Series E Preferred Stock as to the payment of dividends or as to the distribution of assets upon liquidation, dissolution or winding up or the Voting Preferred Shares (including any amendment to increase the amount of authorized shares of Series E Preferred Stock) shall not be deemed to materially adversely affect the voting powers, rights or preferences of the holders of Series E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E Preferred Stock, provided that: (1) the Corporation is the surviving entity and the Series E Preferred Stock remain outstanding with the terms thereof materially unchanged in any respect adverse to the holders thereof; or (2) the resulting, surviving or transferee entity is organized under the laws of any state and substitutes or exchanges the Series E Preferred Stock for other preferred stock, shares or other equity interests having preferences, conversion and other rights, voting powers, restrictions, limitations as to dividends, qualifications and terms and conditions of redemption thereof that are substantially similar to that of the Series E Preferred Stock (except for changes that do not materially and adversely affect the holders of Series E Preferred Stock); and </w:t>
      </w:r>
      <w:r>
        <w:rPr>
          <w:rFonts w:ascii="Arial" w:cs="Arial" w:eastAsia="Arial" w:hAnsi="Arial"/>
          <w:sz w:val="13"/>
          <w:szCs w:val="13"/>
          <w:i w:val="1"/>
          <w:iCs w:val="1"/>
          <w:color w:val="auto"/>
        </w:rPr>
        <w:t>provided further</w:t>
      </w:r>
      <w:r>
        <w:rPr>
          <w:rFonts w:ascii="Arial" w:cs="Arial" w:eastAsia="Arial" w:hAnsi="Arial"/>
          <w:sz w:val="13"/>
          <w:szCs w:val="13"/>
          <w:color w:val="auto"/>
        </w:rPr>
        <w:t>, that if any such amendment, alteration or repeal would materially and adversely affect any voting powers, rights or preferences of the Series E Preferred Stock or one or more but</w:t>
      </w:r>
      <w:r>
        <w:rPr>
          <w:rFonts w:ascii="Arial" w:cs="Arial" w:eastAsia="Arial" w:hAnsi="Arial"/>
          <w:sz w:val="13"/>
          <w:szCs w:val="13"/>
          <w:i w:val="1"/>
          <w:iCs w:val="1"/>
          <w:color w:val="auto"/>
        </w:rPr>
        <w:t xml:space="preserve"> </w:t>
      </w:r>
      <w:r>
        <w:rPr>
          <w:rFonts w:ascii="Arial" w:cs="Arial" w:eastAsia="Arial" w:hAnsi="Arial"/>
          <w:sz w:val="13"/>
          <w:szCs w:val="13"/>
          <w:color w:val="auto"/>
        </w:rPr>
        <w:t>not all series of Voting Preferred Shares at the time outstanding, the affirmative vote 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w:t>
      </w:r>
    </w:p>
    <w:p>
      <w:pPr>
        <w:spacing w:after="0" w:line="7" w:lineRule="exact"/>
        <w:rPr>
          <w:rFonts w:ascii="Arial" w:cs="Arial" w:eastAsia="Arial" w:hAnsi="Arial"/>
          <w:sz w:val="13"/>
          <w:szCs w:val="13"/>
          <w:color w:val="auto"/>
        </w:rPr>
      </w:pPr>
    </w:p>
    <w:p>
      <w:pPr>
        <w:ind w:right="2720" w:hanging="1"/>
        <w:spacing w:after="0" w:line="253" w:lineRule="auto"/>
        <w:rPr>
          <w:rFonts w:ascii="Arial" w:cs="Arial" w:eastAsia="Arial" w:hAnsi="Arial"/>
          <w:sz w:val="13"/>
          <w:szCs w:val="13"/>
          <w:color w:val="auto"/>
        </w:rPr>
      </w:pPr>
      <w:r>
        <w:rPr>
          <w:rFonts w:ascii="Arial" w:cs="Arial" w:eastAsia="Arial" w:hAnsi="Arial"/>
          <w:sz w:val="12"/>
          <w:szCs w:val="12"/>
          <w:color w:val="auto"/>
        </w:rPr>
        <w:t xml:space="preserve">66-2 </w:t>
      </w:r>
      <w:r>
        <w:rPr>
          <w:rFonts w:ascii="Arial" w:cs="Arial" w:eastAsia="Arial" w:hAnsi="Arial"/>
          <w:sz w:val="14"/>
          <w:szCs w:val="14"/>
          <w:color w:val="auto"/>
        </w:rPr>
        <w:t>/3% of the votes entitled to be cast by the holders of the Series E Preferred Stock and the Voting Preferred Shares otherwise entitled to vote in</w:t>
      </w:r>
      <w:r>
        <w:rPr>
          <w:rFonts w:ascii="Arial" w:cs="Arial" w:eastAsia="Arial" w:hAnsi="Arial"/>
          <w:sz w:val="12"/>
          <w:szCs w:val="12"/>
          <w:color w:val="auto"/>
        </w:rPr>
        <w:t xml:space="preserve"> </w:t>
      </w:r>
      <w:r>
        <w:rPr>
          <w:rFonts w:ascii="Arial" w:cs="Arial" w:eastAsia="Arial" w:hAnsi="Arial"/>
          <w:sz w:val="14"/>
          <w:szCs w:val="14"/>
          <w:color w:val="auto"/>
        </w:rPr>
        <w:t>accordance herewith; or</w:t>
      </w:r>
    </w:p>
    <w:p>
      <w:pPr>
        <w:spacing w:after="0" w:line="57" w:lineRule="exact"/>
        <w:rPr>
          <w:rFonts w:ascii="Arial" w:cs="Arial" w:eastAsia="Arial" w:hAnsi="Arial"/>
          <w:sz w:val="13"/>
          <w:szCs w:val="13"/>
          <w:color w:val="auto"/>
        </w:rPr>
      </w:pPr>
    </w:p>
    <w:p>
      <w:pPr>
        <w:ind w:right="60" w:firstLine="677"/>
        <w:spacing w:after="0" w:line="299" w:lineRule="auto"/>
        <w:tabs>
          <w:tab w:leader="none" w:pos="979"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authorization or creation of, or the increase in the authorized amount of, any shares of any class or series or any security convertible into shares of any class or series ranking prior to the Series E Preferred Stock in the distribution on any liquidation, dissolution or winding up of the Corporation or in the payment of dividends; provided, however, that, in the case of each of subparagraphs (a) and (b), no such vote of the holders of Series E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E Preferred Stock or Voting Preferred Shares, as the case may be, at the time outstanding in accordance with Section 5 hereof or, in the case of a merger, consolidation or otherwise, regardless of the date of the transaction, the holders of the Series E Preferred Stock receive in the transaction their liquidation preference plus accrued and unpaid dividends.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E-16</w:t>
      </w:r>
    </w:p>
    <w:p>
      <w:pPr>
        <w:sectPr>
          <w:pgSz w:w="11900" w:h="16838" w:orient="portrait"/>
          <w:cols w:equalWidth="0" w:num="1">
            <w:col w:w="11020"/>
          </w:cols>
          <w:pgMar w:left="400" w:top="821" w:right="479" w:bottom="1440" w:gutter="0" w:footer="0" w:header="0"/>
        </w:sectPr>
      </w:pPr>
    </w:p>
    <w:bookmarkStart w:id="303" w:name="page304"/>
    <w:bookmarkEnd w:id="303"/>
    <w:p>
      <w:pPr>
        <w:ind w:right="140" w:firstLine="677"/>
        <w:spacing w:after="0" w:line="278" w:lineRule="auto"/>
        <w:rPr>
          <w:sz w:val="20"/>
          <w:szCs w:val="20"/>
          <w:color w:val="auto"/>
        </w:rPr>
      </w:pPr>
      <w:r>
        <w:rPr>
          <w:rFonts w:ascii="Arial" w:cs="Arial" w:eastAsia="Arial" w:hAnsi="Arial"/>
          <w:sz w:val="13"/>
          <w:szCs w:val="13"/>
          <w:color w:val="auto"/>
        </w:rPr>
        <w:t>For purposes of determining the voting rights of the holders of the Series E Preferred Stock under this Section 10, each holder will be entitled to one vote for each Liquidation Preference per share with respect to shares of the Series E Preferred Stock held by such holder. Whether the vote or consent of the holders of a plurality, majority or other portion of the shares of the Series E Preferred Stock and any Voting Preferred Shares has been cast or given on any matter on which the holders of shares of the Series E Preferred Stock are entitled to vote shall be determined by the Corporation by reference to the specified liquidation amounts of the shares voted or covered by the consent.</w:t>
      </w:r>
    </w:p>
    <w:p>
      <w:pPr>
        <w:spacing w:after="0" w:line="184" w:lineRule="exact"/>
        <w:rPr>
          <w:sz w:val="20"/>
          <w:szCs w:val="20"/>
          <w:color w:val="auto"/>
        </w:rPr>
      </w:pPr>
    </w:p>
    <w:p>
      <w:pPr>
        <w:ind w:firstLine="677"/>
        <w:spacing w:after="0" w:line="249"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Information R</w:t>
      </w:r>
      <w:r>
        <w:rPr>
          <w:rFonts w:ascii="Arial" w:cs="Arial" w:eastAsia="Arial" w:hAnsi="Arial"/>
          <w:sz w:val="14"/>
          <w:szCs w:val="14"/>
          <w:color w:val="auto"/>
        </w:rPr>
        <w:t>ig</w:t>
      </w:r>
      <w:r>
        <w:rPr>
          <w:rFonts w:ascii="Arial" w:cs="Arial" w:eastAsia="Arial" w:hAnsi="Arial"/>
          <w:sz w:val="14"/>
          <w:szCs w:val="14"/>
          <w:u w:val="single" w:color="auto"/>
          <w:color w:val="auto"/>
        </w:rPr>
        <w:t>hts</w:t>
      </w:r>
      <w:r>
        <w:rPr>
          <w:rFonts w:ascii="Arial" w:cs="Arial" w:eastAsia="Arial" w:hAnsi="Arial"/>
          <w:sz w:val="14"/>
          <w:szCs w:val="14"/>
          <w:color w:val="auto"/>
        </w:rPr>
        <w:t>. During any period in which the Corporation is not subject to Section 13 or 15(d) of the Securities Exchange Act and any shares of Series E Preferred Stock are outstanding, the Corporation will (i) transmit by mail to all holders of Series E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E Preferred Stock. The Corporation will mail the information to the holders of Series E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02" w:lineRule="exact"/>
        <w:rPr>
          <w:sz w:val="20"/>
          <w:szCs w:val="20"/>
          <w:color w:val="auto"/>
        </w:rPr>
      </w:pPr>
    </w:p>
    <w:p>
      <w:pPr>
        <w:ind w:right="120" w:firstLine="677"/>
        <w:spacing w:after="0" w:line="270"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Record Holders</w:t>
      </w:r>
      <w:r>
        <w:rPr>
          <w:rFonts w:ascii="Arial" w:cs="Arial" w:eastAsia="Arial" w:hAnsi="Arial"/>
          <w:sz w:val="14"/>
          <w:szCs w:val="14"/>
          <w:color w:val="auto"/>
        </w:rPr>
        <w:t>. The Corporation and the Transfer Agent may deem and treat the record holder of any Series E Preferred Stock as the true and lawful owner thereof for all purposes, and neither the Corporation nor the Transfer Agent shall be affected by any notice to the contrary.</w:t>
      </w:r>
    </w:p>
    <w:p>
      <w:pPr>
        <w:spacing w:after="0" w:line="176" w:lineRule="exact"/>
        <w:rPr>
          <w:sz w:val="20"/>
          <w:szCs w:val="20"/>
          <w:color w:val="auto"/>
        </w:rPr>
      </w:pPr>
    </w:p>
    <w:p>
      <w:pPr>
        <w:ind w:right="20" w:firstLine="677"/>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Restrictions on Ownership and Transfer</w:t>
      </w:r>
      <w:r>
        <w:rPr>
          <w:rFonts w:ascii="Arial" w:cs="Arial" w:eastAsia="Arial" w:hAnsi="Arial"/>
          <w:sz w:val="14"/>
          <w:szCs w:val="14"/>
          <w:color w:val="auto"/>
        </w:rPr>
        <w:t>. The Series E Preferred Stock constitutes Preferred Stock, and Preferred Stock constitutes Capital Stock of the Corporation. Therefore, the Series E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E Preferred Stock of any other term or provision of the Charter.</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E-17</w:t>
      </w:r>
    </w:p>
    <w:p>
      <w:pPr>
        <w:sectPr>
          <w:pgSz w:w="11900" w:h="16838" w:orient="portrait"/>
          <w:cols w:equalWidth="0" w:num="1">
            <w:col w:w="11000"/>
          </w:cols>
          <w:pgMar w:left="400" w:top="903" w:right="499" w:bottom="1440" w:gutter="0" w:footer="0" w:header="0"/>
        </w:sectPr>
      </w:pPr>
    </w:p>
    <w:bookmarkStart w:id="304" w:name="page305"/>
    <w:bookmarkEnd w:id="304"/>
    <w:p>
      <w:pPr>
        <w:jc w:val="center"/>
        <w:ind w:right="-60"/>
        <w:spacing w:after="0"/>
        <w:rPr>
          <w:sz w:val="20"/>
          <w:szCs w:val="20"/>
          <w:color w:val="auto"/>
        </w:rPr>
      </w:pPr>
      <w:r>
        <w:rPr>
          <w:rFonts w:ascii="Arial" w:cs="Arial" w:eastAsia="Arial" w:hAnsi="Arial"/>
          <w:sz w:val="14"/>
          <w:szCs w:val="14"/>
          <w:b w:val="1"/>
          <w:bCs w:val="1"/>
          <w:color w:val="auto"/>
        </w:rPr>
        <w:t>EXHIBIT F</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SERIES F PREFERRED STOCK</w:t>
      </w:r>
    </w:p>
    <w:p>
      <w:pPr>
        <w:spacing w:after="0" w:line="201" w:lineRule="exact"/>
        <w:rPr>
          <w:sz w:val="20"/>
          <w:szCs w:val="20"/>
          <w:color w:val="auto"/>
        </w:rPr>
      </w:pPr>
    </w:p>
    <w:p>
      <w:pPr>
        <w:ind w:left="1" w:right="40" w:firstLine="702"/>
        <w:spacing w:after="0" w:line="250" w:lineRule="auto"/>
        <w:rPr>
          <w:sz w:val="20"/>
          <w:szCs w:val="20"/>
          <w:color w:val="auto"/>
        </w:rPr>
      </w:pPr>
      <w:r>
        <w:rPr>
          <w:rFonts w:ascii="Arial" w:cs="Arial" w:eastAsia="Arial" w:hAnsi="Arial"/>
          <w:sz w:val="14"/>
          <w:szCs w:val="14"/>
          <w:color w:val="auto"/>
        </w:rPr>
        <w:t>Under a power contained in the charter (the “Charter”) of Colony NorthStar, Inc., a Maryland corporation (the “Corporation”), the Board of Directors of the Corporation (the “Board”) classified and designated 10,400,000 shares of the Preferred Stock (as defined in the Charter), as shares of 8.50% Series F Cumulative Redeemable Perpetual Preferred Stock, liquidation preference $25.00 per share,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8.50% Series F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left="1" w:right="200" w:firstLine="701"/>
        <w:spacing w:after="0" w:line="310" w:lineRule="auto"/>
        <w:tabs>
          <w:tab w:leader="none" w:pos="1006" w:val="left"/>
        </w:tabs>
        <w:numPr>
          <w:ilvl w:val="1"/>
          <w:numId w:val="203"/>
        </w:numPr>
        <w:rPr>
          <w:rFonts w:ascii="Arial" w:cs="Arial" w:eastAsia="Arial" w:hAnsi="Arial"/>
          <w:sz w:val="13"/>
          <w:szCs w:val="13"/>
          <w:color w:val="auto"/>
        </w:rPr>
      </w:pPr>
      <w:r>
        <w:rPr>
          <w:rFonts w:ascii="Arial" w:cs="Arial" w:eastAsia="Arial" w:hAnsi="Arial"/>
          <w:sz w:val="13"/>
          <w:szCs w:val="13"/>
          <w:i w:val="1"/>
          <w:iCs w:val="1"/>
          <w:color w:val="auto"/>
        </w:rPr>
        <w:t>Designation and Number</w:t>
      </w:r>
      <w:r>
        <w:rPr>
          <w:rFonts w:ascii="Arial" w:cs="Arial" w:eastAsia="Arial" w:hAnsi="Arial"/>
          <w:sz w:val="13"/>
          <w:szCs w:val="13"/>
          <w:color w:val="auto"/>
        </w:rPr>
        <w:t>. A series of Preferred Stock, designated as the “8.50% Series F Cumulative Redeemable Perpetual Preferred Stock” (the “Series F Preferred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is hereby established. The par value of the Series F Preferred Stock is $0.01 per share. The number of shares of the Series F Preferred Stock shall be 10,400,000.</w:t>
      </w:r>
    </w:p>
    <w:p>
      <w:pPr>
        <w:spacing w:after="0" w:line="151" w:lineRule="exact"/>
        <w:rPr>
          <w:rFonts w:ascii="Arial" w:cs="Arial" w:eastAsia="Arial" w:hAnsi="Arial"/>
          <w:sz w:val="13"/>
          <w:szCs w:val="13"/>
          <w:color w:val="auto"/>
        </w:rPr>
      </w:pPr>
    </w:p>
    <w:p>
      <w:pPr>
        <w:ind w:left="1" w:right="40" w:firstLine="701"/>
        <w:spacing w:after="0" w:line="287" w:lineRule="auto"/>
        <w:tabs>
          <w:tab w:leader="none" w:pos="1006" w:val="left"/>
        </w:tabs>
        <w:numPr>
          <w:ilvl w:val="1"/>
          <w:numId w:val="203"/>
        </w:numPr>
        <w:rPr>
          <w:rFonts w:ascii="Arial" w:cs="Arial" w:eastAsia="Arial" w:hAnsi="Arial"/>
          <w:sz w:val="12"/>
          <w:szCs w:val="12"/>
          <w:color w:val="auto"/>
        </w:rPr>
      </w:pPr>
      <w:r>
        <w:rPr>
          <w:rFonts w:ascii="Arial" w:cs="Arial" w:eastAsia="Arial" w:hAnsi="Arial"/>
          <w:sz w:val="12"/>
          <w:szCs w:val="12"/>
          <w:i w:val="1"/>
          <w:iCs w:val="1"/>
          <w:color w:val="auto"/>
        </w:rPr>
        <w:t>Ranking</w:t>
      </w:r>
      <w:r>
        <w:rPr>
          <w:rFonts w:ascii="Arial" w:cs="Arial" w:eastAsia="Arial" w:hAnsi="Arial"/>
          <w:sz w:val="12"/>
          <w:szCs w:val="12"/>
          <w:color w:val="auto"/>
        </w:rPr>
        <w:t>. The Series F Preferred Stock will, with respect to rights to receive dividends and to participate in distributions or payments upon liquidation, dissolution or winding up</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F Preferred Stock (“Junior Stock”), (b) on a parity with the 8.75% Series A Cumulative Redeemable Perpetual Preferred Stock, liquidation preference $25.00 per share, the 8.25% Series B Cumulative Redeemable Perpetual Preferred Stock, liquidation preference $25.00 per share, the 8.875% Series C Cumulative Redeemable Perpetual Preferred Stock, liquidation preference $25.00 per share, the 8.500% Series D Cumulative Redeemable Perpetual Preferred Stock, liquidation preference $25.00 per share, the 8.75% Series E Cumulative Redeemable Perpetual Preferred Stock, liquidation preference $25.00 per share, the 7.50% Series G Cumulative Redeemable Perpetual Preferred Stock, liquidation preference $25.00 per share, and the 7.125% Series H Cumulative Redeemable Perpetual Preferred Stock, liquidation preference $25.00 per share, and any equity securities the Corporation may authorize or issue in the future that, pursuant to the terms thereof, rank on parity with the Series F Preferred Stock with respect to the payment of dividends and the distribution of assets in the event of the liquidation, dissolution or winding up of the Corporation (“Parity Stock”); and</w:t>
      </w:r>
    </w:p>
    <w:p>
      <w:pPr>
        <w:ind w:left="1" w:hanging="1"/>
        <w:spacing w:after="0" w:line="244" w:lineRule="auto"/>
        <w:tabs>
          <w:tab w:leader="none" w:pos="297" w:val="left"/>
        </w:tabs>
        <w:numPr>
          <w:ilvl w:val="0"/>
          <w:numId w:val="204"/>
        </w:numPr>
        <w:rPr>
          <w:rFonts w:ascii="Arial" w:cs="Arial" w:eastAsia="Arial" w:hAnsi="Arial"/>
          <w:sz w:val="14"/>
          <w:szCs w:val="14"/>
          <w:color w:val="auto"/>
        </w:rPr>
      </w:pPr>
      <w:r>
        <w:rPr>
          <w:rFonts w:ascii="Arial" w:cs="Arial" w:eastAsia="Arial" w:hAnsi="Arial"/>
          <w:sz w:val="14"/>
          <w:szCs w:val="14"/>
          <w:color w:val="auto"/>
        </w:rPr>
        <w:t>junior to any equity securities the Corporation may authorize or issue in the future that, pursuant to the terms thereof, rank senior to the Series F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w:t>
      </w:r>
    </w:p>
    <w:p>
      <w:pPr>
        <w:ind w:left="1" w:right="180"/>
        <w:spacing w:after="0" w:line="290" w:lineRule="auto"/>
        <w:rPr>
          <w:rFonts w:ascii="Arial" w:cs="Arial" w:eastAsia="Arial" w:hAnsi="Arial"/>
          <w:sz w:val="14"/>
          <w:szCs w:val="14"/>
          <w:color w:val="auto"/>
        </w:rPr>
      </w:pPr>
      <w:r>
        <w:rPr>
          <w:rFonts w:ascii="Arial" w:cs="Arial" w:eastAsia="Arial" w:hAnsi="Arial"/>
          <w:sz w:val="13"/>
          <w:szCs w:val="13"/>
          <w:color w:val="auto"/>
        </w:rPr>
        <w:t>two-thirds of the outstanding shares of Series F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ectPr>
          <w:pgSz w:w="11900" w:h="16838" w:orient="portrait"/>
          <w:cols w:equalWidth="0" w:num="1">
            <w:col w:w="11021"/>
          </w:cols>
          <w:pgMar w:left="399" w:top="887" w:right="479" w:bottom="1440" w:gutter="0" w:footer="0" w:header="0"/>
        </w:sectPr>
      </w:pPr>
    </w:p>
    <w:bookmarkStart w:id="305" w:name="page306"/>
    <w:bookmarkEnd w:id="305"/>
    <w:p>
      <w:pPr>
        <w:ind w:left="640" w:hanging="299"/>
        <w:spacing w:after="0"/>
        <w:tabs>
          <w:tab w:leader="none" w:pos="640" w:val="left"/>
        </w:tabs>
        <w:numPr>
          <w:ilvl w:val="1"/>
          <w:numId w:val="205"/>
        </w:numPr>
        <w:rPr>
          <w:rFonts w:ascii="Arial" w:cs="Arial" w:eastAsia="Arial" w:hAnsi="Arial"/>
          <w:sz w:val="14"/>
          <w:szCs w:val="14"/>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w:t>
      </w:r>
    </w:p>
    <w:p>
      <w:pPr>
        <w:spacing w:after="0" w:line="96" w:lineRule="exact"/>
        <w:rPr>
          <w:rFonts w:ascii="Arial" w:cs="Arial" w:eastAsia="Arial" w:hAnsi="Arial"/>
          <w:sz w:val="14"/>
          <w:szCs w:val="14"/>
          <w:color w:val="auto"/>
        </w:rPr>
      </w:pPr>
    </w:p>
    <w:p>
      <w:pPr>
        <w:jc w:val="both"/>
        <w:ind w:right="260" w:firstLine="320"/>
        <w:spacing w:after="0" w:line="250" w:lineRule="auto"/>
        <w:tabs>
          <w:tab w:leader="none" w:pos="621" w:val="left"/>
        </w:tabs>
        <w:numPr>
          <w:ilvl w:val="0"/>
          <w:numId w:val="206"/>
        </w:numPr>
        <w:rPr>
          <w:rFonts w:ascii="Arial" w:cs="Arial" w:eastAsia="Arial" w:hAnsi="Arial"/>
          <w:sz w:val="14"/>
          <w:szCs w:val="14"/>
          <w:color w:val="auto"/>
        </w:rPr>
      </w:pPr>
      <w:r>
        <w:rPr>
          <w:rFonts w:ascii="Arial" w:cs="Arial" w:eastAsia="Arial" w:hAnsi="Arial"/>
          <w:sz w:val="14"/>
          <w:szCs w:val="14"/>
          <w:color w:val="auto"/>
        </w:rPr>
        <w:t>Holders of the then outstanding shares of Series F Preferred Stock shall be entitled to receive, when, as and if authorized by the Board and declared by the Corporation, out of funds legally available for payment of dividends, cumulative cash dividends at the rate of 8.50% per annum of the $25.00 liquidation preference of each share of Series F Preferred Stock (equivalent to $2.125 per annum per share).</w:t>
      </w:r>
    </w:p>
    <w:p>
      <w:pPr>
        <w:ind w:firstLine="323"/>
        <w:spacing w:after="0" w:line="288" w:lineRule="auto"/>
        <w:tabs>
          <w:tab w:leader="none" w:pos="629" w:val="left"/>
        </w:tabs>
        <w:numPr>
          <w:ilvl w:val="0"/>
          <w:numId w:val="206"/>
        </w:numPr>
        <w:rPr>
          <w:rFonts w:ascii="Arial" w:cs="Arial" w:eastAsia="Arial" w:hAnsi="Arial"/>
          <w:sz w:val="12"/>
          <w:szCs w:val="12"/>
          <w:color w:val="auto"/>
        </w:rPr>
      </w:pPr>
      <w:r>
        <w:rPr>
          <w:rFonts w:ascii="Arial" w:cs="Arial" w:eastAsia="Arial" w:hAnsi="Arial"/>
          <w:sz w:val="12"/>
          <w:szCs w:val="12"/>
          <w:color w:val="auto"/>
        </w:rPr>
        <w:t>Dividends on each outstanding share of Series F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F Dividend Payment Date”) at the then applicable annual rate; provided, however, that if any Series F Dividend Payment Date falls on any day other than a Business Day (as hereinafter defined), the dividend that would otherwise have been payable on such Series F Dividend Payment Date may be paid on the next succeeding Business Day with the same force and effect as if paid on such Series F Dividend Payment Date, and no interest or other sums shall accrue on the amount so payable from such Series F Dividend Payment Date to such next succeeding Business Day. Each dividend is payable to holders of record as they appear on the stock records of the Corporation at the close of business on the record date, not exceeding 30 days preceding the applicable Series F Dividend Payment Date, as shall be fixed by the Board. Dividends shall accumulate from January 15, 2017 or the most recent Series F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F Preferred Stock that may be in arrears. Holders of the Series F Preferred Stock shall not be entitled to any dividends, whether payable in cash, property or stock, in excess of full cumulative dividends, as herein provided, on the Series F Preferred Stock. Dividends payable on the Series F Preferred Stock for any period greater or less than a full dividend period will be computed on the basis of a 360-day year consisting of twelve 30-day months. Dividends payable on the Series F Preferred Stock for each full dividend period will be computed by dividing the applicable annual dividend rate by four. After full cumulative distributions on the Series F Preferred Stock have been paid, the holders of Series F Preferred Stock will not be entitled to any further distributions with respect to that dividend period.</w:t>
      </w:r>
    </w:p>
    <w:p>
      <w:pPr>
        <w:spacing w:after="0" w:line="31" w:lineRule="exact"/>
        <w:rPr>
          <w:rFonts w:ascii="Arial" w:cs="Arial" w:eastAsia="Arial" w:hAnsi="Arial"/>
          <w:sz w:val="12"/>
          <w:szCs w:val="12"/>
          <w:color w:val="auto"/>
        </w:rPr>
      </w:pPr>
    </w:p>
    <w:p>
      <w:pPr>
        <w:ind w:firstLine="323"/>
        <w:spacing w:after="0" w:line="249" w:lineRule="auto"/>
        <w:tabs>
          <w:tab w:leader="none" w:pos="621" w:val="left"/>
        </w:tabs>
        <w:numPr>
          <w:ilvl w:val="0"/>
          <w:numId w:val="206"/>
        </w:numPr>
        <w:rPr>
          <w:rFonts w:ascii="Arial" w:cs="Arial" w:eastAsia="Arial" w:hAnsi="Arial"/>
          <w:sz w:val="14"/>
          <w:szCs w:val="14"/>
          <w:color w:val="auto"/>
        </w:rPr>
      </w:pPr>
      <w:r>
        <w:rPr>
          <w:rFonts w:ascii="Arial" w:cs="Arial" w:eastAsia="Arial" w:hAnsi="Arial"/>
          <w:sz w:val="14"/>
          <w:szCs w:val="14"/>
          <w:color w:val="auto"/>
        </w:rPr>
        <w:t>So long as any shares of Series F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F Preferred Stock for all prior dividend periods. When dividends are not paid in full or a sum sufficient for such payment is not set apart, as aforesaid, all dividends authorized and declared upon the Series F Preferred Stock and all dividends authorized and declared upon any other series or class or classes of Parity Stock shall be authorized and declared ratably in proportion to the respective amounts of dividends accumulated and unpaid on the Series F Preferred Stock and such Parity Stock.</w:t>
      </w:r>
    </w:p>
    <w:p>
      <w:pPr>
        <w:spacing w:after="0" w:line="8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0680"/>
          </w:cols>
          <w:pgMar w:left="740" w:top="809" w:right="479" w:bottom="1440" w:gutter="0" w:footer="0" w:header="0"/>
        </w:sectPr>
      </w:pPr>
    </w:p>
    <w:bookmarkStart w:id="306" w:name="page307"/>
    <w:bookmarkEnd w:id="306"/>
    <w:p>
      <w:pPr>
        <w:ind w:firstLine="323"/>
        <w:spacing w:after="0" w:line="269" w:lineRule="auto"/>
        <w:tabs>
          <w:tab w:leader="none" w:pos="629"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So long as any shares of Series F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F Preferred Stock and any Parity Stock at the time such dividends are payable shall have been paid or set apart for payment for all past dividend periods with respect to the Series F Preferred Stock and all past dividend periods with respect to such Parity Stock.</w:t>
      </w:r>
    </w:p>
    <w:p>
      <w:pPr>
        <w:spacing w:after="0" w:line="51" w:lineRule="exact"/>
        <w:rPr>
          <w:rFonts w:ascii="Arial" w:cs="Arial" w:eastAsia="Arial" w:hAnsi="Arial"/>
          <w:sz w:val="13"/>
          <w:szCs w:val="13"/>
          <w:color w:val="auto"/>
        </w:rPr>
      </w:pPr>
    </w:p>
    <w:p>
      <w:pPr>
        <w:ind w:right="300" w:firstLine="323"/>
        <w:spacing w:after="0" w:line="270" w:lineRule="auto"/>
        <w:tabs>
          <w:tab w:leader="none" w:pos="613"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Any dividend payment made on the Series F Preferred Stock, including any capital gains dividends, shall first be credited against the earliest accrued but unpaid dividend due with respect to such shares which remains payable.</w:t>
      </w:r>
    </w:p>
    <w:p>
      <w:pPr>
        <w:spacing w:after="0" w:line="47" w:lineRule="exact"/>
        <w:rPr>
          <w:rFonts w:ascii="Arial" w:cs="Arial" w:eastAsia="Arial" w:hAnsi="Arial"/>
          <w:sz w:val="14"/>
          <w:szCs w:val="14"/>
          <w:color w:val="auto"/>
        </w:rPr>
      </w:pPr>
    </w:p>
    <w:p>
      <w:pPr>
        <w:ind w:left="600" w:hanging="277"/>
        <w:spacing w:after="0"/>
        <w:tabs>
          <w:tab w:leader="none" w:pos="60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Except as provided herein, the Series F Preferred Stock shall not be entitled to participate in the earnings or assets of the Corporation.</w:t>
      </w:r>
    </w:p>
    <w:p>
      <w:pPr>
        <w:spacing w:after="0" w:line="96" w:lineRule="exact"/>
        <w:rPr>
          <w:rFonts w:ascii="Arial" w:cs="Arial" w:eastAsia="Arial" w:hAnsi="Arial"/>
          <w:sz w:val="14"/>
          <w:szCs w:val="14"/>
          <w:color w:val="auto"/>
        </w:rPr>
      </w:pPr>
    </w:p>
    <w:p>
      <w:pPr>
        <w:ind w:left="620" w:hanging="297"/>
        <w:spacing w:after="0"/>
        <w:tabs>
          <w:tab w:leader="none" w:pos="6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As used herein, the term “Business Day” shall mean any day, other than a Saturday or Sunday, that is neither a legal holiday nor a day on which banking institutions in New</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York, New York are authorized or required by law, regulation or executive order to close.</w:t>
      </w:r>
    </w:p>
    <w:p>
      <w:pPr>
        <w:spacing w:after="0" w:line="73" w:lineRule="exact"/>
        <w:rPr>
          <w:sz w:val="20"/>
          <w:szCs w:val="20"/>
          <w:color w:val="auto"/>
        </w:rPr>
      </w:pPr>
    </w:p>
    <w:p>
      <w:pPr>
        <w:ind w:right="360" w:firstLine="323"/>
        <w:spacing w:after="0" w:line="270" w:lineRule="auto"/>
        <w:tabs>
          <w:tab w:leader="none" w:pos="621"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63" w:lineRule="exact"/>
        <w:rPr>
          <w:rFonts w:ascii="Arial" w:cs="Arial" w:eastAsia="Arial" w:hAnsi="Arial"/>
          <w:sz w:val="14"/>
          <w:szCs w:val="14"/>
          <w:color w:val="auto"/>
        </w:rPr>
      </w:pPr>
    </w:p>
    <w:p>
      <w:pPr>
        <w:ind w:left="640" w:hanging="299"/>
        <w:spacing w:after="0"/>
        <w:tabs>
          <w:tab w:leader="none" w:pos="640" w:val="left"/>
        </w:tabs>
        <w:numPr>
          <w:ilvl w:val="1"/>
          <w:numId w:val="208"/>
        </w:numPr>
        <w:rPr>
          <w:rFonts w:ascii="Arial" w:cs="Arial" w:eastAsia="Arial" w:hAnsi="Arial"/>
          <w:sz w:val="14"/>
          <w:szCs w:val="14"/>
          <w:color w:val="auto"/>
        </w:rPr>
      </w:pPr>
      <w:r>
        <w:rPr>
          <w:rFonts w:ascii="Arial" w:cs="Arial" w:eastAsia="Arial" w:hAnsi="Arial"/>
          <w:sz w:val="14"/>
          <w:szCs w:val="14"/>
          <w:i w:val="1"/>
          <w:iCs w:val="1"/>
          <w:color w:val="auto"/>
        </w:rPr>
        <w:t>Liquidation Preference</w:t>
      </w:r>
      <w:r>
        <w:rPr>
          <w:rFonts w:ascii="Arial" w:cs="Arial" w:eastAsia="Arial" w:hAnsi="Arial"/>
          <w:sz w:val="14"/>
          <w:szCs w:val="14"/>
          <w:color w:val="auto"/>
        </w:rPr>
        <w:t>.</w:t>
      </w:r>
    </w:p>
    <w:p>
      <w:pPr>
        <w:spacing w:after="0" w:line="85" w:lineRule="exact"/>
        <w:rPr>
          <w:sz w:val="20"/>
          <w:szCs w:val="20"/>
          <w:color w:val="auto"/>
        </w:rPr>
      </w:pPr>
    </w:p>
    <w:p>
      <w:pPr>
        <w:ind w:right="40" w:firstLine="323"/>
        <w:spacing w:after="0" w:line="249" w:lineRule="auto"/>
        <w:tabs>
          <w:tab w:leader="none" w:pos="621" w:val="left"/>
        </w:tabs>
        <w:numPr>
          <w:ilvl w:val="0"/>
          <w:numId w:val="209"/>
        </w:numPr>
        <w:rPr>
          <w:rFonts w:ascii="Arial" w:cs="Arial" w:eastAsia="Arial" w:hAnsi="Arial"/>
          <w:sz w:val="14"/>
          <w:szCs w:val="14"/>
          <w:color w:val="auto"/>
        </w:rPr>
      </w:pPr>
      <w:r>
        <w:rPr>
          <w:rFonts w:ascii="Arial" w:cs="Arial" w:eastAsia="Arial" w:hAnsi="Arial"/>
          <w:sz w:val="14"/>
          <w:szCs w:val="14"/>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F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F Preferred Stock shall not be entitled to any further payment. If, upon any such liquidation, dissolution or winding up of the Corporation, the assets of the Corporation, or proceeds thereof, distributable among the holders of the Series F Preferred Stock shall be insufficient to pay in full the preferential amount aforesaid and liquidating payments on any other Parity Stock, then such assets, or the proceeds thereof, shall be</w:t>
      </w:r>
    </w:p>
    <w:p>
      <w:pPr>
        <w:spacing w:after="0" w:line="8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0680"/>
          </w:cols>
          <w:pgMar w:left="740" w:top="821" w:right="479" w:bottom="1440" w:gutter="0" w:footer="0" w:header="0"/>
        </w:sectPr>
      </w:pPr>
    </w:p>
    <w:bookmarkStart w:id="307" w:name="page308"/>
    <w:bookmarkEnd w:id="307"/>
    <w:p>
      <w:pPr>
        <w:ind w:right="100"/>
        <w:spacing w:after="0" w:line="253" w:lineRule="auto"/>
        <w:rPr>
          <w:sz w:val="20"/>
          <w:szCs w:val="20"/>
          <w:color w:val="auto"/>
        </w:rPr>
      </w:pPr>
      <w:r>
        <w:rPr>
          <w:rFonts w:ascii="Arial" w:cs="Arial" w:eastAsia="Arial" w:hAnsi="Arial"/>
          <w:sz w:val="14"/>
          <w:szCs w:val="14"/>
          <w:color w:val="auto"/>
        </w:rPr>
        <w:t>distributed among the holders of such Series F Preferred Stock and any such other Parity Stock ratably in accordance with the respective amounts that would be payable on such Series F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70" w:lineRule="exact"/>
        <w:rPr>
          <w:sz w:val="20"/>
          <w:szCs w:val="20"/>
          <w:color w:val="auto"/>
        </w:rPr>
      </w:pPr>
    </w:p>
    <w:p>
      <w:pPr>
        <w:ind w:right="20" w:firstLine="323"/>
        <w:spacing w:after="0" w:line="274" w:lineRule="auto"/>
        <w:tabs>
          <w:tab w:leader="none" w:pos="629" w:val="left"/>
        </w:tabs>
        <w:numPr>
          <w:ilvl w:val="0"/>
          <w:numId w:val="210"/>
        </w:numPr>
        <w:rPr>
          <w:rFonts w:ascii="Arial" w:cs="Arial" w:eastAsia="Arial" w:hAnsi="Arial"/>
          <w:sz w:val="13"/>
          <w:szCs w:val="13"/>
          <w:color w:val="auto"/>
        </w:rPr>
      </w:pPr>
      <w:r>
        <w:rPr>
          <w:rFonts w:ascii="Arial" w:cs="Arial" w:eastAsia="Arial" w:hAnsi="Arial"/>
          <w:sz w:val="13"/>
          <w:szCs w:val="13"/>
          <w:color w:val="auto"/>
        </w:rPr>
        <w:t>Until payment shall have been made in full to the holders of the Series F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F Preferred Stock, as provided in this Section 4, any series or class or classes of Junior Stock shall, subject to any respective terms and provisions applying thereto, be entitled to receive any and all assets remaining to be paid or distributed, and the holders of the Series F Preferred Stock shall not be entitled to share therein.</w:t>
      </w:r>
    </w:p>
    <w:p>
      <w:pPr>
        <w:spacing w:after="0" w:line="163" w:lineRule="exact"/>
        <w:rPr>
          <w:rFonts w:ascii="Arial" w:cs="Arial" w:eastAsia="Arial" w:hAnsi="Arial"/>
          <w:sz w:val="13"/>
          <w:szCs w:val="13"/>
          <w:color w:val="auto"/>
        </w:rPr>
      </w:pPr>
    </w:p>
    <w:p>
      <w:pPr>
        <w:ind w:left="640" w:hanging="299"/>
        <w:spacing w:after="0"/>
        <w:tabs>
          <w:tab w:leader="none" w:pos="640" w:val="left"/>
        </w:tabs>
        <w:numPr>
          <w:ilvl w:val="1"/>
          <w:numId w:val="210"/>
        </w:numPr>
        <w:rPr>
          <w:rFonts w:ascii="Arial" w:cs="Arial" w:eastAsia="Arial" w:hAnsi="Arial"/>
          <w:sz w:val="14"/>
          <w:szCs w:val="14"/>
          <w:color w:val="auto"/>
        </w:rPr>
      </w:pPr>
      <w:r>
        <w:rPr>
          <w:rFonts w:ascii="Arial" w:cs="Arial" w:eastAsia="Arial" w:hAnsi="Arial"/>
          <w:sz w:val="14"/>
          <w:szCs w:val="14"/>
          <w:i w:val="1"/>
          <w:iCs w:val="1"/>
          <w:color w:val="auto"/>
        </w:rPr>
        <w:t>Optional Redemption</w:t>
      </w:r>
      <w:r>
        <w:rPr>
          <w:rFonts w:ascii="Arial" w:cs="Arial" w:eastAsia="Arial" w:hAnsi="Arial"/>
          <w:sz w:val="14"/>
          <w:szCs w:val="14"/>
          <w:color w:val="auto"/>
        </w:rPr>
        <w:t>.</w:t>
      </w:r>
    </w:p>
    <w:p>
      <w:pPr>
        <w:spacing w:after="0" w:line="85" w:lineRule="exact"/>
        <w:rPr>
          <w:sz w:val="20"/>
          <w:szCs w:val="20"/>
          <w:color w:val="auto"/>
        </w:rPr>
      </w:pPr>
    </w:p>
    <w:p>
      <w:pPr>
        <w:jc w:val="both"/>
        <w:ind w:right="140" w:firstLine="323"/>
        <w:spacing w:after="0" w:line="253" w:lineRule="auto"/>
        <w:tabs>
          <w:tab w:leader="none" w:pos="621" w:val="left"/>
        </w:tabs>
        <w:numPr>
          <w:ilvl w:val="0"/>
          <w:numId w:val="211"/>
        </w:numPr>
        <w:rPr>
          <w:rFonts w:ascii="Arial" w:cs="Arial" w:eastAsia="Arial" w:hAnsi="Arial"/>
          <w:sz w:val="14"/>
          <w:szCs w:val="14"/>
          <w:color w:val="auto"/>
        </w:rPr>
      </w:pPr>
      <w:r>
        <w:rPr>
          <w:rFonts w:ascii="Arial" w:cs="Arial" w:eastAsia="Arial" w:hAnsi="Arial"/>
          <w:sz w:val="14"/>
          <w:szCs w:val="14"/>
          <w:color w:val="auto"/>
        </w:rPr>
        <w:t>Except as otherwise permitted by the Charter and paragraph (b) below, the Series F Preferred Stock shall not be redeemable by the Corporation prior to March 20, 2017. On and after March 20, 2017, the Corporation, at its option, upon giving notice as provided below, may redeem the Series F Preferred Stock, in whole, at any time, or in part, from time to time, for cash at a redemption price of $25.00 per share, plus any accrued and unpaid dividends on the Series F Preferred Stock (whether or not declared), to, but not including, the redemption date (the “Regular Redemption Right”).</w:t>
      </w:r>
    </w:p>
    <w:p>
      <w:pPr>
        <w:spacing w:after="0" w:line="69" w:lineRule="exact"/>
        <w:rPr>
          <w:rFonts w:ascii="Arial" w:cs="Arial" w:eastAsia="Arial" w:hAnsi="Arial"/>
          <w:sz w:val="14"/>
          <w:szCs w:val="14"/>
          <w:color w:val="auto"/>
        </w:rPr>
      </w:pPr>
    </w:p>
    <w:p>
      <w:pPr>
        <w:ind w:firstLine="323"/>
        <w:spacing w:after="0" w:line="269" w:lineRule="auto"/>
        <w:tabs>
          <w:tab w:leader="none" w:pos="629" w:val="left"/>
        </w:tabs>
        <w:numPr>
          <w:ilvl w:val="0"/>
          <w:numId w:val="211"/>
        </w:numPr>
        <w:rPr>
          <w:rFonts w:ascii="Arial" w:cs="Arial" w:eastAsia="Arial" w:hAnsi="Arial"/>
          <w:sz w:val="13"/>
          <w:szCs w:val="13"/>
          <w:color w:val="auto"/>
        </w:rPr>
      </w:pPr>
      <w:r>
        <w:rPr>
          <w:rFonts w:ascii="Arial" w:cs="Arial" w:eastAsia="Arial" w:hAnsi="Arial"/>
          <w:sz w:val="13"/>
          <w:szCs w:val="13"/>
          <w:color w:val="auto"/>
        </w:rPr>
        <w:t>Upon the occurrence of a Change of Control (as defined herein), the Corporation will have the option, upon giving notice as provided below, to redeem the Series F Preferred Stock, in whole, at any time, or in part, from time to time, within 120 days after the first date on which the Change of Control has occurred (the “Special Redemption Right”), for cash at a redemption price of $25.00 per share, plus any accrued and unpaid dividends on the Series F Preferred Stock (whether or not declared), to, but not including, the redemption date (the “Special Redemption Price”). If the Corporation exercises its Special Redemption Right in connection with a Change of Control, holders of Series F Preferred Stock will not be permitted to exercise their Change of Control Conversion Right (as defined herein) in respect of any shares of Series F Preferred Stock that have been called for redemption, and any shares of Series F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 or by any other equitable method the Corporation may choose (including by electing to exercise the Special Redemption Right only with respect to shares of Series F Preferred Stock for which holders have exercised their Change of Control Conversion Right).</w:t>
      </w:r>
    </w:p>
    <w:p>
      <w:pPr>
        <w:spacing w:after="0" w:line="63"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0680"/>
          </w:cols>
          <w:pgMar w:left="740" w:top="903" w:right="479" w:bottom="1440" w:gutter="0" w:footer="0" w:header="0"/>
        </w:sectPr>
      </w:pPr>
    </w:p>
    <w:bookmarkStart w:id="308" w:name="page309"/>
    <w:bookmarkEnd w:id="308"/>
    <w:p>
      <w:pPr>
        <w:ind w:left="320"/>
        <w:spacing w:after="0"/>
        <w:rPr>
          <w:sz w:val="20"/>
          <w:szCs w:val="20"/>
          <w:color w:val="auto"/>
        </w:rPr>
      </w:pPr>
      <w:r>
        <w:rPr>
          <w:rFonts w:ascii="Arial" w:cs="Arial" w:eastAsia="Arial" w:hAnsi="Arial"/>
          <w:sz w:val="14"/>
          <w:szCs w:val="14"/>
          <w:color w:val="auto"/>
        </w:rPr>
        <w:t>A “Change of Control” will be deemed to have occurred at such time after the original issuance of the Series F Preferred Stock when the following has occurred:</w:t>
      </w:r>
    </w:p>
    <w:p>
      <w:pPr>
        <w:spacing w:after="0" w:line="96" w:lineRule="exact"/>
        <w:rPr>
          <w:sz w:val="20"/>
          <w:szCs w:val="20"/>
          <w:color w:val="auto"/>
        </w:rPr>
      </w:pPr>
    </w:p>
    <w:p>
      <w:pPr>
        <w:ind w:left="340" w:right="60" w:firstLine="308"/>
        <w:spacing w:after="0" w:line="250" w:lineRule="auto"/>
        <w:tabs>
          <w:tab w:leader="none" w:pos="924" w:val="left"/>
        </w:tabs>
        <w:numPr>
          <w:ilvl w:val="1"/>
          <w:numId w:val="212"/>
        </w:numPr>
        <w:rPr>
          <w:rFonts w:ascii="Arial" w:cs="Arial" w:eastAsia="Arial" w:hAnsi="Arial"/>
          <w:sz w:val="14"/>
          <w:szCs w:val="14"/>
          <w:color w:val="auto"/>
        </w:rPr>
      </w:pPr>
      <w:r>
        <w:rPr>
          <w:rFonts w:ascii="Arial" w:cs="Arial" w:eastAsia="Arial" w:hAnsi="Arial"/>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1" w:lineRule="exact"/>
        <w:rPr>
          <w:rFonts w:ascii="Arial" w:cs="Arial" w:eastAsia="Arial" w:hAnsi="Arial"/>
          <w:sz w:val="14"/>
          <w:szCs w:val="14"/>
          <w:color w:val="auto"/>
        </w:rPr>
      </w:pPr>
    </w:p>
    <w:p>
      <w:pPr>
        <w:ind w:left="340" w:right="160" w:firstLine="308"/>
        <w:spacing w:after="0" w:line="250" w:lineRule="auto"/>
        <w:tabs>
          <w:tab w:leader="none" w:pos="963" w:val="left"/>
        </w:tabs>
        <w:numPr>
          <w:ilvl w:val="1"/>
          <w:numId w:val="212"/>
        </w:numPr>
        <w:rPr>
          <w:rFonts w:ascii="Arial" w:cs="Arial" w:eastAsia="Arial" w:hAnsi="Arial"/>
          <w:sz w:val="14"/>
          <w:szCs w:val="14"/>
          <w:color w:val="auto"/>
        </w:rPr>
      </w:pPr>
      <w:r>
        <w:rPr>
          <w:rFonts w:ascii="Arial" w:cs="Arial" w:eastAsia="Arial" w:hAnsi="Arial"/>
          <w:sz w:val="14"/>
          <w:szCs w:val="14"/>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ind w:left="620" w:hanging="297"/>
        <w:spacing w:after="0"/>
        <w:tabs>
          <w:tab w:leader="none" w:pos="62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following provisions set forth the general procedures for redemption applicable to redemptions pursuant to the Regular Redemption Right and the Special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Redemption Right:</w:t>
      </w:r>
    </w:p>
    <w:p>
      <w:pPr>
        <w:spacing w:after="0" w:line="73" w:lineRule="exact"/>
        <w:rPr>
          <w:sz w:val="20"/>
          <w:szCs w:val="20"/>
          <w:color w:val="auto"/>
        </w:rPr>
      </w:pPr>
    </w:p>
    <w:p>
      <w:pPr>
        <w:ind w:left="340" w:firstLine="308"/>
        <w:spacing w:after="0" w:line="249" w:lineRule="auto"/>
        <w:tabs>
          <w:tab w:leader="none" w:pos="924" w:val="left"/>
        </w:tabs>
        <w:numPr>
          <w:ilvl w:val="0"/>
          <w:numId w:val="214"/>
        </w:numPr>
        <w:rPr>
          <w:rFonts w:ascii="Arial" w:cs="Arial" w:eastAsia="Arial" w:hAnsi="Arial"/>
          <w:sz w:val="14"/>
          <w:szCs w:val="14"/>
          <w:color w:val="auto"/>
        </w:rPr>
      </w:pPr>
      <w:r>
        <w:rPr>
          <w:rFonts w:ascii="Arial" w:cs="Arial" w:eastAsia="Arial" w:hAnsi="Arial"/>
          <w:sz w:val="14"/>
          <w:szCs w:val="14"/>
          <w:color w:val="auto"/>
        </w:rPr>
        <w:t>Upon any redemption date applicable to Series F Preferred Stock, the Corporation shall pay on each share of Series F Preferred Stock to be redeemed any accrued and unpaid dividends (whether or not declared), in arrears, for any dividend period ending on or prior to the redemption date. If a redemption date falls after a record date for a Series F Preferred Stock dividend payment and prior to the corresponding Series F Dividend Payment Date, then each holder of the Series F Preferred Stock at the close of business on such record date shall be entitled to the dividend payable on such Series F Preferred Stock on the corresponding Series F Dividend Payment Date notwithstanding the redemption of such Series F Preferred Stock prior to such Series F Dividend Payment Date. Except as provided above, the Corporation shall make no payment or allowance for unpaid dividends, whether or not in arrears, on any shares of Series F Preferred Stock called for redemption.</w:t>
      </w:r>
    </w:p>
    <w:p>
      <w:pPr>
        <w:spacing w:after="0" w:line="61" w:lineRule="exact"/>
        <w:rPr>
          <w:rFonts w:ascii="Arial" w:cs="Arial" w:eastAsia="Arial" w:hAnsi="Arial"/>
          <w:sz w:val="14"/>
          <w:szCs w:val="14"/>
          <w:color w:val="auto"/>
        </w:rPr>
      </w:pPr>
    </w:p>
    <w:p>
      <w:pPr>
        <w:ind w:left="340" w:right="200" w:firstLine="308"/>
        <w:spacing w:after="0" w:line="253" w:lineRule="auto"/>
        <w:tabs>
          <w:tab w:leader="none" w:pos="963" w:val="left"/>
        </w:tabs>
        <w:numPr>
          <w:ilvl w:val="0"/>
          <w:numId w:val="214"/>
        </w:numPr>
        <w:rPr>
          <w:rFonts w:ascii="Arial" w:cs="Arial" w:eastAsia="Arial" w:hAnsi="Arial"/>
          <w:sz w:val="14"/>
          <w:szCs w:val="14"/>
          <w:color w:val="auto"/>
        </w:rPr>
      </w:pPr>
      <w:r>
        <w:rPr>
          <w:rFonts w:ascii="Arial" w:cs="Arial" w:eastAsia="Arial" w:hAnsi="Arial"/>
          <w:sz w:val="14"/>
          <w:szCs w:val="14"/>
          <w:color w:val="auto"/>
        </w:rPr>
        <w:t>If full cumulative dividends on the Series F Preferred Stock and any class or classes of Parity Stock have not been paid or declared and set apart for payment, the Corporation may not purchase, redeem or otherwise acquire Series F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57" w:lineRule="exact"/>
        <w:rPr>
          <w:rFonts w:ascii="Arial" w:cs="Arial" w:eastAsia="Arial" w:hAnsi="Arial"/>
          <w:sz w:val="14"/>
          <w:szCs w:val="14"/>
          <w:color w:val="auto"/>
        </w:rPr>
      </w:pPr>
    </w:p>
    <w:p>
      <w:pPr>
        <w:ind w:left="340" w:right="60" w:firstLine="308"/>
        <w:spacing w:after="0" w:line="249" w:lineRule="auto"/>
        <w:tabs>
          <w:tab w:leader="none" w:pos="1002" w:val="left"/>
        </w:tabs>
        <w:numPr>
          <w:ilvl w:val="0"/>
          <w:numId w:val="214"/>
        </w:numPr>
        <w:rPr>
          <w:rFonts w:ascii="Arial" w:cs="Arial" w:eastAsia="Arial" w:hAnsi="Arial"/>
          <w:sz w:val="14"/>
          <w:szCs w:val="14"/>
          <w:color w:val="auto"/>
        </w:rPr>
      </w:pPr>
      <w:r>
        <w:rPr>
          <w:rFonts w:ascii="Arial" w:cs="Arial" w:eastAsia="Arial" w:hAnsi="Arial"/>
          <w:sz w:val="14"/>
          <w:szCs w:val="14"/>
          <w:color w:val="auto"/>
        </w:rPr>
        <w:t>On and after the date fixed for redemption, provided that the Corporation has made available at the office of the registrar and transfer agent a sufficient amount of cash to effect the redemption, dividends will cease to accrue on the shares of Series F Preferred Stock called for redemption (except that, in the case of a redemption date after a dividend payment record date and prior to the related Series F Dividend Payment Date, holders of Series F Preferred Stock on the applicable dividend payment record date will be entitled on such Series F Dividend Payment Date to receive the dividend payable on such shares on the corresponding Series F Dividend Payment Date), such shares shall no longer be deemed to be outstanding and all rights of the holders of such shares as holders of Series F Preferred Stock shall cease except the right to receive the cash payable upon such redemption, without interest from the date of such redemption.</w:t>
      </w:r>
    </w:p>
    <w:p>
      <w:pPr>
        <w:spacing w:after="0" w:line="8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0680"/>
          </w:cols>
          <w:pgMar w:left="740" w:top="902" w:right="479" w:bottom="1440" w:gutter="0" w:footer="0" w:header="0"/>
        </w:sectPr>
      </w:pPr>
    </w:p>
    <w:bookmarkStart w:id="309" w:name="page310"/>
    <w:bookmarkEnd w:id="309"/>
    <w:p>
      <w:pPr>
        <w:ind w:left="620" w:hanging="297"/>
        <w:spacing w:after="0"/>
        <w:tabs>
          <w:tab w:leader="none" w:pos="62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 following provisions set forth the procedures for redemption, in addition to those general procedures set forth in Section 5(c) hereof, pursuant to the Regular Redemption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Right.</w:t>
      </w:r>
    </w:p>
    <w:p>
      <w:pPr>
        <w:spacing w:after="0" w:line="84" w:lineRule="exact"/>
        <w:rPr>
          <w:rFonts w:ascii="Arial" w:cs="Arial" w:eastAsia="Arial" w:hAnsi="Arial"/>
          <w:sz w:val="13"/>
          <w:szCs w:val="13"/>
          <w:color w:val="auto"/>
        </w:rPr>
      </w:pPr>
    </w:p>
    <w:p>
      <w:pPr>
        <w:ind w:left="340" w:right="60" w:firstLine="308"/>
        <w:spacing w:after="0" w:line="247" w:lineRule="auto"/>
        <w:tabs>
          <w:tab w:leader="none" w:pos="916" w:val="left"/>
        </w:tabs>
        <w:numPr>
          <w:ilvl w:val="2"/>
          <w:numId w:val="215"/>
        </w:numPr>
        <w:rPr>
          <w:rFonts w:ascii="Arial" w:cs="Arial" w:eastAsia="Arial" w:hAnsi="Arial"/>
          <w:sz w:val="14"/>
          <w:szCs w:val="14"/>
          <w:color w:val="auto"/>
        </w:rPr>
      </w:pPr>
      <w:r>
        <w:rPr>
          <w:rFonts w:ascii="Arial" w:cs="Arial" w:eastAsia="Arial" w:hAnsi="Arial"/>
          <w:sz w:val="14"/>
          <w:szCs w:val="14"/>
          <w:color w:val="auto"/>
        </w:rPr>
        <w:t>A notice of redemption (which may be contingent upon the occurrence of a future event) shall be mailed, postage prepaid, not less than 30 nor more than 60 days prior to the redemption date, addressed to the holders of record of the Series F Preferred Stock at their addresses as they appear on the Corporation’s stock transfer records. A failure to give such notice or any defect in the notice or in its mailing shall not affect the validity of the proceedings for the redemption of any shares of the Series F Preferred Stock except as to the holder to whom notice was defective or not given. In addition to any information required by law or by the applicable rules of any exchange upon which the Series F Preferred Stock may be listed or admitted to trading, each notice shall state: (A) the redemption date;</w:t>
      </w:r>
    </w:p>
    <w:p>
      <w:pPr>
        <w:spacing w:after="0" w:line="2" w:lineRule="exact"/>
        <w:rPr>
          <w:rFonts w:ascii="Arial" w:cs="Arial" w:eastAsia="Arial" w:hAnsi="Arial"/>
          <w:sz w:val="14"/>
          <w:szCs w:val="14"/>
          <w:color w:val="auto"/>
        </w:rPr>
      </w:pPr>
    </w:p>
    <w:p>
      <w:pPr>
        <w:jc w:val="both"/>
        <w:ind w:left="340" w:hanging="3"/>
        <w:spacing w:after="0" w:line="247" w:lineRule="auto"/>
        <w:tabs>
          <w:tab w:leader="none" w:pos="562" w:val="left"/>
        </w:tabs>
        <w:numPr>
          <w:ilvl w:val="1"/>
          <w:numId w:val="215"/>
        </w:numPr>
        <w:rPr>
          <w:rFonts w:ascii="Arial" w:cs="Arial" w:eastAsia="Arial" w:hAnsi="Arial"/>
          <w:sz w:val="14"/>
          <w:szCs w:val="14"/>
          <w:color w:val="auto"/>
        </w:rPr>
      </w:pPr>
      <w:r>
        <w:rPr>
          <w:rFonts w:ascii="Arial" w:cs="Arial" w:eastAsia="Arial" w:hAnsi="Arial"/>
          <w:sz w:val="14"/>
          <w:szCs w:val="14"/>
          <w:color w:val="auto"/>
        </w:rPr>
        <w:t>the redemption price; (C) the number of shares of Series F Preferred Stock to be redeemed and, if fewer than all the shares of Series F Preferred Stock held by such holder are to be redeemed, the number of such shares of Series F Preferred Stock to be redeemed from such holder; (D) the place or places where the certificates, if any, evidencing the shares of Series F Preferred Stock are to be surrendered for payment of the redemption price; and (E) that dividends on the shares to be redeemed will cease to accrue on such redemption date except as otherwise provided herein.</w:t>
      </w:r>
    </w:p>
    <w:p>
      <w:pPr>
        <w:spacing w:after="0" w:line="50" w:lineRule="exact"/>
        <w:rPr>
          <w:rFonts w:ascii="Arial" w:cs="Arial" w:eastAsia="Arial" w:hAnsi="Arial"/>
          <w:sz w:val="14"/>
          <w:szCs w:val="14"/>
          <w:color w:val="auto"/>
        </w:rPr>
      </w:pPr>
    </w:p>
    <w:p>
      <w:pPr>
        <w:ind w:left="340" w:right="480" w:firstLine="308"/>
        <w:spacing w:after="0" w:line="252" w:lineRule="auto"/>
        <w:tabs>
          <w:tab w:leader="none" w:pos="963" w:val="left"/>
        </w:tabs>
        <w:numPr>
          <w:ilvl w:val="2"/>
          <w:numId w:val="216"/>
        </w:numPr>
        <w:rPr>
          <w:rFonts w:ascii="Arial" w:cs="Arial" w:eastAsia="Arial" w:hAnsi="Arial"/>
          <w:sz w:val="14"/>
          <w:szCs w:val="14"/>
          <w:color w:val="auto"/>
        </w:rPr>
      </w:pPr>
      <w:r>
        <w:rPr>
          <w:rFonts w:ascii="Arial" w:cs="Arial" w:eastAsia="Arial" w:hAnsi="Arial"/>
          <w:sz w:val="14"/>
          <w:szCs w:val="14"/>
          <w:color w:val="auto"/>
        </w:rPr>
        <w:t>If fewer than all the outstanding shares of the Series F Preferred Stock are to be redeemed, the shares to be redeemed shall be selected by lot or pro rata (as nearly as practicable without creating fractional shares) or by any other equitable method the Corporation may choose.</w:t>
      </w:r>
    </w:p>
    <w:p>
      <w:pPr>
        <w:spacing w:after="0" w:line="1" w:lineRule="exact"/>
        <w:rPr>
          <w:rFonts w:ascii="Arial" w:cs="Arial" w:eastAsia="Arial" w:hAnsi="Arial"/>
          <w:sz w:val="14"/>
          <w:szCs w:val="14"/>
          <w:color w:val="auto"/>
        </w:rPr>
      </w:pPr>
    </w:p>
    <w:p>
      <w:pPr>
        <w:ind w:left="340" w:right="100" w:firstLine="308"/>
        <w:spacing w:after="0" w:line="245" w:lineRule="auto"/>
        <w:tabs>
          <w:tab w:leader="none" w:pos="994" w:val="left"/>
        </w:tabs>
        <w:numPr>
          <w:ilvl w:val="2"/>
          <w:numId w:val="216"/>
        </w:numPr>
        <w:rPr>
          <w:rFonts w:ascii="Arial" w:cs="Arial" w:eastAsia="Arial" w:hAnsi="Arial"/>
          <w:sz w:val="14"/>
          <w:szCs w:val="14"/>
          <w:color w:val="auto"/>
        </w:rPr>
      </w:pPr>
      <w:r>
        <w:rPr>
          <w:rFonts w:ascii="Arial" w:cs="Arial" w:eastAsia="Arial" w:hAnsi="Arial"/>
          <w:sz w:val="14"/>
          <w:szCs w:val="14"/>
          <w:color w:val="auto"/>
        </w:rPr>
        <w:t>At its election, the Corporation, prior to a redemption date, may irrevocably deposit the redemption price (including accumulated and unpaid dividends to the redemption date) of the Series F Preferred Stock so called for redemption in trust for the holders thereof with a bank or trust company, in which case the redemption notice to holders of the Series F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F Preferred Stock at the end of two years after the redemption date shall be returned by such bank or trust company to the Corporation.</w:t>
      </w:r>
    </w:p>
    <w:p>
      <w:pPr>
        <w:spacing w:after="0" w:line="65" w:lineRule="exact"/>
        <w:rPr>
          <w:rFonts w:ascii="Arial" w:cs="Arial" w:eastAsia="Arial" w:hAnsi="Arial"/>
          <w:sz w:val="14"/>
          <w:szCs w:val="14"/>
          <w:color w:val="auto"/>
        </w:rPr>
      </w:pPr>
    </w:p>
    <w:p>
      <w:pPr>
        <w:ind w:left="620" w:hanging="297"/>
        <w:spacing w:after="0"/>
        <w:tabs>
          <w:tab w:leader="none" w:pos="6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following provisions set forth the procedures for redemption, in addition to those general procedures set forth in Section 5(c) hereof, pursuant to the Special Redemption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Right.</w:t>
      </w:r>
    </w:p>
    <w:p>
      <w:pPr>
        <w:spacing w:after="0" w:line="96"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0680"/>
          </w:cols>
          <w:pgMar w:left="740" w:top="821" w:right="479" w:bottom="1440" w:gutter="0" w:footer="0" w:header="0"/>
        </w:sectPr>
      </w:pPr>
    </w:p>
    <w:bookmarkStart w:id="310" w:name="page311"/>
    <w:bookmarkEnd w:id="310"/>
    <w:p>
      <w:pPr>
        <w:ind w:left="-308" w:firstLine="308"/>
        <w:spacing w:after="0" w:line="268" w:lineRule="auto"/>
        <w:tabs>
          <w:tab w:leader="none" w:pos="268"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 notice of special optional redemption will be mailed, postage prepaid, not less than 30 nor more than 60 days prior to the redemption date, addressed to the holders of record of the Series F Preferred Stock at their addresses as they appear on the Corporation’s stock transfer records. A failure to give such notice or any defect in the notice or in its mailing will not affect the validity of the proceedings for the special optional redemption of the shares of Series F Preferred Stock except as to the holder to whom notice was defective or not given. Each notice will state: (A) the redemption date; (B) the redemption price; (C) the number of shares of Series F Preferred Stock to be redeemed; (D) the place or places where the certificates, if any, evidencing the shares of Series F Preferred Stock are to be surrendered for payment; (E) that the shares of Series F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F Preferred Stock to which the notice relates will not be able to tender such shares of Series F Preferred Stock for conversion in connection with the Change of Control and each share of Series F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49" w:lineRule="exact"/>
        <w:rPr>
          <w:rFonts w:ascii="Arial" w:cs="Arial" w:eastAsia="Arial" w:hAnsi="Arial"/>
          <w:sz w:val="13"/>
          <w:szCs w:val="13"/>
          <w:color w:val="auto"/>
        </w:rPr>
      </w:pPr>
    </w:p>
    <w:p>
      <w:pPr>
        <w:ind w:left="-308" w:right="80" w:firstLine="308"/>
        <w:spacing w:after="0" w:line="253" w:lineRule="auto"/>
        <w:tabs>
          <w:tab w:leader="none" w:pos="314" w:val="left"/>
        </w:tabs>
        <w:numPr>
          <w:ilvl w:val="0"/>
          <w:numId w:val="218"/>
        </w:numPr>
        <w:rPr>
          <w:rFonts w:ascii="Arial" w:cs="Arial" w:eastAsia="Arial" w:hAnsi="Arial"/>
          <w:sz w:val="14"/>
          <w:szCs w:val="14"/>
          <w:color w:val="auto"/>
        </w:rPr>
      </w:pPr>
      <w:r>
        <w:rPr>
          <w:rFonts w:ascii="Arial" w:cs="Arial" w:eastAsia="Arial" w:hAnsi="Arial"/>
          <w:sz w:val="14"/>
          <w:szCs w:val="14"/>
          <w:color w:val="auto"/>
        </w:rPr>
        <w:t>If fewer than all the shares of Series F Preferred Stock held by any holder are to be redeemed, the notice mailed to such holder will also specify the number of shares of Series F Preferred Stock to be redeemed from such holder. If fewer than all of the outstanding shares of Series F Preferred Stock are to be redeemed, the shares to be redeemed shall be selected by lot or pro rata or by any other equitable method the Corporation may choose (including by electing to exercise the Special Redemption Right only with respect to shares of Series F Preferred Stock for which holders have exercised their Change of Control Conversion Right).</w:t>
      </w:r>
    </w:p>
    <w:p>
      <w:pPr>
        <w:spacing w:after="0" w:line="57" w:lineRule="exact"/>
        <w:rPr>
          <w:rFonts w:ascii="Arial" w:cs="Arial" w:eastAsia="Arial" w:hAnsi="Arial"/>
          <w:sz w:val="14"/>
          <w:szCs w:val="14"/>
          <w:color w:val="auto"/>
        </w:rPr>
      </w:pPr>
    </w:p>
    <w:p>
      <w:pPr>
        <w:ind w:left="-308" w:firstLine="308"/>
        <w:spacing w:after="0" w:line="270" w:lineRule="auto"/>
        <w:tabs>
          <w:tab w:leader="none" w:pos="353" w:val="left"/>
        </w:tabs>
        <w:numPr>
          <w:ilvl w:val="0"/>
          <w:numId w:val="218"/>
        </w:numPr>
        <w:rPr>
          <w:rFonts w:ascii="Arial" w:cs="Arial" w:eastAsia="Arial" w:hAnsi="Arial"/>
          <w:sz w:val="13"/>
          <w:szCs w:val="13"/>
          <w:color w:val="auto"/>
        </w:rPr>
      </w:pPr>
      <w:r>
        <w:rPr>
          <w:rFonts w:ascii="Arial" w:cs="Arial" w:eastAsia="Arial" w:hAnsi="Arial"/>
          <w:sz w:val="13"/>
          <w:szCs w:val="13"/>
          <w:color w:val="auto"/>
        </w:rPr>
        <w:t>On and after the date fixed for redemption, provided that the Corporation has given a notice of redemption and has paid or set aside sufficient funds for the redemption in trust for the benefit of the holders of shares of Series F Preferred Stock called for redemption, those shares of Series F Preferred Stock will be treated as no longer being outstanding, no further dividends will accrue on the share of Series F Preferred Stock called for redemption and all other rights of the holders of those shares of Series F Preferred Stock will terminate (except that, in the case of a redemption date after a dividend payment record date and prior to the related Series F Dividend Payment Date, holders of Series F Preferred Stock on the applicable record date will be entitled on such Series F Dividend Payment Date to receive the dividend payable on such shares on the corresponding Series F Dividend Payment Date). The holders of those shares of Series F Preferred Stock will retain their right to receive the redemption price for their shares and any accrued and unpaid dividends to (but not including) the redemption date, without interest from the date of such redemption.</w:t>
      </w:r>
    </w:p>
    <w:p>
      <w:pPr>
        <w:spacing w:after="0" w:line="74" w:lineRule="exact"/>
        <w:rPr>
          <w:sz w:val="20"/>
          <w:szCs w:val="20"/>
          <w:color w:val="auto"/>
        </w:rPr>
      </w:pPr>
    </w:p>
    <w:p>
      <w:pPr>
        <w:ind w:left="4452"/>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0052"/>
          </w:cols>
          <w:pgMar w:left="1388" w:top="821" w:right="459" w:bottom="1440" w:gutter="0" w:footer="0" w:header="0"/>
        </w:sectPr>
      </w:pPr>
    </w:p>
    <w:bookmarkStart w:id="311" w:name="page312"/>
    <w:bookmarkEnd w:id="311"/>
    <w:p>
      <w:pPr>
        <w:ind w:left="620" w:right="100" w:firstLine="308"/>
        <w:spacing w:after="0" w:line="248" w:lineRule="auto"/>
        <w:tabs>
          <w:tab w:leader="none" w:pos="1266" w:val="left"/>
        </w:tabs>
        <w:numPr>
          <w:ilvl w:val="2"/>
          <w:numId w:val="219"/>
        </w:numPr>
        <w:rPr>
          <w:rFonts w:ascii="Arial" w:cs="Arial" w:eastAsia="Arial" w:hAnsi="Arial"/>
          <w:sz w:val="14"/>
          <w:szCs w:val="14"/>
          <w:color w:val="auto"/>
        </w:rPr>
      </w:pPr>
      <w:r>
        <w:rPr>
          <w:rFonts w:ascii="Arial" w:cs="Arial" w:eastAsia="Arial" w:hAnsi="Arial"/>
          <w:sz w:val="14"/>
          <w:szCs w:val="14"/>
          <w:color w:val="auto"/>
        </w:rPr>
        <w:t>At its election, the Corporation, prior to a redemption date, may irrevocably deposit the redemption price (including accumulated and unpaid dividends to the redemption date) of the Series F Preferred Stock so called for redemption in trust for the holders thereof with a bank or trust company, in which case the redemption notice to holders of the Series F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F Preferred Stock at the end of two years after the redemption date shall be returned by such bank or trust company to the Corporation.</w:t>
      </w:r>
    </w:p>
    <w:p>
      <w:pPr>
        <w:spacing w:after="0" w:line="63" w:lineRule="exact"/>
        <w:rPr>
          <w:rFonts w:ascii="Arial" w:cs="Arial" w:eastAsia="Arial" w:hAnsi="Arial"/>
          <w:sz w:val="14"/>
          <w:szCs w:val="14"/>
          <w:color w:val="auto"/>
        </w:rPr>
      </w:pPr>
    </w:p>
    <w:p>
      <w:pPr>
        <w:ind w:left="280" w:right="200" w:firstLine="323"/>
        <w:spacing w:after="0" w:line="270" w:lineRule="auto"/>
        <w:tabs>
          <w:tab w:leader="none" w:pos="925" w:val="left"/>
        </w:tabs>
        <w:numPr>
          <w:ilvl w:val="0"/>
          <w:numId w:val="220"/>
        </w:numPr>
        <w:rPr>
          <w:rFonts w:ascii="Arial" w:cs="Arial" w:eastAsia="Arial" w:hAnsi="Arial"/>
          <w:sz w:val="14"/>
          <w:szCs w:val="14"/>
          <w:color w:val="auto"/>
        </w:rPr>
      </w:pPr>
      <w:r>
        <w:rPr>
          <w:rFonts w:ascii="Arial" w:cs="Arial" w:eastAsia="Arial" w:hAnsi="Arial"/>
          <w:sz w:val="14"/>
          <w:szCs w:val="14"/>
          <w:color w:val="auto"/>
        </w:rPr>
        <w:t>Any shares of Series F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75" w:lineRule="exact"/>
        <w:rPr>
          <w:rFonts w:ascii="Arial" w:cs="Arial" w:eastAsia="Arial" w:hAnsi="Arial"/>
          <w:sz w:val="14"/>
          <w:szCs w:val="14"/>
          <w:color w:val="auto"/>
        </w:rPr>
      </w:pPr>
    </w:p>
    <w:p>
      <w:pPr>
        <w:jc w:val="both"/>
        <w:ind w:left="-60" w:right="400" w:firstLine="701"/>
        <w:spacing w:after="0" w:line="250" w:lineRule="auto"/>
        <w:tabs>
          <w:tab w:leader="none" w:pos="946" w:val="left"/>
        </w:tabs>
        <w:numPr>
          <w:ilvl w:val="1"/>
          <w:numId w:val="220"/>
        </w:numPr>
        <w:rPr>
          <w:rFonts w:ascii="Arial" w:cs="Arial" w:eastAsia="Arial" w:hAnsi="Arial"/>
          <w:sz w:val="14"/>
          <w:szCs w:val="14"/>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 Except as otherwise set forth herein, the Series F Preferred Stock shall not have any relative, participating, optional or other voting rights or powers,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the holders thereof shall not be required for the taking of any corporate action. In any matter in which the holders of Series F Preferred Stock are entitled to vote, each such holder shall have the right to one vote for each share of Series F Preferred Stock held by such holder.</w:t>
      </w:r>
    </w:p>
    <w:p>
      <w:pPr>
        <w:ind w:left="280" w:firstLine="323"/>
        <w:spacing w:after="0" w:line="265" w:lineRule="auto"/>
        <w:tabs>
          <w:tab w:leader="none" w:pos="901" w:val="left"/>
        </w:tabs>
        <w:numPr>
          <w:ilvl w:val="0"/>
          <w:numId w:val="221"/>
        </w:numPr>
        <w:rPr>
          <w:rFonts w:ascii="Arial" w:cs="Arial" w:eastAsia="Arial" w:hAnsi="Arial"/>
          <w:sz w:val="13"/>
          <w:szCs w:val="13"/>
          <w:color w:val="auto"/>
        </w:rPr>
      </w:pPr>
      <w:r>
        <w:rPr>
          <w:rFonts w:ascii="Arial" w:cs="Arial" w:eastAsia="Arial" w:hAnsi="Arial"/>
          <w:sz w:val="13"/>
          <w:szCs w:val="13"/>
          <w:color w:val="auto"/>
        </w:rPr>
        <w:t>If and whenever six quarterly dividends (whether or not consecutive) payable on the Series F Preferred Stock are in arrears, whether or not earned or declared, the number of members then constituting the Board will be increased by two and the holders of Series F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 the “Preferred Stock Directors”) at an annual meeting of stockholders or a properly called special meeting of the holders of the Series F Preferred Stock and such Voting Preferred Stock and at each subsequent annual meeting of stockholders until all such dividends and dividends for the then current quarterly period on the Series F Preferred Stock and such other Voting Preferred Stock have been paid or declared and set aside for payment. Whenever all arrears in dividends on the Series F Preferred Stock and the Voting Preferred Stock then outstanding have been paid and full dividends on the Series F Preferred Stock and the Voting Preferred Stock for the then current quarterly dividend period have been paid in full or declared and set apart for payment in full, then the right of the holders of the Series F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F Preferred Stock and the Voting Preferred Stock to elect the Preferred Stock Directors will again vest if and whenever six quarterly dividends are in arrears, as described above. In no event shall the holders of Series F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0960"/>
          </w:cols>
          <w:pgMar w:left="460" w:top="821" w:right="479" w:bottom="1440" w:gutter="0" w:footer="0" w:header="0"/>
        </w:sectPr>
      </w:pPr>
    </w:p>
    <w:bookmarkStart w:id="312" w:name="page313"/>
    <w:bookmarkEnd w:id="312"/>
    <w:p>
      <w:pPr>
        <w:ind w:left="260" w:right="20" w:firstLine="323"/>
        <w:spacing w:after="0" w:line="291" w:lineRule="auto"/>
        <w:tabs>
          <w:tab w:leader="none" w:pos="889" w:val="left"/>
        </w:tabs>
        <w:numPr>
          <w:ilvl w:val="0"/>
          <w:numId w:val="222"/>
        </w:numPr>
        <w:rPr>
          <w:rFonts w:ascii="Arial" w:cs="Arial" w:eastAsia="Arial" w:hAnsi="Arial"/>
          <w:sz w:val="12"/>
          <w:szCs w:val="12"/>
          <w:color w:val="auto"/>
        </w:rPr>
      </w:pPr>
      <w:r>
        <w:rPr>
          <w:rFonts w:ascii="Arial" w:cs="Arial" w:eastAsia="Arial" w:hAnsi="Arial"/>
          <w:sz w:val="12"/>
          <w:szCs w:val="12"/>
          <w:color w:val="auto"/>
        </w:rPr>
        <w:t>So long as any shares of Series F Preferred Stock are outstanding, the approval of two-thirds of the votes entitled to be cast by the holders of outstanding Series F Preferred Stock, voting separately as a class, either at a meeting of stockholders or by written consent, is required (i) to amend, alter or repeal any provisions of the Charter (including these Articles Supplementary), whether by merger, consolidation or otherwise, to affect materially and adversely the voting powers, rights or preferences of the holders of the Series F Preferred Stock, unless in connection with any such amendment, alteration or repeal, the Series F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F Preferred Stock, or (ii) to authorize, create, or increase the authorized amount of any class or series of capital stock having rights senior to the Series F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F Preferred Stock) and Junior Stock and issue additional series of Parity Stock and Junior Stock without the consent of any holder of Series F Preferred Stock.</w:t>
      </w:r>
    </w:p>
    <w:p>
      <w:pPr>
        <w:spacing w:after="0" w:line="42" w:lineRule="exact"/>
        <w:rPr>
          <w:rFonts w:ascii="Arial" w:cs="Arial" w:eastAsia="Arial" w:hAnsi="Arial"/>
          <w:sz w:val="12"/>
          <w:szCs w:val="12"/>
          <w:color w:val="auto"/>
        </w:rPr>
      </w:pPr>
    </w:p>
    <w:p>
      <w:pPr>
        <w:ind w:left="260" w:right="640" w:firstLine="323"/>
        <w:spacing w:after="0" w:line="257" w:lineRule="auto"/>
        <w:tabs>
          <w:tab w:leader="none" w:pos="879"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foregoing voting provisions shall not apply if, at or prior to the time when the act with respect to which such vote would otherwise be required shall be effected, all outstanding Series F Preferred Stock shall have been redeemed or called for redemption upon proper notice and sufficient funds shall have been deposited in trust to effect such redemption.</w:t>
      </w:r>
    </w:p>
    <w:p>
      <w:pPr>
        <w:spacing w:after="0" w:line="184" w:lineRule="exact"/>
        <w:rPr>
          <w:rFonts w:ascii="Arial" w:cs="Arial" w:eastAsia="Arial" w:hAnsi="Arial"/>
          <w:sz w:val="14"/>
          <w:szCs w:val="14"/>
          <w:color w:val="auto"/>
        </w:rPr>
      </w:pPr>
    </w:p>
    <w:p>
      <w:pPr>
        <w:ind w:left="-80" w:firstLine="701"/>
        <w:spacing w:after="0" w:line="294" w:lineRule="auto"/>
        <w:tabs>
          <w:tab w:leader="none" w:pos="926" w:val="left"/>
        </w:tabs>
        <w:numPr>
          <w:ilvl w:val="1"/>
          <w:numId w:val="222"/>
        </w:numPr>
        <w:rPr>
          <w:rFonts w:ascii="Arial" w:cs="Arial" w:eastAsia="Arial" w:hAnsi="Arial"/>
          <w:sz w:val="12"/>
          <w:szCs w:val="12"/>
          <w:color w:val="auto"/>
        </w:rPr>
      </w:pPr>
      <w:r>
        <w:rPr>
          <w:rFonts w:ascii="Arial" w:cs="Arial" w:eastAsia="Arial" w:hAnsi="Arial"/>
          <w:sz w:val="12"/>
          <w:szCs w:val="12"/>
          <w:i w:val="1"/>
          <w:iCs w:val="1"/>
          <w:color w:val="auto"/>
        </w:rPr>
        <w:t>Information Rights</w:t>
      </w:r>
      <w:r>
        <w:rPr>
          <w:rFonts w:ascii="Arial" w:cs="Arial" w:eastAsia="Arial" w:hAnsi="Arial"/>
          <w:sz w:val="12"/>
          <w:szCs w:val="12"/>
          <w:color w:val="auto"/>
        </w:rPr>
        <w:t>. During any period in which the Corporation is not subject to Section 13 or 15(d) of the Securities Exchange Act of 1934, as amended (the “Exchange Act”),</w:t>
      </w:r>
      <w:r>
        <w:rPr>
          <w:rFonts w:ascii="Arial" w:cs="Arial" w:eastAsia="Arial" w:hAnsi="Arial"/>
          <w:sz w:val="12"/>
          <w:szCs w:val="12"/>
          <w:i w:val="1"/>
          <w:iCs w:val="1"/>
          <w:color w:val="auto"/>
        </w:rPr>
        <w:t xml:space="preserve"> </w:t>
      </w:r>
      <w:r>
        <w:rPr>
          <w:rFonts w:ascii="Arial" w:cs="Arial" w:eastAsia="Arial" w:hAnsi="Arial"/>
          <w:sz w:val="12"/>
          <w:szCs w:val="12"/>
          <w:color w:val="auto"/>
        </w:rPr>
        <w:t>and any shares of Series F Preferred Stock are outstanding, the Corporation will (i) transmit by mail (or other permissible means under the Exchange Act) to all holders of Series F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F Preferred Stock. The Corporation will mail (or otherwise provide) the information to the holders of Series F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0920"/>
          </w:cols>
          <w:pgMar w:left="480" w:top="821" w:right="499" w:bottom="1440" w:gutter="0" w:footer="0" w:header="0"/>
        </w:sectPr>
      </w:pPr>
    </w:p>
    <w:bookmarkStart w:id="313" w:name="page314"/>
    <w:bookmarkEnd w:id="313"/>
    <w:p>
      <w:pPr>
        <w:ind w:left="-100" w:right="60" w:firstLine="701"/>
        <w:spacing w:after="0" w:line="253" w:lineRule="auto"/>
        <w:tabs>
          <w:tab w:leader="none" w:pos="906" w:val="left"/>
        </w:tabs>
        <w:numPr>
          <w:ilvl w:val="2"/>
          <w:numId w:val="223"/>
        </w:numPr>
        <w:rPr>
          <w:rFonts w:ascii="Arial" w:cs="Arial" w:eastAsia="Arial" w:hAnsi="Arial"/>
          <w:sz w:val="14"/>
          <w:szCs w:val="14"/>
          <w:color w:val="auto"/>
        </w:rPr>
      </w:pPr>
      <w:r>
        <w:rPr>
          <w:rFonts w:ascii="Arial" w:cs="Arial" w:eastAsia="Arial" w:hAnsi="Arial"/>
          <w:sz w:val="14"/>
          <w:szCs w:val="14"/>
          <w:i w:val="1"/>
          <w:iCs w:val="1"/>
          <w:color w:val="auto"/>
        </w:rPr>
        <w:t xml:space="preserve">Other Limitations; Ownership and Transfer of the Series F Preferred Stock. </w:t>
      </w:r>
      <w:r>
        <w:rPr>
          <w:rFonts w:ascii="Arial" w:cs="Arial" w:eastAsia="Arial" w:hAnsi="Arial"/>
          <w:sz w:val="14"/>
          <w:szCs w:val="14"/>
          <w:color w:val="auto"/>
        </w:rPr>
        <w:t>The Series F Preferred Stock constitutes Capital Stock (as defined in the Charter) of the Corporation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F Preferred Stock of any other term or provision of the Charter.</w:t>
      </w:r>
    </w:p>
    <w:p>
      <w:pPr>
        <w:spacing w:after="0" w:line="198" w:lineRule="exact"/>
        <w:rPr>
          <w:rFonts w:ascii="Arial" w:cs="Arial" w:eastAsia="Arial" w:hAnsi="Arial"/>
          <w:sz w:val="14"/>
          <w:szCs w:val="14"/>
          <w:color w:val="auto"/>
        </w:rPr>
      </w:pPr>
    </w:p>
    <w:p>
      <w:pPr>
        <w:ind w:left="-100" w:right="240" w:firstLine="701"/>
        <w:spacing w:after="0" w:line="270" w:lineRule="auto"/>
        <w:tabs>
          <w:tab w:leader="none" w:pos="906" w:val="left"/>
        </w:tabs>
        <w:numPr>
          <w:ilvl w:val="2"/>
          <w:numId w:val="223"/>
        </w:numPr>
        <w:rPr>
          <w:rFonts w:ascii="Arial" w:cs="Arial" w:eastAsia="Arial" w:hAnsi="Arial"/>
          <w:sz w:val="14"/>
          <w:szCs w:val="14"/>
          <w:color w:val="auto"/>
        </w:rPr>
      </w:pPr>
      <w:r>
        <w:rPr>
          <w:rFonts w:ascii="Arial" w:cs="Arial" w:eastAsia="Arial" w:hAnsi="Arial"/>
          <w:sz w:val="14"/>
          <w:szCs w:val="14"/>
          <w:i w:val="1"/>
          <w:iCs w:val="1"/>
          <w:color w:val="auto"/>
        </w:rPr>
        <w:t>Conversion Upon a Change of Control</w:t>
      </w:r>
      <w:r>
        <w:rPr>
          <w:rFonts w:ascii="Arial" w:cs="Arial" w:eastAsia="Arial" w:hAnsi="Arial"/>
          <w:sz w:val="14"/>
          <w:szCs w:val="14"/>
          <w:color w:val="auto"/>
        </w:rPr>
        <w:t>. The Series F Preferred Stock is not convertible into or exchangeable for any other property or securities of the Corporation, except as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in this Section 9.</w:t>
      </w:r>
    </w:p>
    <w:p>
      <w:pPr>
        <w:spacing w:after="0" w:line="47" w:lineRule="exact"/>
        <w:rPr>
          <w:rFonts w:ascii="Arial" w:cs="Arial" w:eastAsia="Arial" w:hAnsi="Arial"/>
          <w:sz w:val="14"/>
          <w:szCs w:val="14"/>
          <w:color w:val="auto"/>
        </w:rPr>
      </w:pPr>
    </w:p>
    <w:p>
      <w:pPr>
        <w:ind w:left="240" w:right="20" w:firstLine="323"/>
        <w:spacing w:after="0" w:line="291" w:lineRule="auto"/>
        <w:tabs>
          <w:tab w:leader="none" w:pos="861" w:val="left"/>
        </w:tabs>
        <w:numPr>
          <w:ilvl w:val="1"/>
          <w:numId w:val="224"/>
        </w:numPr>
        <w:rPr>
          <w:rFonts w:ascii="Arial" w:cs="Arial" w:eastAsia="Arial" w:hAnsi="Arial"/>
          <w:sz w:val="12"/>
          <w:szCs w:val="12"/>
          <w:color w:val="auto"/>
        </w:rPr>
      </w:pPr>
      <w:r>
        <w:rPr>
          <w:rFonts w:ascii="Arial" w:cs="Arial" w:eastAsia="Arial" w:hAnsi="Arial"/>
          <w:sz w:val="12"/>
          <w:szCs w:val="12"/>
          <w:color w:val="auto"/>
        </w:rPr>
        <w:t>Upon the occurrence of a Change of Control, each holder of Series F Preferred Stock will have the right, subject to the Special Redemption Right of the Corporation, to convert some or all of the shares of Series F Preferred Stock held by such holder (the “Change of Control Conversion Right”) on the relevant Change of Control Conversion Date (as defined herein) into a number of shares of Class A Common Stock (as defined in the Charter) per share of Series F Preferred Stock (the “Common Stock Conversion Consideration”) equal to the lesser of</w:t>
      </w:r>
    </w:p>
    <w:p>
      <w:pPr>
        <w:spacing w:after="0" w:line="1" w:lineRule="exact"/>
        <w:rPr>
          <w:rFonts w:ascii="Arial" w:cs="Arial" w:eastAsia="Arial" w:hAnsi="Arial"/>
          <w:sz w:val="12"/>
          <w:szCs w:val="12"/>
          <w:color w:val="auto"/>
        </w:rPr>
      </w:pPr>
    </w:p>
    <w:p>
      <w:pPr>
        <w:ind w:left="240" w:right="100" w:hanging="2"/>
        <w:spacing w:after="0" w:line="246" w:lineRule="auto"/>
        <w:tabs>
          <w:tab w:leader="none" w:pos="47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F Preferred Stock dividend payment and prior to the corresponding Series F Dividend Payment Date, in which case the amount pursuant to this clause (i)(y) shall equal $0.00 in respect of such dividend payment to be made on such Series F Dividend Payment Date, by (ii) the Common Stock Price (as defined herein) (such quotient, the “Conversion Rate”), and (B) 4.3718 (the “Share Cap”), subject to the immediately succeeding paragraph.</w:t>
      </w:r>
    </w:p>
    <w:p>
      <w:pPr>
        <w:spacing w:after="0" w:line="63" w:lineRule="exact"/>
        <w:rPr>
          <w:sz w:val="20"/>
          <w:szCs w:val="20"/>
          <w:color w:val="auto"/>
        </w:rPr>
      </w:pPr>
    </w:p>
    <w:p>
      <w:pPr>
        <w:ind w:left="240" w:firstLine="325"/>
        <w:spacing w:after="0" w:line="308" w:lineRule="auto"/>
        <w:rPr>
          <w:sz w:val="20"/>
          <w:szCs w:val="20"/>
          <w:color w:val="auto"/>
        </w:rPr>
      </w:pPr>
      <w:r>
        <w:rPr>
          <w:rFonts w:ascii="Arial" w:cs="Arial" w:eastAsia="Arial" w:hAnsi="Arial"/>
          <w:sz w:val="12"/>
          <w:szCs w:val="12"/>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28" w:lineRule="exact"/>
        <w:rPr>
          <w:sz w:val="20"/>
          <w:szCs w:val="20"/>
          <w:color w:val="auto"/>
        </w:rPr>
      </w:pPr>
    </w:p>
    <w:p>
      <w:pPr>
        <w:ind w:left="240" w:firstLine="325"/>
        <w:spacing w:after="0" w:line="257" w:lineRule="auto"/>
        <w:rPr>
          <w:sz w:val="20"/>
          <w:szCs w:val="20"/>
          <w:color w:val="auto"/>
        </w:rPr>
      </w:pPr>
      <w:r>
        <w:rPr>
          <w:rFonts w:ascii="Arial" w:cs="Arial" w:eastAsia="Arial" w:hAnsi="Arial"/>
          <w:sz w:val="14"/>
          <w:szCs w:val="14"/>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22,733,222 shares of Class A Common Stock (or equivalent Alternative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0880"/>
          </w:cols>
          <w:pgMar w:left="500" w:top="821" w:right="519" w:bottom="1440" w:gutter="0" w:footer="0" w:header="0"/>
        </w:sectPr>
      </w:pPr>
    </w:p>
    <w:bookmarkStart w:id="314" w:name="page315"/>
    <w:bookmarkEnd w:id="314"/>
    <w:p>
      <w:pPr>
        <w:spacing w:after="0" w:line="272" w:lineRule="auto"/>
        <w:rPr>
          <w:sz w:val="20"/>
          <w:szCs w:val="20"/>
          <w:color w:val="auto"/>
        </w:rPr>
      </w:pPr>
      <w:r>
        <w:rPr>
          <w:rFonts w:ascii="Arial" w:cs="Arial" w:eastAsia="Arial" w:hAnsi="Arial"/>
          <w:sz w:val="13"/>
          <w:szCs w:val="13"/>
          <w:color w:val="auto"/>
        </w:rPr>
        <w:t>Conversion Consideration, as applicable), subject to increase to the extent the underwriters’ over-allotment option to purchase additional Series F Preferred Stock in the initial public offering of Series F Preferred Stock is exercised, not to exceed 26,143,205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48" w:lineRule="exact"/>
        <w:rPr>
          <w:sz w:val="20"/>
          <w:szCs w:val="20"/>
          <w:color w:val="auto"/>
        </w:rPr>
      </w:pPr>
    </w:p>
    <w:p>
      <w:pPr>
        <w:ind w:right="140" w:firstLine="325"/>
        <w:spacing w:after="0" w:line="270" w:lineRule="auto"/>
        <w:rPr>
          <w:sz w:val="20"/>
          <w:szCs w:val="20"/>
          <w:color w:val="auto"/>
        </w:rPr>
      </w:pPr>
      <w:r>
        <w:rPr>
          <w:rFonts w:ascii="Arial" w:cs="Arial" w:eastAsia="Arial" w:hAnsi="Arial"/>
          <w:sz w:val="13"/>
          <w:szCs w:val="13"/>
          <w:color w:val="auto"/>
        </w:rPr>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F Preferred Stock shall be entitled thereafter to convert (subject to the Corporation’s Special Redemption Right) such Series F Preferred Stock not into Class A Common Stock but solely into the kind and amount of Alternative Form Consideration which the holder of Series F Preferred Stock would have owned or been entitled to receive upon such Change of Control as if such holder of Series F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51" w:lineRule="exact"/>
        <w:rPr>
          <w:sz w:val="20"/>
          <w:szCs w:val="20"/>
          <w:color w:val="auto"/>
        </w:rPr>
      </w:pPr>
    </w:p>
    <w:p>
      <w:pPr>
        <w:ind w:right="260" w:firstLine="325"/>
        <w:spacing w:after="0" w:line="320" w:lineRule="auto"/>
        <w:rPr>
          <w:sz w:val="20"/>
          <w:szCs w:val="20"/>
          <w:color w:val="auto"/>
        </w:rPr>
      </w:pPr>
      <w:r>
        <w:rPr>
          <w:rFonts w:ascii="Arial" w:cs="Arial" w:eastAsia="Arial" w:hAnsi="Arial"/>
          <w:sz w:val="12"/>
          <w:szCs w:val="12"/>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33" w:lineRule="exact"/>
        <w:rPr>
          <w:sz w:val="20"/>
          <w:szCs w:val="20"/>
          <w:color w:val="auto"/>
        </w:rPr>
      </w:pPr>
    </w:p>
    <w:p>
      <w:pPr>
        <w:ind w:right="60" w:firstLine="325"/>
        <w:spacing w:after="0" w:line="274" w:lineRule="auto"/>
        <w:rPr>
          <w:sz w:val="20"/>
          <w:szCs w:val="20"/>
          <w:color w:val="auto"/>
        </w:rPr>
      </w:pPr>
      <w:r>
        <w:rPr>
          <w:rFonts w:ascii="Arial" w:cs="Arial" w:eastAsia="Arial" w:hAnsi="Arial"/>
          <w:sz w:val="13"/>
          <w:szCs w:val="13"/>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47" w:lineRule="exact"/>
        <w:rPr>
          <w:sz w:val="20"/>
          <w:szCs w:val="20"/>
          <w:color w:val="auto"/>
        </w:rPr>
      </w:pPr>
    </w:p>
    <w:p>
      <w:pPr>
        <w:ind w:right="40" w:firstLine="323"/>
        <w:spacing w:after="0" w:line="270" w:lineRule="auto"/>
        <w:tabs>
          <w:tab w:leader="none" w:pos="629" w:val="left"/>
        </w:tabs>
        <w:numPr>
          <w:ilvl w:val="0"/>
          <w:numId w:val="226"/>
        </w:numPr>
        <w:rPr>
          <w:rFonts w:ascii="Arial" w:cs="Arial" w:eastAsia="Arial" w:hAnsi="Arial"/>
          <w:sz w:val="14"/>
          <w:szCs w:val="14"/>
          <w:color w:val="auto"/>
        </w:rPr>
      </w:pPr>
      <w:r>
        <w:rPr>
          <w:rFonts w:ascii="Arial" w:cs="Arial" w:eastAsia="Arial" w:hAnsi="Arial"/>
          <w:sz w:val="14"/>
          <w:szCs w:val="14"/>
          <w:color w:val="auto"/>
        </w:rPr>
        <w:t>No fractional shares of Class A Common Stock shall be issued upon the conversion of Series F Preferred Stock. In lieu of fractional shares, holders shall be entitled to receive the cash value of such fractional shares based on the Common Stock Price.</w:t>
      </w:r>
    </w:p>
    <w:p>
      <w:pPr>
        <w:spacing w:after="0" w:line="7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0660"/>
          </w:cols>
          <w:pgMar w:left="740" w:top="903" w:right="499" w:bottom="1440" w:gutter="0" w:footer="0" w:header="0"/>
        </w:sectPr>
      </w:pPr>
    </w:p>
    <w:bookmarkStart w:id="315" w:name="page316"/>
    <w:bookmarkEnd w:id="315"/>
    <w:p>
      <w:pPr>
        <w:ind w:right="80" w:firstLine="323"/>
        <w:spacing w:after="0" w:line="269" w:lineRule="auto"/>
        <w:tabs>
          <w:tab w:leader="none" w:pos="619"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Within 15 days following the occurrence of a Change of Control, the Corporation shall provide to holders of Series F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F Preferred Stock except as to the holder to whom notice was defective or not given. Each notice shall state the following: (i) the events constituting the Change of Control; (ii) the date of the Change of Control; (iii) the last date on which the holders of Series F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F Preferred Stock; (vii) the name and address of the paying agent and the conversion agent; and (viii) the procedures that the holders of Series F Preferred Stock must follow to exercise the Change of Control Conversion Right.</w:t>
      </w:r>
    </w:p>
    <w:p>
      <w:pPr>
        <w:spacing w:after="0" w:line="51" w:lineRule="exact"/>
        <w:rPr>
          <w:rFonts w:ascii="Arial" w:cs="Arial" w:eastAsia="Arial" w:hAnsi="Arial"/>
          <w:sz w:val="13"/>
          <w:szCs w:val="13"/>
          <w:color w:val="auto"/>
        </w:rPr>
      </w:pPr>
    </w:p>
    <w:p>
      <w:pPr>
        <w:ind w:right="160" w:firstLine="323"/>
        <w:spacing w:after="0" w:line="253" w:lineRule="auto"/>
        <w:tabs>
          <w:tab w:leader="none" w:pos="626"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F Preferred Stock.</w:t>
      </w:r>
    </w:p>
    <w:p>
      <w:pPr>
        <w:spacing w:after="0" w:line="57" w:lineRule="exact"/>
        <w:rPr>
          <w:rFonts w:ascii="Arial" w:cs="Arial" w:eastAsia="Arial" w:hAnsi="Arial"/>
          <w:sz w:val="14"/>
          <w:szCs w:val="14"/>
          <w:color w:val="auto"/>
        </w:rPr>
      </w:pPr>
    </w:p>
    <w:p>
      <w:pPr>
        <w:ind w:firstLine="323"/>
        <w:spacing w:after="0" w:line="270" w:lineRule="auto"/>
        <w:tabs>
          <w:tab w:leader="none" w:pos="62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In order to exercise the Change of Control Conversion Right, a holder of Series F Preferred Stock shall be required to deliver, on or before the close of business on the Change of Control Conversion Date, the certificates (if any) evidencing the shares of Series F Preferred Stock to be converted, duly endorsed for transfer, together with a written conversion notice completed, to the transfer agent. Such conversion notice shall state: (i) the relevant Change of Control Conversion Date; (ii) the number of shares of Series F Preferred Stock to be converted; and (iii) that the shares of Series F Preferred Stock are to be converted pursuant to the applicable provisions of the Series F Preferred Stock. Notwithstanding the foregoing, if the shares of Series F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50" w:lineRule="exact"/>
        <w:rPr>
          <w:rFonts w:ascii="Arial" w:cs="Arial" w:eastAsia="Arial" w:hAnsi="Arial"/>
          <w:sz w:val="13"/>
          <w:szCs w:val="13"/>
          <w:color w:val="auto"/>
        </w:rPr>
      </w:pPr>
    </w:p>
    <w:p>
      <w:pPr>
        <w:ind w:right="140" w:firstLine="323"/>
        <w:spacing w:after="0" w:line="274" w:lineRule="auto"/>
        <w:tabs>
          <w:tab w:leader="none" w:pos="606" w:val="left"/>
        </w:tabs>
        <w:numPr>
          <w:ilvl w:val="0"/>
          <w:numId w:val="227"/>
        </w:numPr>
        <w:rPr>
          <w:rFonts w:ascii="Arial" w:cs="Arial" w:eastAsia="Arial" w:hAnsi="Arial"/>
          <w:sz w:val="13"/>
          <w:szCs w:val="13"/>
          <w:color w:val="auto"/>
        </w:rPr>
      </w:pPr>
      <w:r>
        <w:rPr>
          <w:rFonts w:ascii="Arial" w:cs="Arial" w:eastAsia="Arial" w:hAnsi="Arial"/>
          <w:sz w:val="13"/>
          <w:szCs w:val="13"/>
          <w:color w:val="auto"/>
        </w:rPr>
        <w:t>Holders of Series F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F Preferred Stock; (ii) if certificated shares of Series F Preferred Stock have been issued, the certificate numbers of the withdrawn shares of Series F Preferred Stock; and (iii) the number of shares of Series F Preferred Stock, if any, which remain subject to the conversion notice. Notwithstanding the foregoing, if the shares of Series F Preferred Stock are held in global form, the notice of withdrawal shall comply with applicable DTC procedures.</w:t>
      </w:r>
    </w:p>
    <w:p>
      <w:pPr>
        <w:spacing w:after="0" w:line="7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0660"/>
          </w:cols>
          <w:pgMar w:left="740" w:top="821" w:right="499" w:bottom="1440" w:gutter="0" w:footer="0" w:header="0"/>
        </w:sectPr>
      </w:pPr>
    </w:p>
    <w:bookmarkStart w:id="316" w:name="page317"/>
    <w:bookmarkEnd w:id="316"/>
    <w:p>
      <w:pPr>
        <w:ind w:left="140" w:right="20" w:firstLine="323"/>
        <w:spacing w:after="0" w:line="272" w:lineRule="auto"/>
        <w:tabs>
          <w:tab w:leader="none" w:pos="769" w:val="left"/>
        </w:tabs>
        <w:numPr>
          <w:ilvl w:val="0"/>
          <w:numId w:val="228"/>
        </w:numPr>
        <w:rPr>
          <w:rFonts w:ascii="Arial" w:cs="Arial" w:eastAsia="Arial" w:hAnsi="Arial"/>
          <w:sz w:val="13"/>
          <w:szCs w:val="13"/>
          <w:color w:val="auto"/>
        </w:rPr>
      </w:pPr>
      <w:r>
        <w:rPr>
          <w:rFonts w:ascii="Arial" w:cs="Arial" w:eastAsia="Arial" w:hAnsi="Arial"/>
          <w:sz w:val="13"/>
          <w:szCs w:val="13"/>
          <w:color w:val="auto"/>
        </w:rPr>
        <w:t>Series F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ind w:left="140" w:firstLine="323"/>
        <w:spacing w:after="0" w:line="246" w:lineRule="auto"/>
        <w:tabs>
          <w:tab w:leader="none" w:pos="769" w:val="left"/>
        </w:tabs>
        <w:numPr>
          <w:ilvl w:val="0"/>
          <w:numId w:val="228"/>
        </w:numPr>
        <w:rPr>
          <w:rFonts w:ascii="Arial" w:cs="Arial" w:eastAsia="Arial" w:hAnsi="Arial"/>
          <w:sz w:val="14"/>
          <w:szCs w:val="14"/>
          <w:color w:val="auto"/>
        </w:rPr>
      </w:pPr>
      <w:r>
        <w:rPr>
          <w:rFonts w:ascii="Arial" w:cs="Arial" w:eastAsia="Arial" w:hAnsi="Arial"/>
          <w:sz w:val="14"/>
          <w:szCs w:val="14"/>
          <w:color w:val="auto"/>
        </w:rPr>
        <w:t>In connection with the exercise of any Change of Control Conversion Right, the Corporation will comply with all U.S. federal and state securities laws and stock exchange rules in connection with any conversion of Series F Preferred Stock into Class A Common Stock. Notwithstanding anything to the contrary contained herein, no holder of Series F Preferred Stock will be entitled to convert such Series F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203" w:lineRule="exact"/>
        <w:rPr>
          <w:rFonts w:ascii="Arial" w:cs="Arial" w:eastAsia="Arial" w:hAnsi="Arial"/>
          <w:sz w:val="14"/>
          <w:szCs w:val="14"/>
          <w:color w:val="auto"/>
        </w:rPr>
      </w:pPr>
    </w:p>
    <w:p>
      <w:pPr>
        <w:ind w:left="-200" w:right="80" w:firstLine="701"/>
        <w:spacing w:after="0" w:line="270" w:lineRule="auto"/>
        <w:tabs>
          <w:tab w:leader="none" w:pos="876" w:val="left"/>
        </w:tabs>
        <w:numPr>
          <w:ilvl w:val="1"/>
          <w:numId w:val="228"/>
        </w:numPr>
        <w:rPr>
          <w:rFonts w:ascii="Arial" w:cs="Arial" w:eastAsia="Arial" w:hAnsi="Arial"/>
          <w:sz w:val="14"/>
          <w:szCs w:val="14"/>
          <w:color w:val="auto"/>
        </w:rPr>
      </w:pPr>
      <w:r>
        <w:rPr>
          <w:rFonts w:ascii="Arial" w:cs="Arial" w:eastAsia="Arial" w:hAnsi="Arial"/>
          <w:sz w:val="14"/>
          <w:szCs w:val="14"/>
          <w:i w:val="1"/>
          <w:iCs w:val="1"/>
          <w:color w:val="auto"/>
        </w:rPr>
        <w:t>Record Holders</w:t>
      </w:r>
      <w:r>
        <w:rPr>
          <w:rFonts w:ascii="Arial" w:cs="Arial" w:eastAsia="Arial" w:hAnsi="Arial"/>
          <w:sz w:val="14"/>
          <w:szCs w:val="14"/>
          <w:color w:val="auto"/>
        </w:rPr>
        <w:t>. The Corporation and the transfer agent for the Series F Preferred Stock may deem and treat the record holder of any Series F Preferred Stock as the true and</w:t>
      </w:r>
      <w:r>
        <w:rPr>
          <w:rFonts w:ascii="Arial" w:cs="Arial" w:eastAsia="Arial" w:hAnsi="Arial"/>
          <w:sz w:val="14"/>
          <w:szCs w:val="14"/>
          <w:i w:val="1"/>
          <w:iCs w:val="1"/>
          <w:color w:val="auto"/>
        </w:rPr>
        <w:t xml:space="preserve"> </w:t>
      </w:r>
      <w:r>
        <w:rPr>
          <w:rFonts w:ascii="Arial" w:cs="Arial" w:eastAsia="Arial" w:hAnsi="Arial"/>
          <w:sz w:val="14"/>
          <w:szCs w:val="14"/>
          <w:color w:val="auto"/>
        </w:rPr>
        <w:t>lawful owner thereof for all purposes, and neither the Corporation nor the transfer agent shall be affected by any notice to the contrary.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0680"/>
          </w:cols>
          <w:pgMar w:left="600" w:top="821" w:right="619" w:bottom="1440" w:gutter="0" w:footer="0" w:header="0"/>
        </w:sectPr>
      </w:pPr>
    </w:p>
    <w:bookmarkStart w:id="317" w:name="page318"/>
    <w:bookmarkEnd w:id="317"/>
    <w:p>
      <w:pPr>
        <w:jc w:val="center"/>
        <w:ind w:right="-40"/>
        <w:spacing w:after="0"/>
        <w:rPr>
          <w:sz w:val="20"/>
          <w:szCs w:val="20"/>
          <w:color w:val="auto"/>
        </w:rPr>
      </w:pPr>
      <w:r>
        <w:rPr>
          <w:rFonts w:ascii="Arial" w:cs="Arial" w:eastAsia="Arial" w:hAnsi="Arial"/>
          <w:sz w:val="14"/>
          <w:szCs w:val="14"/>
          <w:b w:val="1"/>
          <w:bCs w:val="1"/>
          <w:color w:val="auto"/>
        </w:rPr>
        <w:t>EXHIBIT G</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SERIES G PREFERRED STOCK</w:t>
      </w:r>
    </w:p>
    <w:p>
      <w:pPr>
        <w:spacing w:after="0" w:line="201" w:lineRule="exact"/>
        <w:rPr>
          <w:sz w:val="20"/>
          <w:szCs w:val="20"/>
          <w:color w:val="auto"/>
        </w:rPr>
      </w:pPr>
    </w:p>
    <w:p>
      <w:pPr>
        <w:ind w:left="1" w:right="60" w:firstLine="702"/>
        <w:spacing w:after="0" w:line="250" w:lineRule="auto"/>
        <w:rPr>
          <w:sz w:val="20"/>
          <w:szCs w:val="20"/>
          <w:color w:val="auto"/>
        </w:rPr>
      </w:pPr>
      <w:r>
        <w:rPr>
          <w:rFonts w:ascii="Arial" w:cs="Arial" w:eastAsia="Arial" w:hAnsi="Arial"/>
          <w:sz w:val="14"/>
          <w:szCs w:val="14"/>
          <w:color w:val="auto"/>
        </w:rPr>
        <w:t>Under a power contained in the charter (the “Charter”) of Colony NorthStar, Inc., a Maryland corporation (the “Corporation”), the Board of Directors of the Corporation (the “Board”) classified and designated 3,450,000 shares of the Preferred Stock (as defined in the Charter), as shares of 7.50% Series G Cumulative Redeemable Perpetual Preferred Stock, liquidation preference $25.00 per share,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7.50% Series G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left="1" w:right="680" w:firstLine="701"/>
        <w:spacing w:after="0" w:line="356" w:lineRule="auto"/>
        <w:tabs>
          <w:tab w:leader="none" w:pos="1006" w:val="left"/>
        </w:tabs>
        <w:numPr>
          <w:ilvl w:val="1"/>
          <w:numId w:val="229"/>
        </w:numPr>
        <w:rPr>
          <w:rFonts w:ascii="Arial" w:cs="Arial" w:eastAsia="Arial" w:hAnsi="Arial"/>
          <w:sz w:val="12"/>
          <w:szCs w:val="12"/>
          <w:color w:val="auto"/>
        </w:rPr>
      </w:pPr>
      <w:r>
        <w:rPr>
          <w:rFonts w:ascii="Arial" w:cs="Arial" w:eastAsia="Arial" w:hAnsi="Arial"/>
          <w:sz w:val="12"/>
          <w:szCs w:val="12"/>
          <w:i w:val="1"/>
          <w:iCs w:val="1"/>
          <w:color w:val="auto"/>
        </w:rPr>
        <w:t>Designation and Number</w:t>
      </w:r>
      <w:r>
        <w:rPr>
          <w:rFonts w:ascii="Arial" w:cs="Arial" w:eastAsia="Arial" w:hAnsi="Arial"/>
          <w:sz w:val="12"/>
          <w:szCs w:val="12"/>
          <w:color w:val="auto"/>
        </w:rPr>
        <w:t>. A series of Preferred Stock, designated as the “7.50% Series G Cumulative Redeemable Perpetual Preferred Stock” (the “Series G Preferred</w:t>
      </w:r>
      <w:r>
        <w:rPr>
          <w:rFonts w:ascii="Arial" w:cs="Arial" w:eastAsia="Arial" w:hAnsi="Arial"/>
          <w:sz w:val="12"/>
          <w:szCs w:val="12"/>
          <w:i w:val="1"/>
          <w:iCs w:val="1"/>
          <w:color w:val="auto"/>
        </w:rPr>
        <w:t xml:space="preserve"> </w:t>
      </w:r>
      <w:r>
        <w:rPr>
          <w:rFonts w:ascii="Arial" w:cs="Arial" w:eastAsia="Arial" w:hAnsi="Arial"/>
          <w:sz w:val="12"/>
          <w:szCs w:val="12"/>
          <w:color w:val="auto"/>
        </w:rPr>
        <w:t>Stock”), is hereby established. The par value of the Series G Preferred Stock is $0.01 per share. The number of shares of the Series G Preferred Stock shall be 3,450,000.</w:t>
      </w:r>
    </w:p>
    <w:p>
      <w:pPr>
        <w:spacing w:after="0" w:line="128" w:lineRule="exact"/>
        <w:rPr>
          <w:rFonts w:ascii="Arial" w:cs="Arial" w:eastAsia="Arial" w:hAnsi="Arial"/>
          <w:sz w:val="12"/>
          <w:szCs w:val="12"/>
          <w:color w:val="auto"/>
        </w:rPr>
      </w:pPr>
    </w:p>
    <w:p>
      <w:pPr>
        <w:ind w:left="1" w:right="60" w:firstLine="701"/>
        <w:spacing w:after="0" w:line="287" w:lineRule="auto"/>
        <w:tabs>
          <w:tab w:leader="none" w:pos="1006" w:val="left"/>
        </w:tabs>
        <w:numPr>
          <w:ilvl w:val="1"/>
          <w:numId w:val="229"/>
        </w:numPr>
        <w:rPr>
          <w:rFonts w:ascii="Arial" w:cs="Arial" w:eastAsia="Arial" w:hAnsi="Arial"/>
          <w:sz w:val="12"/>
          <w:szCs w:val="12"/>
          <w:color w:val="auto"/>
        </w:rPr>
      </w:pPr>
      <w:r>
        <w:rPr>
          <w:rFonts w:ascii="Arial" w:cs="Arial" w:eastAsia="Arial" w:hAnsi="Arial"/>
          <w:sz w:val="12"/>
          <w:szCs w:val="12"/>
          <w:i w:val="1"/>
          <w:iCs w:val="1"/>
          <w:color w:val="auto"/>
        </w:rPr>
        <w:t>Ranking</w:t>
      </w:r>
      <w:r>
        <w:rPr>
          <w:rFonts w:ascii="Arial" w:cs="Arial" w:eastAsia="Arial" w:hAnsi="Arial"/>
          <w:sz w:val="12"/>
          <w:szCs w:val="12"/>
          <w:color w:val="auto"/>
        </w:rPr>
        <w:t>. The Series G Preferred Stock will, with respect to rights to receive dividends and to participate in distributions or payments upon liquidation, dissolution or winding up</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G Preferred Stock (“Junior Stock”), (b) on a parity with the 8.75% Series A Cumulative Redeemable Perpetual Preferred Stock, liquidation preference $25.00 per share, the 8.25% Series B Cumulative Redeemable Perpetual Preferred Stock, liquidation preference $25.00 per share, the 8.875% Series C Cumulative Redeemable Perpetual Preferred Stock, liquidation preference $25.00 per share, the 8.500% Series D Cumulative Redeemable Perpetual Preferred Stock, liquidation preference $25.00 per share, the 8.75% Series E Cumulative Redeemable Perpetual Preferred Stock, liquidation preference $25.00 per share, the 8.50% Series F Cumulative Redeemable Perpetual Preferred Stock, liquidation preference $25.00 per share, and the 7.125% Series H Cumulative Redeemable Perpetual Preferred Stock, liquidation preference $25.00 per share, and any equity securities the Corporation may authorize or issue in the future that, pursuant to the terms thereof, rank on parity with the Series G Preferred Stock with respect to the payment of dividends and the distribution of assets in the event of the liquidation, dissolution or winding up of the Corporation (“Parity Stock”); and</w:t>
      </w:r>
    </w:p>
    <w:p>
      <w:pPr>
        <w:ind w:left="1" w:hanging="1"/>
        <w:spacing w:after="0" w:line="244" w:lineRule="auto"/>
        <w:tabs>
          <w:tab w:leader="none" w:pos="297" w:val="left"/>
        </w:tabs>
        <w:numPr>
          <w:ilvl w:val="0"/>
          <w:numId w:val="230"/>
        </w:numPr>
        <w:rPr>
          <w:rFonts w:ascii="Arial" w:cs="Arial" w:eastAsia="Arial" w:hAnsi="Arial"/>
          <w:sz w:val="14"/>
          <w:szCs w:val="14"/>
          <w:color w:val="auto"/>
        </w:rPr>
      </w:pPr>
      <w:r>
        <w:rPr>
          <w:rFonts w:ascii="Arial" w:cs="Arial" w:eastAsia="Arial" w:hAnsi="Arial"/>
          <w:sz w:val="14"/>
          <w:szCs w:val="14"/>
          <w:color w:val="auto"/>
        </w:rPr>
        <w:t>junior to any equity securities the Corporation may authorize or issue in the future that, pursuant to the terms thereof, rank senior to the Series G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w:t>
      </w:r>
    </w:p>
    <w:p>
      <w:pPr>
        <w:ind w:left="1" w:right="180"/>
        <w:spacing w:after="0" w:line="290" w:lineRule="auto"/>
        <w:rPr>
          <w:rFonts w:ascii="Arial" w:cs="Arial" w:eastAsia="Arial" w:hAnsi="Arial"/>
          <w:sz w:val="14"/>
          <w:szCs w:val="14"/>
          <w:color w:val="auto"/>
        </w:rPr>
      </w:pPr>
      <w:r>
        <w:rPr>
          <w:rFonts w:ascii="Arial" w:cs="Arial" w:eastAsia="Arial" w:hAnsi="Arial"/>
          <w:sz w:val="13"/>
          <w:szCs w:val="13"/>
          <w:color w:val="auto"/>
        </w:rPr>
        <w:t>two-thirds of the outstanding shares of Series G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ectPr>
          <w:pgSz w:w="11900" w:h="16838" w:orient="portrait"/>
          <w:cols w:equalWidth="0" w:num="1">
            <w:col w:w="11041"/>
          </w:cols>
          <w:pgMar w:left="399" w:top="887" w:right="459" w:bottom="1440" w:gutter="0" w:footer="0" w:header="0"/>
        </w:sectPr>
      </w:pPr>
    </w:p>
    <w:bookmarkStart w:id="318" w:name="page319"/>
    <w:bookmarkEnd w:id="318"/>
    <w:p>
      <w:pPr>
        <w:ind w:left="640" w:hanging="299"/>
        <w:spacing w:after="0"/>
        <w:tabs>
          <w:tab w:leader="none" w:pos="640" w:val="left"/>
        </w:tabs>
        <w:numPr>
          <w:ilvl w:val="1"/>
          <w:numId w:val="231"/>
        </w:numPr>
        <w:rPr>
          <w:rFonts w:ascii="Arial" w:cs="Arial" w:eastAsia="Arial" w:hAnsi="Arial"/>
          <w:sz w:val="14"/>
          <w:szCs w:val="14"/>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w:t>
      </w:r>
    </w:p>
    <w:p>
      <w:pPr>
        <w:spacing w:after="0" w:line="96" w:lineRule="exact"/>
        <w:rPr>
          <w:rFonts w:ascii="Arial" w:cs="Arial" w:eastAsia="Arial" w:hAnsi="Arial"/>
          <w:sz w:val="14"/>
          <w:szCs w:val="14"/>
          <w:color w:val="auto"/>
        </w:rPr>
      </w:pPr>
    </w:p>
    <w:p>
      <w:pPr>
        <w:jc w:val="both"/>
        <w:ind w:right="220" w:firstLine="323"/>
        <w:spacing w:after="0" w:line="250" w:lineRule="auto"/>
        <w:tabs>
          <w:tab w:leader="none" w:pos="621" w:val="left"/>
        </w:tabs>
        <w:numPr>
          <w:ilvl w:val="0"/>
          <w:numId w:val="232"/>
        </w:numPr>
        <w:rPr>
          <w:rFonts w:ascii="Arial" w:cs="Arial" w:eastAsia="Arial" w:hAnsi="Arial"/>
          <w:sz w:val="14"/>
          <w:szCs w:val="14"/>
          <w:color w:val="auto"/>
        </w:rPr>
      </w:pPr>
      <w:r>
        <w:rPr>
          <w:rFonts w:ascii="Arial" w:cs="Arial" w:eastAsia="Arial" w:hAnsi="Arial"/>
          <w:sz w:val="14"/>
          <w:szCs w:val="14"/>
          <w:color w:val="auto"/>
        </w:rPr>
        <w:t>Holders of the then outstanding shares of Series G Preferred Stock shall be entitled to receive, when, as and if authorized by the Board and declared by the Corporation, out of funds legally available for payment of dividends, cumulative cash dividends at the rate of 7.50% per annum of the $25.00 liquidation preference of each share of Series G Preferred Stock (equivalent to $1.875 per annum per share).</w:t>
      </w:r>
    </w:p>
    <w:p>
      <w:pPr>
        <w:ind w:firstLine="323"/>
        <w:spacing w:after="0" w:line="288" w:lineRule="auto"/>
        <w:tabs>
          <w:tab w:leader="none" w:pos="629" w:val="left"/>
        </w:tabs>
        <w:numPr>
          <w:ilvl w:val="0"/>
          <w:numId w:val="232"/>
        </w:numPr>
        <w:rPr>
          <w:rFonts w:ascii="Arial" w:cs="Arial" w:eastAsia="Arial" w:hAnsi="Arial"/>
          <w:sz w:val="12"/>
          <w:szCs w:val="12"/>
          <w:color w:val="auto"/>
        </w:rPr>
      </w:pPr>
      <w:r>
        <w:rPr>
          <w:rFonts w:ascii="Arial" w:cs="Arial" w:eastAsia="Arial" w:hAnsi="Arial"/>
          <w:sz w:val="12"/>
          <w:szCs w:val="12"/>
          <w:color w:val="auto"/>
        </w:rPr>
        <w:t>Dividends on each outstanding share of Series G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G Dividend Payment Date”) at the then applicable annual rate; provided, however, that if any Series G Dividend Payment Date falls on any day other than a Business Day (as hereinafter defined), the dividend that would otherwise have been payable on such Series G Dividend Payment Date may be paid on the next succeeding Business Day with the same force and effect as if paid on such Series G Dividend Payment Date, and no interest or other sums shall accrue on the amount so payable from such Series G Dividend Payment Date to such next succeeding Business Day. Each dividend is payable to holders of record as they appear on the stock records of the Corporation at the close of business on the record date, not exceeding 30 days preceding the applicable Series G Dividend Payment Date, as shall be fixed by the Board. Dividends shall accumulate from January 15, 2017 or the most recent Series G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G Preferred Stock that may be in arrears. Holders of the Series G Preferred Stock shall not be entitled to any dividends, whether payable in cash, property or stock, in excess of full cumulative dividends, as herein provided, on the Series G Preferred Stock. Dividends payable on the Series G Preferred Stock for any period greater or less than a full dividend period will be computed on the basis of a 360-day year consisting of twelve 30-day months. Dividends payable on the Series G Preferred Stock for each full dividend period will be computed by dividing the applicable annual dividend rate by four. After full cumulative distributions on the Series G Preferred Stock have been paid, the holders of Series G Preferred Stock will not be entitled to any further distributions with respect to that dividend period.</w:t>
      </w:r>
    </w:p>
    <w:p>
      <w:pPr>
        <w:spacing w:after="0" w:line="31" w:lineRule="exact"/>
        <w:rPr>
          <w:rFonts w:ascii="Arial" w:cs="Arial" w:eastAsia="Arial" w:hAnsi="Arial"/>
          <w:sz w:val="12"/>
          <w:szCs w:val="12"/>
          <w:color w:val="auto"/>
        </w:rPr>
      </w:pPr>
    </w:p>
    <w:p>
      <w:pPr>
        <w:ind w:right="120" w:firstLine="323"/>
        <w:spacing w:after="0" w:line="249" w:lineRule="auto"/>
        <w:tabs>
          <w:tab w:leader="none" w:pos="621" w:val="left"/>
        </w:tabs>
        <w:numPr>
          <w:ilvl w:val="0"/>
          <w:numId w:val="232"/>
        </w:numPr>
        <w:rPr>
          <w:rFonts w:ascii="Arial" w:cs="Arial" w:eastAsia="Arial" w:hAnsi="Arial"/>
          <w:sz w:val="14"/>
          <w:szCs w:val="14"/>
          <w:color w:val="auto"/>
        </w:rPr>
      </w:pPr>
      <w:r>
        <w:rPr>
          <w:rFonts w:ascii="Arial" w:cs="Arial" w:eastAsia="Arial" w:hAnsi="Arial"/>
          <w:sz w:val="14"/>
          <w:szCs w:val="14"/>
          <w:color w:val="auto"/>
        </w:rPr>
        <w:t>So long as any shares of Series G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G Preferred Stock for all prior dividend periods. When dividends are not paid in full or a sum sufficient for such payment is not set apart, as aforesaid, all dividends authorized and declared upon the Series G Preferred Stock and all dividends authorized and declared upon any other series or class or classes of Parity Stock shall be authorized and declared ratably in proportion to the respective amounts of dividends accumulated and unpaid on the Series G Preferred Stock and such Parity Stock.</w:t>
      </w:r>
    </w:p>
    <w:p>
      <w:pPr>
        <w:spacing w:after="0" w:line="8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G-2</w:t>
      </w:r>
    </w:p>
    <w:p>
      <w:pPr>
        <w:sectPr>
          <w:pgSz w:w="11900" w:h="16838" w:orient="portrait"/>
          <w:cols w:equalWidth="0" w:num="1">
            <w:col w:w="10680"/>
          </w:cols>
          <w:pgMar w:left="740" w:top="809" w:right="479" w:bottom="1440" w:gutter="0" w:footer="0" w:header="0"/>
        </w:sectPr>
      </w:pPr>
    </w:p>
    <w:bookmarkStart w:id="319" w:name="page320"/>
    <w:bookmarkEnd w:id="319"/>
    <w:p>
      <w:pPr>
        <w:ind w:firstLine="323"/>
        <w:spacing w:after="0" w:line="269" w:lineRule="auto"/>
        <w:tabs>
          <w:tab w:leader="none" w:pos="629" w:val="left"/>
        </w:tabs>
        <w:numPr>
          <w:ilvl w:val="0"/>
          <w:numId w:val="233"/>
        </w:numPr>
        <w:rPr>
          <w:rFonts w:ascii="Arial" w:cs="Arial" w:eastAsia="Arial" w:hAnsi="Arial"/>
          <w:sz w:val="13"/>
          <w:szCs w:val="13"/>
          <w:color w:val="auto"/>
        </w:rPr>
      </w:pPr>
      <w:r>
        <w:rPr>
          <w:rFonts w:ascii="Arial" w:cs="Arial" w:eastAsia="Arial" w:hAnsi="Arial"/>
          <w:sz w:val="13"/>
          <w:szCs w:val="13"/>
          <w:color w:val="auto"/>
        </w:rPr>
        <w:t>So long as any shares of Series G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G Preferred Stock and any Parity Stock at the time such dividends are payable shall have been paid or set apart for payment for all past dividend periods with respect to the Series G Preferred Stock and all past dividend periods with respect to such Parity Stock.</w:t>
      </w:r>
    </w:p>
    <w:p>
      <w:pPr>
        <w:spacing w:after="0" w:line="51" w:lineRule="exact"/>
        <w:rPr>
          <w:rFonts w:ascii="Arial" w:cs="Arial" w:eastAsia="Arial" w:hAnsi="Arial"/>
          <w:sz w:val="13"/>
          <w:szCs w:val="13"/>
          <w:color w:val="auto"/>
        </w:rPr>
      </w:pPr>
    </w:p>
    <w:p>
      <w:pPr>
        <w:ind w:right="280" w:firstLine="323"/>
        <w:spacing w:after="0" w:line="270" w:lineRule="auto"/>
        <w:tabs>
          <w:tab w:leader="none" w:pos="613" w:val="left"/>
        </w:tabs>
        <w:numPr>
          <w:ilvl w:val="0"/>
          <w:numId w:val="233"/>
        </w:numPr>
        <w:rPr>
          <w:rFonts w:ascii="Arial" w:cs="Arial" w:eastAsia="Arial" w:hAnsi="Arial"/>
          <w:sz w:val="14"/>
          <w:szCs w:val="14"/>
          <w:color w:val="auto"/>
        </w:rPr>
      </w:pPr>
      <w:r>
        <w:rPr>
          <w:rFonts w:ascii="Arial" w:cs="Arial" w:eastAsia="Arial" w:hAnsi="Arial"/>
          <w:sz w:val="14"/>
          <w:szCs w:val="14"/>
          <w:color w:val="auto"/>
        </w:rPr>
        <w:t>Any dividend payment made on the Series G Preferred Stock, including any capital gains dividends, shall first be credited against the earliest accrued but unpaid dividend due with respect to such shares which remains payable.</w:t>
      </w:r>
    </w:p>
    <w:p>
      <w:pPr>
        <w:spacing w:after="0" w:line="47" w:lineRule="exact"/>
        <w:rPr>
          <w:rFonts w:ascii="Arial" w:cs="Arial" w:eastAsia="Arial" w:hAnsi="Arial"/>
          <w:sz w:val="14"/>
          <w:szCs w:val="14"/>
          <w:color w:val="auto"/>
        </w:rPr>
      </w:pPr>
    </w:p>
    <w:p>
      <w:pPr>
        <w:ind w:left="600" w:hanging="277"/>
        <w:spacing w:after="0"/>
        <w:tabs>
          <w:tab w:leader="none" w:pos="60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Except as provided herein, the Series G Preferred Stock shall not be entitled to participate in the earnings or assets of the Corporation.</w:t>
      </w:r>
    </w:p>
    <w:p>
      <w:pPr>
        <w:spacing w:after="0" w:line="96" w:lineRule="exact"/>
        <w:rPr>
          <w:rFonts w:ascii="Arial" w:cs="Arial" w:eastAsia="Arial" w:hAnsi="Arial"/>
          <w:sz w:val="14"/>
          <w:szCs w:val="14"/>
          <w:color w:val="auto"/>
        </w:rPr>
      </w:pPr>
    </w:p>
    <w:p>
      <w:pPr>
        <w:ind w:left="620" w:hanging="297"/>
        <w:spacing w:after="0"/>
        <w:tabs>
          <w:tab w:leader="none" w:pos="62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As used herein, the term “Business Day” shall mean any day, other than a Saturday or Sunday, that is neither a legal holiday nor a day on which banking institutions in New</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York, New York are authorized or required by law, regulation or executive order to close.</w:t>
      </w:r>
    </w:p>
    <w:p>
      <w:pPr>
        <w:spacing w:after="0" w:line="73" w:lineRule="exact"/>
        <w:rPr>
          <w:sz w:val="20"/>
          <w:szCs w:val="20"/>
          <w:color w:val="auto"/>
        </w:rPr>
      </w:pPr>
    </w:p>
    <w:p>
      <w:pPr>
        <w:ind w:right="360" w:firstLine="323"/>
        <w:spacing w:after="0" w:line="270" w:lineRule="auto"/>
        <w:tabs>
          <w:tab w:leader="none" w:pos="621" w:val="left"/>
        </w:tabs>
        <w:numPr>
          <w:ilvl w:val="0"/>
          <w:numId w:val="234"/>
        </w:numPr>
        <w:rPr>
          <w:rFonts w:ascii="Arial" w:cs="Arial" w:eastAsia="Arial" w:hAnsi="Arial"/>
          <w:sz w:val="14"/>
          <w:szCs w:val="14"/>
          <w:color w:val="auto"/>
        </w:rPr>
      </w:pPr>
      <w:r>
        <w:rPr>
          <w:rFonts w:ascii="Arial" w:cs="Arial" w:eastAsia="Arial" w:hAnsi="Arial"/>
          <w:sz w:val="14"/>
          <w:szCs w:val="14"/>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63" w:lineRule="exact"/>
        <w:rPr>
          <w:rFonts w:ascii="Arial" w:cs="Arial" w:eastAsia="Arial" w:hAnsi="Arial"/>
          <w:sz w:val="14"/>
          <w:szCs w:val="14"/>
          <w:color w:val="auto"/>
        </w:rPr>
      </w:pPr>
    </w:p>
    <w:p>
      <w:pPr>
        <w:ind w:left="640" w:hanging="299"/>
        <w:spacing w:after="0"/>
        <w:tabs>
          <w:tab w:leader="none" w:pos="640" w:val="left"/>
        </w:tabs>
        <w:numPr>
          <w:ilvl w:val="1"/>
          <w:numId w:val="234"/>
        </w:numPr>
        <w:rPr>
          <w:rFonts w:ascii="Arial" w:cs="Arial" w:eastAsia="Arial" w:hAnsi="Arial"/>
          <w:sz w:val="14"/>
          <w:szCs w:val="14"/>
          <w:color w:val="auto"/>
        </w:rPr>
      </w:pPr>
      <w:r>
        <w:rPr>
          <w:rFonts w:ascii="Arial" w:cs="Arial" w:eastAsia="Arial" w:hAnsi="Arial"/>
          <w:sz w:val="14"/>
          <w:szCs w:val="14"/>
          <w:i w:val="1"/>
          <w:iCs w:val="1"/>
          <w:color w:val="auto"/>
        </w:rPr>
        <w:t>Liquidation Preference</w:t>
      </w:r>
      <w:r>
        <w:rPr>
          <w:rFonts w:ascii="Arial" w:cs="Arial" w:eastAsia="Arial" w:hAnsi="Arial"/>
          <w:sz w:val="14"/>
          <w:szCs w:val="14"/>
          <w:color w:val="auto"/>
        </w:rPr>
        <w:t>.</w:t>
      </w:r>
    </w:p>
    <w:p>
      <w:pPr>
        <w:spacing w:after="0" w:line="85" w:lineRule="exact"/>
        <w:rPr>
          <w:sz w:val="20"/>
          <w:szCs w:val="20"/>
          <w:color w:val="auto"/>
        </w:rPr>
      </w:pPr>
    </w:p>
    <w:p>
      <w:pPr>
        <w:ind w:right="40" w:firstLine="323"/>
        <w:spacing w:after="0" w:line="299" w:lineRule="auto"/>
        <w:tabs>
          <w:tab w:leader="none" w:pos="621"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G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G Preferred Stock shall not be entitled to any further payment. If, upon any such liquidation, dissolution or winding up of the Corporation, the assets of the Corporation, or proceeds thereof, distributable among the holders of the Series G Preferred Stock shall be insufficient to pay in full the preferential amount aforesaid and liquidating payments on any other Parity Stock, then such assets, or the proceeds thereof, shall be distributed among the holders of such Series G Preferred Stock and any such other Parity Stock</w:t>
      </w:r>
    </w:p>
    <w:p>
      <w:pPr>
        <w:spacing w:after="0" w:line="56"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G-3</w:t>
      </w:r>
    </w:p>
    <w:p>
      <w:pPr>
        <w:sectPr>
          <w:pgSz w:w="11900" w:h="16838" w:orient="portrait"/>
          <w:cols w:equalWidth="0" w:num="1">
            <w:col w:w="10680"/>
          </w:cols>
          <w:pgMar w:left="740" w:top="821" w:right="479" w:bottom="1440" w:gutter="0" w:footer="0" w:header="0"/>
        </w:sectPr>
      </w:pPr>
    </w:p>
    <w:bookmarkStart w:id="320" w:name="page321"/>
    <w:bookmarkEnd w:id="320"/>
    <w:p>
      <w:pPr>
        <w:ind w:right="120"/>
        <w:spacing w:after="0" w:line="286" w:lineRule="auto"/>
        <w:rPr>
          <w:sz w:val="20"/>
          <w:szCs w:val="20"/>
          <w:color w:val="auto"/>
        </w:rPr>
      </w:pPr>
      <w:r>
        <w:rPr>
          <w:rFonts w:ascii="Arial" w:cs="Arial" w:eastAsia="Arial" w:hAnsi="Arial"/>
          <w:sz w:val="13"/>
          <w:szCs w:val="13"/>
          <w:color w:val="auto"/>
        </w:rPr>
        <w:t>ratably in accordance with the respective amounts that would be payable on such Series G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50" w:lineRule="exact"/>
        <w:rPr>
          <w:sz w:val="20"/>
          <w:szCs w:val="20"/>
          <w:color w:val="auto"/>
        </w:rPr>
      </w:pPr>
    </w:p>
    <w:p>
      <w:pPr>
        <w:ind w:firstLine="323"/>
        <w:spacing w:after="0" w:line="274" w:lineRule="auto"/>
        <w:tabs>
          <w:tab w:leader="none" w:pos="524" w:val="left"/>
        </w:tabs>
        <w:numPr>
          <w:ilvl w:val="0"/>
          <w:numId w:val="236"/>
        </w:numPr>
        <w:rPr>
          <w:rFonts w:ascii="Arial" w:cs="Arial" w:eastAsia="Arial" w:hAnsi="Arial"/>
          <w:sz w:val="13"/>
          <w:szCs w:val="13"/>
          <w:color w:val="auto"/>
        </w:rPr>
      </w:pPr>
      <w:r>
        <w:rPr>
          <w:rFonts w:ascii="Arial" w:cs="Arial" w:eastAsia="Arial" w:hAnsi="Arial"/>
          <w:sz w:val="13"/>
          <w:szCs w:val="13"/>
          <w:color w:val="auto"/>
        </w:rPr>
        <w:t>Until payment shall have been made in full to the holders of the Series G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G Preferred Stock, as provided in this Section 4, any series or class or classes of Junior Stock shall, subject to any respective terms and provisions applying thereto, be entitled to receive any and all assets remaining to be paid or distributed, and the holders of the Series G Preferred Stock shall not be entitled to share therein.</w:t>
      </w:r>
    </w:p>
    <w:p>
      <w:pPr>
        <w:spacing w:after="0" w:line="163" w:lineRule="exact"/>
        <w:rPr>
          <w:rFonts w:ascii="Arial" w:cs="Arial" w:eastAsia="Arial" w:hAnsi="Arial"/>
          <w:sz w:val="13"/>
          <w:szCs w:val="13"/>
          <w:color w:val="auto"/>
        </w:rPr>
      </w:pPr>
    </w:p>
    <w:p>
      <w:pPr>
        <w:ind w:left="640" w:hanging="299"/>
        <w:spacing w:after="0"/>
        <w:tabs>
          <w:tab w:leader="none" w:pos="640" w:val="left"/>
        </w:tabs>
        <w:numPr>
          <w:ilvl w:val="1"/>
          <w:numId w:val="236"/>
        </w:numPr>
        <w:rPr>
          <w:rFonts w:ascii="Arial" w:cs="Arial" w:eastAsia="Arial" w:hAnsi="Arial"/>
          <w:sz w:val="14"/>
          <w:szCs w:val="14"/>
          <w:color w:val="auto"/>
        </w:rPr>
      </w:pPr>
      <w:r>
        <w:rPr>
          <w:rFonts w:ascii="Arial" w:cs="Arial" w:eastAsia="Arial" w:hAnsi="Arial"/>
          <w:sz w:val="14"/>
          <w:szCs w:val="14"/>
          <w:i w:val="1"/>
          <w:iCs w:val="1"/>
          <w:color w:val="auto"/>
        </w:rPr>
        <w:t>Optional Redemption</w:t>
      </w:r>
      <w:r>
        <w:rPr>
          <w:rFonts w:ascii="Arial" w:cs="Arial" w:eastAsia="Arial" w:hAnsi="Arial"/>
          <w:sz w:val="14"/>
          <w:szCs w:val="14"/>
          <w:color w:val="auto"/>
        </w:rPr>
        <w:t>.</w:t>
      </w:r>
    </w:p>
    <w:p>
      <w:pPr>
        <w:spacing w:after="0" w:line="96" w:lineRule="exact"/>
        <w:rPr>
          <w:sz w:val="20"/>
          <w:szCs w:val="20"/>
          <w:color w:val="auto"/>
        </w:rPr>
      </w:pPr>
    </w:p>
    <w:p>
      <w:pPr>
        <w:jc w:val="both"/>
        <w:ind w:right="140" w:firstLine="323"/>
        <w:spacing w:after="0" w:line="253" w:lineRule="auto"/>
        <w:tabs>
          <w:tab w:leader="none" w:pos="621" w:val="left"/>
        </w:tabs>
        <w:numPr>
          <w:ilvl w:val="0"/>
          <w:numId w:val="237"/>
        </w:numPr>
        <w:rPr>
          <w:rFonts w:ascii="Arial" w:cs="Arial" w:eastAsia="Arial" w:hAnsi="Arial"/>
          <w:sz w:val="14"/>
          <w:szCs w:val="14"/>
          <w:color w:val="auto"/>
        </w:rPr>
      </w:pPr>
      <w:r>
        <w:rPr>
          <w:rFonts w:ascii="Arial" w:cs="Arial" w:eastAsia="Arial" w:hAnsi="Arial"/>
          <w:sz w:val="14"/>
          <w:szCs w:val="14"/>
          <w:color w:val="auto"/>
        </w:rPr>
        <w:t>Except as otherwise permitted by the Charter and paragraph (b) below, the Series G Preferred Stock shall not be redeemable by the Corporation prior to June 19, 2019. On and after June 19, 2019, the Corporation, at its option, upon giving notice as provided below, may redeem the Series G Preferred Stock, in whole, at any time, or in part, from time to time, for cash at a redemption price of $25.00 per share, plus any accrued and unpaid dividends on the Series G Preferred Stock (whether or not declared), to, but not including, the redemption date (the “Regular Redemption Right”).</w:t>
      </w:r>
    </w:p>
    <w:p>
      <w:pPr>
        <w:spacing w:after="0" w:line="57" w:lineRule="exact"/>
        <w:rPr>
          <w:rFonts w:ascii="Arial" w:cs="Arial" w:eastAsia="Arial" w:hAnsi="Arial"/>
          <w:sz w:val="14"/>
          <w:szCs w:val="14"/>
          <w:color w:val="auto"/>
        </w:rPr>
      </w:pPr>
    </w:p>
    <w:p>
      <w:pPr>
        <w:ind w:right="20" w:firstLine="323"/>
        <w:spacing w:after="0" w:line="270" w:lineRule="auto"/>
        <w:tabs>
          <w:tab w:leader="none" w:pos="629" w:val="left"/>
        </w:tabs>
        <w:numPr>
          <w:ilvl w:val="0"/>
          <w:numId w:val="237"/>
        </w:numPr>
        <w:rPr>
          <w:rFonts w:ascii="Arial" w:cs="Arial" w:eastAsia="Arial" w:hAnsi="Arial"/>
          <w:sz w:val="13"/>
          <w:szCs w:val="13"/>
          <w:color w:val="auto"/>
        </w:rPr>
      </w:pPr>
      <w:r>
        <w:rPr>
          <w:rFonts w:ascii="Arial" w:cs="Arial" w:eastAsia="Arial" w:hAnsi="Arial"/>
          <w:sz w:val="13"/>
          <w:szCs w:val="13"/>
          <w:color w:val="auto"/>
        </w:rPr>
        <w:t>Upon the occurrence of a Change of Control (as defined herein), the Corporation will have the option, upon giving notice as provided below, to redeem the Series G Preferred Stock, in whole, at any time, or in part, from time to time, within 120 days after the first date on which the Change of Control has occurred (the “Special Redemption Right”), for cash at a redemption price of $25.00 per share, plus any accrued and unpaid dividends on the Series G Preferred Stock (whether or not declared), to, but not including, the redemption date (the “Special Redemption Price”). If the Corporation exercises its Special Redemption Right in connection with a Change of Control, holders of Series G Preferred Stock will not be permitted to exercise their Change of Control Conversion Right (as defined herein) in respect of any shares of Series G Preferred Stock that have been called for redemption, and any shares of Series G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62"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G-4</w:t>
      </w:r>
    </w:p>
    <w:p>
      <w:pPr>
        <w:sectPr>
          <w:pgSz w:w="11900" w:h="16838" w:orient="portrait"/>
          <w:cols w:equalWidth="0" w:num="1">
            <w:col w:w="10640"/>
          </w:cols>
          <w:pgMar w:left="740" w:top="903" w:right="519" w:bottom="1440" w:gutter="0" w:footer="0" w:header="0"/>
        </w:sectPr>
      </w:pPr>
    </w:p>
    <w:bookmarkStart w:id="321" w:name="page322"/>
    <w:bookmarkEnd w:id="321"/>
    <w:p>
      <w:pPr>
        <w:ind w:left="320"/>
        <w:spacing w:after="0"/>
        <w:rPr>
          <w:sz w:val="20"/>
          <w:szCs w:val="20"/>
          <w:color w:val="auto"/>
        </w:rPr>
      </w:pPr>
      <w:r>
        <w:rPr>
          <w:rFonts w:ascii="Arial" w:cs="Arial" w:eastAsia="Arial" w:hAnsi="Arial"/>
          <w:sz w:val="14"/>
          <w:szCs w:val="14"/>
          <w:color w:val="auto"/>
        </w:rPr>
        <w:t>A “Change of Control” will be deemed to have occurred at such time after the original issuance of the Series G Preferred Stock when the following has occurred:</w:t>
      </w:r>
    </w:p>
    <w:p>
      <w:pPr>
        <w:spacing w:after="0" w:line="96" w:lineRule="exact"/>
        <w:rPr>
          <w:sz w:val="20"/>
          <w:szCs w:val="20"/>
          <w:color w:val="auto"/>
        </w:rPr>
      </w:pPr>
    </w:p>
    <w:p>
      <w:pPr>
        <w:ind w:left="340" w:right="40" w:firstLine="308"/>
        <w:spacing w:after="0" w:line="250" w:lineRule="auto"/>
        <w:tabs>
          <w:tab w:leader="none" w:pos="924" w:val="left"/>
        </w:tabs>
        <w:numPr>
          <w:ilvl w:val="1"/>
          <w:numId w:val="238"/>
        </w:numPr>
        <w:rPr>
          <w:rFonts w:ascii="Arial" w:cs="Arial" w:eastAsia="Arial" w:hAnsi="Arial"/>
          <w:sz w:val="14"/>
          <w:szCs w:val="14"/>
          <w:color w:val="auto"/>
        </w:rPr>
      </w:pPr>
      <w:r>
        <w:rPr>
          <w:rFonts w:ascii="Arial" w:cs="Arial" w:eastAsia="Arial" w:hAnsi="Arial"/>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1" w:lineRule="exact"/>
        <w:rPr>
          <w:rFonts w:ascii="Arial" w:cs="Arial" w:eastAsia="Arial" w:hAnsi="Arial"/>
          <w:sz w:val="14"/>
          <w:szCs w:val="14"/>
          <w:color w:val="auto"/>
        </w:rPr>
      </w:pPr>
    </w:p>
    <w:p>
      <w:pPr>
        <w:ind w:left="340" w:right="140" w:firstLine="308"/>
        <w:spacing w:after="0" w:line="250" w:lineRule="auto"/>
        <w:tabs>
          <w:tab w:leader="none" w:pos="963" w:val="left"/>
        </w:tabs>
        <w:numPr>
          <w:ilvl w:val="1"/>
          <w:numId w:val="238"/>
        </w:numPr>
        <w:rPr>
          <w:rFonts w:ascii="Arial" w:cs="Arial" w:eastAsia="Arial" w:hAnsi="Arial"/>
          <w:sz w:val="14"/>
          <w:szCs w:val="14"/>
          <w:color w:val="auto"/>
        </w:rPr>
      </w:pPr>
      <w:r>
        <w:rPr>
          <w:rFonts w:ascii="Arial" w:cs="Arial" w:eastAsia="Arial" w:hAnsi="Arial"/>
          <w:sz w:val="14"/>
          <w:szCs w:val="14"/>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ind w:left="620" w:hanging="297"/>
        <w:spacing w:after="0"/>
        <w:tabs>
          <w:tab w:leader="none" w:pos="62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following provisions set forth the general procedures for redemption applicable to redemptions pursuant to the Regular Redemption Right and the Special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Redemption Right:</w:t>
      </w:r>
    </w:p>
    <w:p>
      <w:pPr>
        <w:spacing w:after="0" w:line="73" w:lineRule="exact"/>
        <w:rPr>
          <w:sz w:val="20"/>
          <w:szCs w:val="20"/>
          <w:color w:val="auto"/>
        </w:rPr>
      </w:pPr>
    </w:p>
    <w:p>
      <w:pPr>
        <w:ind w:left="340" w:right="20" w:firstLine="308"/>
        <w:spacing w:after="0" w:line="272" w:lineRule="auto"/>
        <w:tabs>
          <w:tab w:leader="none" w:pos="924" w:val="left"/>
        </w:tabs>
        <w:numPr>
          <w:ilvl w:val="0"/>
          <w:numId w:val="240"/>
        </w:numPr>
        <w:rPr>
          <w:rFonts w:ascii="Arial" w:cs="Arial" w:eastAsia="Arial" w:hAnsi="Arial"/>
          <w:sz w:val="13"/>
          <w:szCs w:val="13"/>
          <w:color w:val="auto"/>
        </w:rPr>
      </w:pPr>
      <w:r>
        <w:rPr>
          <w:rFonts w:ascii="Arial" w:cs="Arial" w:eastAsia="Arial" w:hAnsi="Arial"/>
          <w:sz w:val="13"/>
          <w:szCs w:val="13"/>
          <w:color w:val="auto"/>
        </w:rPr>
        <w:t>Upon any redemption date applicable to Series G Preferred Stock, the Corporation shall pay on each share of Series G Preferred Stock to be redeemed any accrued and unpaid dividends (whether or not declared), in arrears, for any dividend period ending on or prior to the redemption date. If a redemption date falls after a record date for a Series G Preferred Stock dividend payment and prior to the corresponding Series G Dividend Payment Date, then each holder of the Series G Preferred Stock at the close of business on such record date shall be entitled to the dividend payable on such Series G Preferred Stock on the corresponding Series G Dividend Payment Date notwithstanding the redemption of such Series G Preferred Stock prior to such Series G Dividend Payment Date. Except as provided above, the Corporation shall make no payment or allowance for unpaid dividends, whether or not in arrears, on any shares of Series G Preferred Stock called for redemption.</w:t>
      </w:r>
    </w:p>
    <w:p>
      <w:pPr>
        <w:spacing w:after="0" w:line="47" w:lineRule="exact"/>
        <w:rPr>
          <w:rFonts w:ascii="Arial" w:cs="Arial" w:eastAsia="Arial" w:hAnsi="Arial"/>
          <w:sz w:val="13"/>
          <w:szCs w:val="13"/>
          <w:color w:val="auto"/>
        </w:rPr>
      </w:pPr>
    </w:p>
    <w:p>
      <w:pPr>
        <w:ind w:left="340" w:right="160" w:firstLine="308"/>
        <w:spacing w:after="0" w:line="253" w:lineRule="auto"/>
        <w:tabs>
          <w:tab w:leader="none" w:pos="963" w:val="left"/>
        </w:tabs>
        <w:numPr>
          <w:ilvl w:val="0"/>
          <w:numId w:val="240"/>
        </w:numPr>
        <w:rPr>
          <w:rFonts w:ascii="Arial" w:cs="Arial" w:eastAsia="Arial" w:hAnsi="Arial"/>
          <w:sz w:val="14"/>
          <w:szCs w:val="14"/>
          <w:color w:val="auto"/>
        </w:rPr>
      </w:pPr>
      <w:r>
        <w:rPr>
          <w:rFonts w:ascii="Arial" w:cs="Arial" w:eastAsia="Arial" w:hAnsi="Arial"/>
          <w:sz w:val="14"/>
          <w:szCs w:val="14"/>
          <w:color w:val="auto"/>
        </w:rPr>
        <w:t>If full cumulative dividends on the Series G Preferred Stock and any class or classes of Parity Stock have not been paid or declared and set apart for payment, the Corporation may not purchase, redeem or otherwise acquire Series G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57" w:lineRule="exact"/>
        <w:rPr>
          <w:rFonts w:ascii="Arial" w:cs="Arial" w:eastAsia="Arial" w:hAnsi="Arial"/>
          <w:sz w:val="14"/>
          <w:szCs w:val="14"/>
          <w:color w:val="auto"/>
        </w:rPr>
      </w:pPr>
    </w:p>
    <w:p>
      <w:pPr>
        <w:ind w:left="340" w:firstLine="308"/>
        <w:spacing w:after="0" w:line="249" w:lineRule="auto"/>
        <w:tabs>
          <w:tab w:leader="none" w:pos="100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On and after the date fixed for redemption, provided that the Corporation has made available at the office of the registrar and transfer agent a sufficient amount of cash to effect the redemption, dividends will cease to accrue on the shares of Series G Preferred Stock called for redemption (except that, in the case of a redemption date after a dividend payment record date and prior to the related Series G Dividend Payment Date, holders of Series G Preferred Stock on the applicable dividend payment record date will be entitled on such Series G Dividend Payment Date to receive the dividend payable on such shares on the corresponding Series G Dividend Payment Date), such shares shall no longer be deemed to be outstanding and all rights of the holders of such shares as holders of Series G Preferred Stock shall cease except the right to receive the cash payable upon such redemption, without interest from the date of such redemption.</w:t>
      </w:r>
    </w:p>
    <w:p>
      <w:pPr>
        <w:spacing w:after="0" w:line="8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G-5</w:t>
      </w:r>
    </w:p>
    <w:p>
      <w:pPr>
        <w:sectPr>
          <w:pgSz w:w="11900" w:h="16838" w:orient="portrait"/>
          <w:cols w:equalWidth="0" w:num="1">
            <w:col w:w="10660"/>
          </w:cols>
          <w:pgMar w:left="740" w:top="902" w:right="499" w:bottom="1440" w:gutter="0" w:footer="0" w:header="0"/>
        </w:sectPr>
      </w:pPr>
    </w:p>
    <w:bookmarkStart w:id="322" w:name="page323"/>
    <w:bookmarkEnd w:id="322"/>
    <w:p>
      <w:pPr>
        <w:ind w:left="620" w:hanging="297"/>
        <w:spacing w:after="0"/>
        <w:tabs>
          <w:tab w:leader="none" w:pos="62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The following provisions set forth the procedures for redemption, in addition to those general procedures set forth in Section 5(c) hereof, pursuant to the Regular Redemption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Right.</w:t>
      </w:r>
    </w:p>
    <w:p>
      <w:pPr>
        <w:spacing w:after="0" w:line="84" w:lineRule="exact"/>
        <w:rPr>
          <w:rFonts w:ascii="Arial" w:cs="Arial" w:eastAsia="Arial" w:hAnsi="Arial"/>
          <w:sz w:val="13"/>
          <w:szCs w:val="13"/>
          <w:color w:val="auto"/>
        </w:rPr>
      </w:pPr>
    </w:p>
    <w:p>
      <w:pPr>
        <w:ind w:left="340" w:right="20" w:firstLine="308"/>
        <w:spacing w:after="0" w:line="288" w:lineRule="auto"/>
        <w:tabs>
          <w:tab w:leader="none" w:pos="916" w:val="left"/>
        </w:tabs>
        <w:numPr>
          <w:ilvl w:val="2"/>
          <w:numId w:val="241"/>
        </w:numPr>
        <w:rPr>
          <w:rFonts w:ascii="Arial" w:cs="Arial" w:eastAsia="Arial" w:hAnsi="Arial"/>
          <w:sz w:val="12"/>
          <w:szCs w:val="12"/>
          <w:color w:val="auto"/>
        </w:rPr>
      </w:pPr>
      <w:r>
        <w:rPr>
          <w:rFonts w:ascii="Arial" w:cs="Arial" w:eastAsia="Arial" w:hAnsi="Arial"/>
          <w:sz w:val="12"/>
          <w:szCs w:val="12"/>
          <w:color w:val="auto"/>
        </w:rPr>
        <w:t>A notice of redemption (which may be contingent upon the occurrence of a future event) shall be mailed, postage prepaid, not less than 30 nor more than 60 days prior to the redemption date, addressed to the holders of record of the Series G Preferred Stock at their addresses as they appear on the Corporation’s stock transfer records. A failure to give such notice or any defect in the notice or in its mailing shall not affect the validity of the proceedings for the redemption of any shares of the Series G Preferred Stock except as to the holder to whom notice was defective or not given. In addition to any information required by law or by the applicable rules of any exchange upon which the Series G Preferred Stock may be listed or admitted to trading, each notice shall state: (A) the redemption date; (B) the redemption price; (C) the number of shares of Series G Preferred Stock to be redeemed and, if fewer than all the shares of Series G Preferred Stock held by such holder are to be redeemed, the number of such shares of Series G Preferred Stock to be redeemed from such holder;</w:t>
      </w:r>
    </w:p>
    <w:p>
      <w:pPr>
        <w:ind w:left="340" w:hanging="3"/>
        <w:spacing w:after="0" w:line="253" w:lineRule="auto"/>
        <w:tabs>
          <w:tab w:leader="none" w:pos="570" w:val="left"/>
        </w:tabs>
        <w:numPr>
          <w:ilvl w:val="1"/>
          <w:numId w:val="241"/>
        </w:numPr>
        <w:rPr>
          <w:rFonts w:ascii="Arial" w:cs="Arial" w:eastAsia="Arial" w:hAnsi="Arial"/>
          <w:sz w:val="14"/>
          <w:szCs w:val="14"/>
          <w:color w:val="auto"/>
        </w:rPr>
      </w:pPr>
      <w:r>
        <w:rPr>
          <w:rFonts w:ascii="Arial" w:cs="Arial" w:eastAsia="Arial" w:hAnsi="Arial"/>
          <w:sz w:val="14"/>
          <w:szCs w:val="14"/>
          <w:color w:val="auto"/>
        </w:rPr>
        <w:t>the place or places where the certificates, if any, evidencing the shares of Series G Preferred Stock are to be surrendered for payment of the redemption price; and (E) that dividends on the shares to be redeemed will cease to accrue on such redemption date except as otherwise provided herein.</w:t>
      </w:r>
    </w:p>
    <w:p>
      <w:pPr>
        <w:spacing w:after="0" w:line="46" w:lineRule="exact"/>
        <w:rPr>
          <w:rFonts w:ascii="Arial" w:cs="Arial" w:eastAsia="Arial" w:hAnsi="Arial"/>
          <w:sz w:val="14"/>
          <w:szCs w:val="14"/>
          <w:color w:val="auto"/>
        </w:rPr>
      </w:pPr>
    </w:p>
    <w:p>
      <w:pPr>
        <w:ind w:left="340" w:right="460" w:firstLine="308"/>
        <w:spacing w:after="0" w:line="270" w:lineRule="auto"/>
        <w:tabs>
          <w:tab w:leader="none" w:pos="963" w:val="left"/>
        </w:tabs>
        <w:numPr>
          <w:ilvl w:val="2"/>
          <w:numId w:val="242"/>
        </w:numPr>
        <w:rPr>
          <w:rFonts w:ascii="Arial" w:cs="Arial" w:eastAsia="Arial" w:hAnsi="Arial"/>
          <w:sz w:val="14"/>
          <w:szCs w:val="14"/>
          <w:color w:val="auto"/>
        </w:rPr>
      </w:pPr>
      <w:r>
        <w:rPr>
          <w:rFonts w:ascii="Arial" w:cs="Arial" w:eastAsia="Arial" w:hAnsi="Arial"/>
          <w:sz w:val="14"/>
          <w:szCs w:val="14"/>
          <w:color w:val="auto"/>
        </w:rPr>
        <w:t>If fewer than all the outstanding shares of the Series G Preferred Stock are to be redeemed, the shares to be redeemed shall be selected by lot or pro rata (as nearly as practicable without creating fractional shares).</w:t>
      </w:r>
    </w:p>
    <w:p>
      <w:pPr>
        <w:spacing w:after="0" w:line="58" w:lineRule="exact"/>
        <w:rPr>
          <w:rFonts w:ascii="Arial" w:cs="Arial" w:eastAsia="Arial" w:hAnsi="Arial"/>
          <w:sz w:val="14"/>
          <w:szCs w:val="14"/>
          <w:color w:val="auto"/>
        </w:rPr>
      </w:pPr>
    </w:p>
    <w:p>
      <w:pPr>
        <w:ind w:left="340" w:right="80" w:firstLine="308"/>
        <w:spacing w:after="0" w:line="248" w:lineRule="auto"/>
        <w:tabs>
          <w:tab w:leader="none" w:pos="994" w:val="left"/>
        </w:tabs>
        <w:numPr>
          <w:ilvl w:val="2"/>
          <w:numId w:val="242"/>
        </w:numPr>
        <w:rPr>
          <w:rFonts w:ascii="Arial" w:cs="Arial" w:eastAsia="Arial" w:hAnsi="Arial"/>
          <w:sz w:val="14"/>
          <w:szCs w:val="14"/>
          <w:color w:val="auto"/>
        </w:rPr>
      </w:pPr>
      <w:r>
        <w:rPr>
          <w:rFonts w:ascii="Arial" w:cs="Arial" w:eastAsia="Arial" w:hAnsi="Arial"/>
          <w:sz w:val="14"/>
          <w:szCs w:val="14"/>
          <w:color w:val="auto"/>
        </w:rPr>
        <w:t>At its election, the Corporation, prior to a redemption date, may irrevocably deposit the redemption price (including accumulated and unpaid dividends to the redemption date) of the Series G Preferred Stock so called for redemption in trust for the holders thereof with a bank or trust company, in which case the redemption notice to holders of the Series G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G Preferred Stock at the end of two years after the redemption date shall be returned by such bank or trust company to the Corporation.</w:t>
      </w:r>
    </w:p>
    <w:p>
      <w:pPr>
        <w:spacing w:after="0" w:line="63" w:lineRule="exact"/>
        <w:rPr>
          <w:rFonts w:ascii="Arial" w:cs="Arial" w:eastAsia="Arial" w:hAnsi="Arial"/>
          <w:sz w:val="14"/>
          <w:szCs w:val="14"/>
          <w:color w:val="auto"/>
        </w:rPr>
      </w:pPr>
    </w:p>
    <w:p>
      <w:pPr>
        <w:ind w:left="620" w:hanging="297"/>
        <w:spacing w:after="0"/>
        <w:tabs>
          <w:tab w:leader="none" w:pos="62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The following provisions set forth the procedures for redemption, in addition to those general procedures set forth in Section 5(c) hereof, pursuant to the Special Redemption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Right.</w:t>
      </w:r>
    </w:p>
    <w:p>
      <w:pPr>
        <w:spacing w:after="0" w:line="72" w:lineRule="exact"/>
        <w:rPr>
          <w:rFonts w:ascii="Arial" w:cs="Arial" w:eastAsia="Arial" w:hAnsi="Arial"/>
          <w:sz w:val="13"/>
          <w:szCs w:val="13"/>
          <w:color w:val="auto"/>
        </w:rPr>
      </w:pPr>
    </w:p>
    <w:p>
      <w:pPr>
        <w:ind w:left="340" w:right="20" w:firstLine="308"/>
        <w:spacing w:after="0" w:line="250" w:lineRule="auto"/>
        <w:tabs>
          <w:tab w:leader="none" w:pos="916" w:val="left"/>
        </w:tabs>
        <w:numPr>
          <w:ilvl w:val="2"/>
          <w:numId w:val="243"/>
        </w:numPr>
        <w:rPr>
          <w:rFonts w:ascii="Arial" w:cs="Arial" w:eastAsia="Arial" w:hAnsi="Arial"/>
          <w:sz w:val="14"/>
          <w:szCs w:val="14"/>
          <w:color w:val="auto"/>
        </w:rPr>
      </w:pPr>
      <w:r>
        <w:rPr>
          <w:rFonts w:ascii="Arial" w:cs="Arial" w:eastAsia="Arial" w:hAnsi="Arial"/>
          <w:sz w:val="14"/>
          <w:szCs w:val="14"/>
          <w:color w:val="auto"/>
        </w:rPr>
        <w:t>A notice of special optional redemption will be mailed, postage prepaid, not less than 30 nor more than 60 days prior to the redemption date, addressed to the holders of record of the Series G Preferred Stock at their addresses as they appear on the Corporation’s stock transfer records. A failure to give such notice or any defect in the notice or in its mailing will not affect the validity of the proceedings for the special optional redemption of the shares of Series G Preferred Stock except as to the holder to whom notice was defective or not given. Each notice will state: (A) the redemption date; (B) the redemption price; (C) the number of shares of Series G Preferred Stock to be redeemed; (D) the place or places where</w:t>
      </w:r>
    </w:p>
    <w:p>
      <w:pPr>
        <w:spacing w:after="0" w:line="8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G-6</w:t>
      </w:r>
    </w:p>
    <w:p>
      <w:pPr>
        <w:sectPr>
          <w:pgSz w:w="11900" w:h="16838" w:orient="portrait"/>
          <w:cols w:equalWidth="0" w:num="1">
            <w:col w:w="10680"/>
          </w:cols>
          <w:pgMar w:left="740" w:top="821" w:right="479" w:bottom="1440" w:gutter="0" w:footer="0" w:header="0"/>
        </w:sectPr>
      </w:pPr>
    </w:p>
    <w:bookmarkStart w:id="323" w:name="page324"/>
    <w:bookmarkEnd w:id="323"/>
    <w:p>
      <w:pPr>
        <w:ind w:left="3" w:right="40"/>
        <w:spacing w:after="0" w:line="250" w:lineRule="auto"/>
        <w:rPr>
          <w:sz w:val="20"/>
          <w:szCs w:val="20"/>
          <w:color w:val="auto"/>
        </w:rPr>
      </w:pPr>
      <w:r>
        <w:rPr>
          <w:rFonts w:ascii="Arial" w:cs="Arial" w:eastAsia="Arial" w:hAnsi="Arial"/>
          <w:sz w:val="14"/>
          <w:szCs w:val="14"/>
          <w:color w:val="auto"/>
        </w:rPr>
        <w:t>the certificates, if any, evidencing the shares of Series G Preferred Stock are to be surrendered for payment; (E) that the shares of Series G Preferred Stock are being redeemed pursuant to the Corporation’s special optional redemption right in connection with the occurrence of a Change of Control and a brief description of the transaction or transactions constituting such Change of Control;</w:t>
      </w:r>
    </w:p>
    <w:p>
      <w:pPr>
        <w:ind w:left="3" w:hanging="3"/>
        <w:spacing w:after="0" w:line="247" w:lineRule="auto"/>
        <w:tabs>
          <w:tab w:leader="none" w:pos="209"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that the holders of shares of Series G Preferred Stock to which the notice relates will not be able to tender such shares of Series G Preferred Stock for conversion in connection with the Change of Control and each share of Series G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61" w:lineRule="exact"/>
        <w:rPr>
          <w:rFonts w:ascii="Arial" w:cs="Arial" w:eastAsia="Arial" w:hAnsi="Arial"/>
          <w:sz w:val="14"/>
          <w:szCs w:val="14"/>
          <w:color w:val="auto"/>
        </w:rPr>
      </w:pPr>
    </w:p>
    <w:p>
      <w:pPr>
        <w:jc w:val="both"/>
        <w:ind w:left="3" w:firstLine="308"/>
        <w:spacing w:after="0" w:line="250" w:lineRule="auto"/>
        <w:tabs>
          <w:tab w:leader="none" w:pos="660" w:val="left"/>
        </w:tabs>
        <w:numPr>
          <w:ilvl w:val="1"/>
          <w:numId w:val="244"/>
        </w:numPr>
        <w:rPr>
          <w:rFonts w:ascii="Arial" w:cs="Arial" w:eastAsia="Arial" w:hAnsi="Arial"/>
          <w:sz w:val="14"/>
          <w:szCs w:val="14"/>
          <w:color w:val="auto"/>
        </w:rPr>
      </w:pPr>
      <w:r>
        <w:rPr>
          <w:rFonts w:ascii="Arial" w:cs="Arial" w:eastAsia="Arial" w:hAnsi="Arial"/>
          <w:sz w:val="14"/>
          <w:szCs w:val="14"/>
          <w:color w:val="auto"/>
        </w:rPr>
        <w:t>If fewer than all the shares of Series G Preferred Stock held by any holder are to be redeemed, the notice mailed to such holder will also specify the number of shares of Series G Preferred Stock to be redeemed from such holder. If fewer than all of the outstanding shares of Series G Preferred Stock are to be redeemed, the shares to be redeemed shall be selected by lot or pro rata.</w:t>
      </w:r>
    </w:p>
    <w:p>
      <w:pPr>
        <w:ind w:left="3" w:right="160" w:firstLine="308"/>
        <w:spacing w:after="0" w:line="267" w:lineRule="auto"/>
        <w:tabs>
          <w:tab w:leader="none" w:pos="664" w:val="left"/>
        </w:tabs>
        <w:numPr>
          <w:ilvl w:val="1"/>
          <w:numId w:val="244"/>
        </w:numPr>
        <w:rPr>
          <w:rFonts w:ascii="Arial" w:cs="Arial" w:eastAsia="Arial" w:hAnsi="Arial"/>
          <w:sz w:val="13"/>
          <w:szCs w:val="13"/>
          <w:color w:val="auto"/>
        </w:rPr>
      </w:pPr>
      <w:r>
        <w:rPr>
          <w:rFonts w:ascii="Arial" w:cs="Arial" w:eastAsia="Arial" w:hAnsi="Arial"/>
          <w:sz w:val="13"/>
          <w:szCs w:val="13"/>
          <w:color w:val="auto"/>
        </w:rPr>
        <w:t>On and after the date fixed for redemption, provided that the Corporation has given a notice of redemption and has paid or set aside sufficient funds for the redemption in trust for the benefit of the holders of shares of Series G Preferred Stock called for redemption, those shares of Series G Preferred Stock will be treated as no longer being outstanding, no further dividends will accrue on the share of Series G Preferred Stock called for redemption and all other rights of the holders of those shares of Series G Preferred Stock will terminate (except that, in the case of a redemption date after a dividend payment record date and prior to the related Series G Dividend Payment Date, holders of Series G Preferred Stock on the applicable record date will be entitled on such Series G Dividend Payment Date to receive the dividend payable on such shares on the corresponding Series G Dividend Payment Date). The holders of those shares of Series G Preferred Stock will retain their right to receive the redemption price for their shares and any accrued and unpaid dividends to (but not including) the redemption date, without interest from the date of such redemption.</w:t>
      </w:r>
    </w:p>
    <w:p>
      <w:pPr>
        <w:spacing w:after="0" w:line="51" w:lineRule="exact"/>
        <w:rPr>
          <w:rFonts w:ascii="Arial" w:cs="Arial" w:eastAsia="Arial" w:hAnsi="Arial"/>
          <w:sz w:val="13"/>
          <w:szCs w:val="13"/>
          <w:color w:val="auto"/>
        </w:rPr>
      </w:pPr>
    </w:p>
    <w:p>
      <w:pPr>
        <w:ind w:left="3" w:right="100" w:firstLine="308"/>
        <w:spacing w:after="0" w:line="248" w:lineRule="auto"/>
        <w:tabs>
          <w:tab w:leader="none" w:pos="649" w:val="left"/>
        </w:tabs>
        <w:numPr>
          <w:ilvl w:val="1"/>
          <w:numId w:val="244"/>
        </w:numPr>
        <w:rPr>
          <w:rFonts w:ascii="Arial" w:cs="Arial" w:eastAsia="Arial" w:hAnsi="Arial"/>
          <w:sz w:val="14"/>
          <w:szCs w:val="14"/>
          <w:color w:val="auto"/>
        </w:rPr>
      </w:pPr>
      <w:r>
        <w:rPr>
          <w:rFonts w:ascii="Arial" w:cs="Arial" w:eastAsia="Arial" w:hAnsi="Arial"/>
          <w:sz w:val="14"/>
          <w:szCs w:val="14"/>
          <w:color w:val="auto"/>
        </w:rPr>
        <w:t>At its election, the Corporation, prior to a redemption date, may irrevocably deposit the redemption price (including accumulated and unpaid dividends to the redemption date) of the Series G Preferred Stock so called for redemption in trust for the holders thereof with a bank or trust company, in which case the redemption notice to holders of the Series G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G Preferred Stock at the end of two years after the redemption date shall be returned by such bank or trust company to the Corporation.</w:t>
      </w:r>
    </w:p>
    <w:p>
      <w:pPr>
        <w:spacing w:after="0" w:line="87" w:lineRule="exact"/>
        <w:rPr>
          <w:sz w:val="20"/>
          <w:szCs w:val="20"/>
          <w:color w:val="auto"/>
        </w:rPr>
      </w:pPr>
    </w:p>
    <w:p>
      <w:pPr>
        <w:ind w:left="4763"/>
        <w:spacing w:after="0"/>
        <w:rPr>
          <w:sz w:val="20"/>
          <w:szCs w:val="20"/>
          <w:color w:val="auto"/>
        </w:rPr>
      </w:pPr>
      <w:r>
        <w:rPr>
          <w:rFonts w:ascii="Arial" w:cs="Arial" w:eastAsia="Arial" w:hAnsi="Arial"/>
          <w:sz w:val="14"/>
          <w:szCs w:val="14"/>
          <w:color w:val="auto"/>
        </w:rPr>
        <w:t>G-7</w:t>
      </w:r>
    </w:p>
    <w:p>
      <w:pPr>
        <w:sectPr>
          <w:pgSz w:w="11900" w:h="16838" w:orient="portrait"/>
          <w:cols w:equalWidth="0" w:num="1">
            <w:col w:w="10363"/>
          </w:cols>
          <w:pgMar w:left="1077" w:top="903" w:right="459" w:bottom="1440" w:gutter="0" w:footer="0" w:header="0"/>
        </w:sectPr>
      </w:pPr>
    </w:p>
    <w:bookmarkStart w:id="324" w:name="page325"/>
    <w:bookmarkEnd w:id="324"/>
    <w:p>
      <w:pPr>
        <w:ind w:left="300" w:right="220" w:firstLine="323"/>
        <w:spacing w:after="0" w:line="270" w:lineRule="auto"/>
        <w:tabs>
          <w:tab w:leader="none" w:pos="94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Any shares of Series G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75" w:lineRule="exact"/>
        <w:rPr>
          <w:rFonts w:ascii="Arial" w:cs="Arial" w:eastAsia="Arial" w:hAnsi="Arial"/>
          <w:sz w:val="14"/>
          <w:szCs w:val="14"/>
          <w:color w:val="auto"/>
        </w:rPr>
      </w:pPr>
    </w:p>
    <w:p>
      <w:pPr>
        <w:jc w:val="both"/>
        <w:ind w:left="-40" w:right="400" w:firstLine="701"/>
        <w:spacing w:after="0" w:line="250" w:lineRule="auto"/>
        <w:tabs>
          <w:tab w:leader="none" w:pos="966" w:val="left"/>
        </w:tabs>
        <w:numPr>
          <w:ilvl w:val="1"/>
          <w:numId w:val="245"/>
        </w:numPr>
        <w:rPr>
          <w:rFonts w:ascii="Arial" w:cs="Arial" w:eastAsia="Arial" w:hAnsi="Arial"/>
          <w:sz w:val="14"/>
          <w:szCs w:val="14"/>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 Except as otherwise set forth herein, the Series G Preferred Stock shall not have any relative, participating, optional or other voting rights or powers,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the holders thereof shall not be required for the taking of any corporate action. In any matter in which the holders of Series G Preferred Stock are entitled to vote, each such holder shall have the right to one vote for each share of Series G Preferred Stock held by such holder.</w:t>
      </w:r>
    </w:p>
    <w:p>
      <w:pPr>
        <w:ind w:left="300" w:firstLine="323"/>
        <w:spacing w:after="0" w:line="265" w:lineRule="auto"/>
        <w:tabs>
          <w:tab w:leader="none" w:pos="921" w:val="left"/>
        </w:tabs>
        <w:numPr>
          <w:ilvl w:val="0"/>
          <w:numId w:val="246"/>
        </w:numPr>
        <w:rPr>
          <w:rFonts w:ascii="Arial" w:cs="Arial" w:eastAsia="Arial" w:hAnsi="Arial"/>
          <w:sz w:val="13"/>
          <w:szCs w:val="13"/>
          <w:color w:val="auto"/>
        </w:rPr>
      </w:pPr>
      <w:r>
        <w:rPr>
          <w:rFonts w:ascii="Arial" w:cs="Arial" w:eastAsia="Arial" w:hAnsi="Arial"/>
          <w:sz w:val="13"/>
          <w:szCs w:val="13"/>
          <w:color w:val="auto"/>
        </w:rPr>
        <w:t>If and whenever six quarterly dividends (whether or not consecutive) payable on the Series G Preferred Stock are in arrears, whether or not earned or declared, the number of members then constituting the Board will be increased by two and the holders of Series G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 the “Preferred Stock Directors”) at an annual meeting of stockholders or a properly called special meeting of the holders of the Series G Preferred Stock and such Voting Preferred Stock and at each subsequent annual meeting of stockholders until all such dividends and dividends for the then current quarterly period on the Series G Preferred Stock and such other Voting Preferred Stock have been paid or declared and set aside for payment. Whenever all arrears in dividends on the Series G Preferred Stock and the Voting Preferred Stock then outstanding have been paid and full dividends on the Series G Preferred Stock and the Voting Preferred Stock for the then current quarterly dividend period have been paid in full or declared and set apart for payment in full, then the right of the holders of the Series G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G Preferred Stock and the Voting Preferred Stock to elect the Preferred Stock Directors will again vest if and whenever six quarterly dividends are in arrears, as described above. In no event shall the holders of Series G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52" w:lineRule="exact"/>
        <w:rPr>
          <w:rFonts w:ascii="Arial" w:cs="Arial" w:eastAsia="Arial" w:hAnsi="Arial"/>
          <w:sz w:val="13"/>
          <w:szCs w:val="13"/>
          <w:color w:val="auto"/>
        </w:rPr>
      </w:pPr>
    </w:p>
    <w:p>
      <w:pPr>
        <w:ind w:left="300" w:right="20" w:firstLine="323"/>
        <w:spacing w:after="0" w:line="249" w:lineRule="auto"/>
        <w:tabs>
          <w:tab w:leader="none" w:pos="929" w:val="left"/>
        </w:tabs>
        <w:numPr>
          <w:ilvl w:val="0"/>
          <w:numId w:val="246"/>
        </w:numPr>
        <w:rPr>
          <w:rFonts w:ascii="Arial" w:cs="Arial" w:eastAsia="Arial" w:hAnsi="Arial"/>
          <w:sz w:val="14"/>
          <w:szCs w:val="14"/>
          <w:color w:val="auto"/>
        </w:rPr>
      </w:pPr>
      <w:r>
        <w:rPr>
          <w:rFonts w:ascii="Arial" w:cs="Arial" w:eastAsia="Arial" w:hAnsi="Arial"/>
          <w:sz w:val="14"/>
          <w:szCs w:val="14"/>
          <w:color w:val="auto"/>
        </w:rPr>
        <w:t>So long as any shares of Series G Preferred Stock are outstanding, the approval of two-thirds of the votes entitled to be cast by the holders of outstanding Series G Preferred Stock, voting separately as a class, either at a meeting of stockholders or by written consent, is required (i) to amend, alter or repeal any provisions of the Charter (including these Articles Supplementary), whether by merger, consolidation or otherwise, to affect materially and adversely the voting powers, rights or preferences of the holders of the Series G Preferred Stock, unless in connection with any such amendment, alteration or repeal, the Series G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G-8</w:t>
      </w:r>
    </w:p>
    <w:p>
      <w:pPr>
        <w:sectPr>
          <w:pgSz w:w="11900" w:h="16838" w:orient="portrait"/>
          <w:cols w:equalWidth="0" w:num="1">
            <w:col w:w="11000"/>
          </w:cols>
          <w:pgMar w:left="440" w:top="821" w:right="459" w:bottom="1440" w:gutter="0" w:footer="0" w:header="0"/>
        </w:sectPr>
      </w:pPr>
    </w:p>
    <w:bookmarkStart w:id="325" w:name="page326"/>
    <w:bookmarkEnd w:id="325"/>
    <w:p>
      <w:pPr>
        <w:ind w:left="240" w:right="20"/>
        <w:spacing w:after="0" w:line="269" w:lineRule="auto"/>
        <w:rPr>
          <w:sz w:val="20"/>
          <w:szCs w:val="20"/>
          <w:color w:val="auto"/>
        </w:rPr>
      </w:pPr>
      <w:r>
        <w:rPr>
          <w:rFonts w:ascii="Arial" w:cs="Arial" w:eastAsia="Arial" w:hAnsi="Arial"/>
          <w:sz w:val="13"/>
          <w:szCs w:val="13"/>
          <w:color w:val="auto"/>
        </w:rPr>
        <w:t>thereof that are substantially similar to those of the Series G Preferred Stock, or (ii) to authorize, create, or increase the authorized amount of any class or series of capital stock having rights senior to the Series G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w:t>
      </w:r>
    </w:p>
    <w:p>
      <w:pPr>
        <w:jc w:val="both"/>
        <w:ind w:left="240" w:right="60"/>
        <w:spacing w:after="0" w:line="248" w:lineRule="auto"/>
        <w:rPr>
          <w:sz w:val="20"/>
          <w:szCs w:val="20"/>
          <w:color w:val="auto"/>
        </w:rPr>
      </w:pPr>
      <w:r>
        <w:rPr>
          <w:rFonts w:ascii="Arial" w:cs="Arial" w:eastAsia="Arial" w:hAnsi="Arial"/>
          <w:sz w:val="14"/>
          <w:szCs w:val="14"/>
          <w:color w:val="auto"/>
        </w:rPr>
        <w:t>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G Preferred Stock) and Junior Stock and issue additional series of Parity Stock and Junior Stock without the consent of any holder of Series G Preferred Stock.</w:t>
      </w:r>
    </w:p>
    <w:p>
      <w:pPr>
        <w:spacing w:after="0" w:line="62" w:lineRule="exact"/>
        <w:rPr>
          <w:sz w:val="20"/>
          <w:szCs w:val="20"/>
          <w:color w:val="auto"/>
        </w:rPr>
      </w:pPr>
    </w:p>
    <w:p>
      <w:pPr>
        <w:ind w:left="240" w:right="620" w:firstLine="323"/>
        <w:spacing w:after="0" w:line="257" w:lineRule="auto"/>
        <w:tabs>
          <w:tab w:leader="none" w:pos="859"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foregoing voting provisions shall not apply if, at or prior to the time when the act with respect to which such vote would otherwise be required shall be effected, all outstanding Series G Preferred Stock shall have been redeemed or called for redemption upon proper notice and sufficient funds shall have been deposited in trust to effect such redemption.</w:t>
      </w:r>
    </w:p>
    <w:p>
      <w:pPr>
        <w:spacing w:after="0" w:line="184" w:lineRule="exact"/>
        <w:rPr>
          <w:rFonts w:ascii="Arial" w:cs="Arial" w:eastAsia="Arial" w:hAnsi="Arial"/>
          <w:sz w:val="14"/>
          <w:szCs w:val="14"/>
          <w:color w:val="auto"/>
        </w:rPr>
      </w:pPr>
    </w:p>
    <w:p>
      <w:pPr>
        <w:ind w:left="-100" w:firstLine="701"/>
        <w:spacing w:after="0" w:line="247" w:lineRule="auto"/>
        <w:tabs>
          <w:tab w:leader="none" w:pos="906" w:val="left"/>
        </w:tabs>
        <w:numPr>
          <w:ilvl w:val="1"/>
          <w:numId w:val="247"/>
        </w:numPr>
        <w:rPr>
          <w:rFonts w:ascii="Arial" w:cs="Arial" w:eastAsia="Arial" w:hAnsi="Arial"/>
          <w:sz w:val="14"/>
          <w:szCs w:val="14"/>
          <w:color w:val="auto"/>
        </w:rPr>
      </w:pPr>
      <w:r>
        <w:rPr>
          <w:rFonts w:ascii="Arial" w:cs="Arial" w:eastAsia="Arial" w:hAnsi="Arial"/>
          <w:sz w:val="14"/>
          <w:szCs w:val="14"/>
          <w:i w:val="1"/>
          <w:iCs w:val="1"/>
          <w:color w:val="auto"/>
        </w:rPr>
        <w:t>Information Rights</w:t>
      </w:r>
      <w:r>
        <w:rPr>
          <w:rFonts w:ascii="Arial" w:cs="Arial" w:eastAsia="Arial" w:hAnsi="Arial"/>
          <w:sz w:val="14"/>
          <w:szCs w:val="14"/>
          <w:color w:val="auto"/>
        </w:rPr>
        <w:t>. During any period in which the Corporation is not subject to Section 13 or 15(d) of the Securities Exchange Act of 1934, as amended (the “Exchange Act”),</w:t>
      </w:r>
      <w:r>
        <w:rPr>
          <w:rFonts w:ascii="Arial" w:cs="Arial" w:eastAsia="Arial" w:hAnsi="Arial"/>
          <w:sz w:val="14"/>
          <w:szCs w:val="14"/>
          <w:i w:val="1"/>
          <w:iCs w:val="1"/>
          <w:color w:val="auto"/>
        </w:rPr>
        <w:t xml:space="preserve"> </w:t>
      </w:r>
      <w:r>
        <w:rPr>
          <w:rFonts w:ascii="Arial" w:cs="Arial" w:eastAsia="Arial" w:hAnsi="Arial"/>
          <w:sz w:val="14"/>
          <w:szCs w:val="14"/>
          <w:color w:val="auto"/>
        </w:rPr>
        <w:t>and any shares of Series G Preferred Stock are outstanding, the Corporation will (i) transmit by mail (or other permissible means under the Exchange Act) to all holders of Series G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G Preferred Stock. The Corporation will mail (or otherwise provide) the information to the holders of Series G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04" w:lineRule="exact"/>
        <w:rPr>
          <w:rFonts w:ascii="Arial" w:cs="Arial" w:eastAsia="Arial" w:hAnsi="Arial"/>
          <w:sz w:val="14"/>
          <w:szCs w:val="14"/>
          <w:color w:val="auto"/>
        </w:rPr>
      </w:pPr>
    </w:p>
    <w:p>
      <w:pPr>
        <w:ind w:left="-100" w:right="20" w:firstLine="701"/>
        <w:spacing w:after="0" w:line="253" w:lineRule="auto"/>
        <w:tabs>
          <w:tab w:leader="none" w:pos="906" w:val="left"/>
        </w:tabs>
        <w:numPr>
          <w:ilvl w:val="1"/>
          <w:numId w:val="247"/>
        </w:numPr>
        <w:rPr>
          <w:rFonts w:ascii="Arial" w:cs="Arial" w:eastAsia="Arial" w:hAnsi="Arial"/>
          <w:sz w:val="14"/>
          <w:szCs w:val="14"/>
          <w:color w:val="auto"/>
        </w:rPr>
      </w:pPr>
      <w:r>
        <w:rPr>
          <w:rFonts w:ascii="Arial" w:cs="Arial" w:eastAsia="Arial" w:hAnsi="Arial"/>
          <w:sz w:val="14"/>
          <w:szCs w:val="14"/>
          <w:i w:val="1"/>
          <w:iCs w:val="1"/>
          <w:color w:val="auto"/>
        </w:rPr>
        <w:t xml:space="preserve">Other Limitations; Ownership and Transfer of the Series G Preferred Stock. </w:t>
      </w:r>
      <w:r>
        <w:rPr>
          <w:rFonts w:ascii="Arial" w:cs="Arial" w:eastAsia="Arial" w:hAnsi="Arial"/>
          <w:sz w:val="14"/>
          <w:szCs w:val="14"/>
          <w:color w:val="auto"/>
        </w:rPr>
        <w:t>The Series G Preferred Stock constitutes Capital Stock (as defined in the Charter) of the Corporation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G Preferred Stock of any other term or provision of the Charter.</w:t>
      </w:r>
    </w:p>
    <w:p>
      <w:pPr>
        <w:spacing w:after="0" w:line="198" w:lineRule="exact"/>
        <w:rPr>
          <w:rFonts w:ascii="Arial" w:cs="Arial" w:eastAsia="Arial" w:hAnsi="Arial"/>
          <w:sz w:val="14"/>
          <w:szCs w:val="14"/>
          <w:color w:val="auto"/>
        </w:rPr>
      </w:pPr>
    </w:p>
    <w:p>
      <w:pPr>
        <w:ind w:left="-100" w:right="220" w:firstLine="701"/>
        <w:spacing w:after="0" w:line="270" w:lineRule="auto"/>
        <w:tabs>
          <w:tab w:leader="none" w:pos="906" w:val="left"/>
        </w:tabs>
        <w:numPr>
          <w:ilvl w:val="1"/>
          <w:numId w:val="247"/>
        </w:numPr>
        <w:rPr>
          <w:rFonts w:ascii="Arial" w:cs="Arial" w:eastAsia="Arial" w:hAnsi="Arial"/>
          <w:sz w:val="14"/>
          <w:szCs w:val="14"/>
          <w:color w:val="auto"/>
        </w:rPr>
      </w:pPr>
      <w:r>
        <w:rPr>
          <w:rFonts w:ascii="Arial" w:cs="Arial" w:eastAsia="Arial" w:hAnsi="Arial"/>
          <w:sz w:val="14"/>
          <w:szCs w:val="14"/>
          <w:i w:val="1"/>
          <w:iCs w:val="1"/>
          <w:color w:val="auto"/>
        </w:rPr>
        <w:t>Conversion Upon a Change of Control</w:t>
      </w:r>
      <w:r>
        <w:rPr>
          <w:rFonts w:ascii="Arial" w:cs="Arial" w:eastAsia="Arial" w:hAnsi="Arial"/>
          <w:sz w:val="14"/>
          <w:szCs w:val="14"/>
          <w:color w:val="auto"/>
        </w:rPr>
        <w:t>. The Series G Preferred Stock is not convertible into or exchangeable for any other property or securities of the Corporation, except as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in this Section 9.</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G-9</w:t>
      </w:r>
    </w:p>
    <w:p>
      <w:pPr>
        <w:sectPr>
          <w:pgSz w:w="11900" w:h="16838" w:orient="portrait"/>
          <w:cols w:equalWidth="0" w:num="1">
            <w:col w:w="10880"/>
          </w:cols>
          <w:pgMar w:left="500" w:top="903" w:right="519" w:bottom="1440" w:gutter="0" w:footer="0" w:header="0"/>
        </w:sectPr>
      </w:pPr>
    </w:p>
    <w:bookmarkStart w:id="326" w:name="page327"/>
    <w:bookmarkEnd w:id="326"/>
    <w:p>
      <w:pPr>
        <w:ind w:left="2" w:right="40" w:firstLine="323"/>
        <w:spacing w:after="0" w:line="291" w:lineRule="auto"/>
        <w:tabs>
          <w:tab w:leader="none" w:pos="623" w:val="left"/>
        </w:tabs>
        <w:numPr>
          <w:ilvl w:val="1"/>
          <w:numId w:val="248"/>
        </w:numPr>
        <w:rPr>
          <w:rFonts w:ascii="Arial" w:cs="Arial" w:eastAsia="Arial" w:hAnsi="Arial"/>
          <w:sz w:val="12"/>
          <w:szCs w:val="12"/>
          <w:color w:val="auto"/>
        </w:rPr>
      </w:pPr>
      <w:r>
        <w:rPr>
          <w:rFonts w:ascii="Arial" w:cs="Arial" w:eastAsia="Arial" w:hAnsi="Arial"/>
          <w:sz w:val="12"/>
          <w:szCs w:val="12"/>
          <w:color w:val="auto"/>
        </w:rPr>
        <w:t>Upon the occurrence of a Change of Control, each holder of Series G Preferred Stock will have the right, subject to the Special Redemption Right of the Corporation, to convert some or all of the shares of Series G Preferred Stock held by such holder (the “Change of Control Conversion Right”) on the relevant Change of Control Conversion Date (as defined herein) into a number of shares of Class A Common Stock (as defined in the Charter) per share of Series G Preferred Stock (the “Common Stock Conversion Consideration”) equal to the lesser of</w:t>
      </w:r>
    </w:p>
    <w:p>
      <w:pPr>
        <w:spacing w:after="0" w:line="1" w:lineRule="exact"/>
        <w:rPr>
          <w:rFonts w:ascii="Arial" w:cs="Arial" w:eastAsia="Arial" w:hAnsi="Arial"/>
          <w:sz w:val="12"/>
          <w:szCs w:val="12"/>
          <w:color w:val="auto"/>
        </w:rPr>
      </w:pPr>
    </w:p>
    <w:p>
      <w:pPr>
        <w:ind w:left="2" w:right="140" w:hanging="2"/>
        <w:spacing w:after="0" w:line="246" w:lineRule="auto"/>
        <w:tabs>
          <w:tab w:leader="none" w:pos="231" w:val="left"/>
        </w:tabs>
        <w:numPr>
          <w:ilvl w:val="0"/>
          <w:numId w:val="249"/>
        </w:numPr>
        <w:rPr>
          <w:rFonts w:ascii="Arial" w:cs="Arial" w:eastAsia="Arial" w:hAnsi="Arial"/>
          <w:sz w:val="14"/>
          <w:szCs w:val="14"/>
          <w:color w:val="auto"/>
        </w:rPr>
      </w:pPr>
      <w:r>
        <w:rPr>
          <w:rFonts w:ascii="Arial" w:cs="Arial" w:eastAsia="Arial" w:hAnsi="Arial"/>
          <w:sz w:val="14"/>
          <w:szCs w:val="14"/>
          <w:color w:val="auto"/>
        </w:rPr>
        <w:t>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G Preferred Stock dividend payment and prior to the corresponding Series G Dividend Payment Date, in which case the amount pursuant to this clause (i)(y) shall equal $0.00 in respect of such dividend payment to be made on such Series G Dividend Payment Date, by (ii) the Common Stock Price (as defined herein) (such quotient, the “Conversion Rate”), and (B) 3.2936 (the “Share Cap”), subject to the immediately succeeding paragraph.</w:t>
      </w:r>
    </w:p>
    <w:p>
      <w:pPr>
        <w:spacing w:after="0" w:line="63" w:lineRule="exact"/>
        <w:rPr>
          <w:sz w:val="20"/>
          <w:szCs w:val="20"/>
          <w:color w:val="auto"/>
        </w:rPr>
      </w:pPr>
    </w:p>
    <w:p>
      <w:pPr>
        <w:ind w:left="2" w:right="40" w:firstLine="325"/>
        <w:spacing w:after="0" w:line="308" w:lineRule="auto"/>
        <w:rPr>
          <w:sz w:val="20"/>
          <w:szCs w:val="20"/>
          <w:color w:val="auto"/>
        </w:rPr>
      </w:pPr>
      <w:r>
        <w:rPr>
          <w:rFonts w:ascii="Arial" w:cs="Arial" w:eastAsia="Arial" w:hAnsi="Arial"/>
          <w:sz w:val="12"/>
          <w:szCs w:val="12"/>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28" w:lineRule="exact"/>
        <w:rPr>
          <w:sz w:val="20"/>
          <w:szCs w:val="20"/>
          <w:color w:val="auto"/>
        </w:rPr>
      </w:pPr>
    </w:p>
    <w:p>
      <w:pPr>
        <w:ind w:left="2" w:firstLine="325"/>
        <w:spacing w:after="0" w:line="269" w:lineRule="auto"/>
        <w:rPr>
          <w:sz w:val="20"/>
          <w:szCs w:val="20"/>
          <w:color w:val="auto"/>
        </w:rPr>
      </w:pPr>
      <w:r>
        <w:rPr>
          <w:rFonts w:ascii="Arial" w:cs="Arial" w:eastAsia="Arial" w:hAnsi="Arial"/>
          <w:sz w:val="13"/>
          <w:szCs w:val="13"/>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9,880,809 shares of Class A Common Stock (or equivalent Alternative Conversion Consideration, as applicable), subject to increase to the extent the underwriters’ over-allotment option to purchase additional Series G Preferred Stock in the initial public offering of Series G Preferred Stock is exercised, not to exceed 11,362,931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51" w:lineRule="exact"/>
        <w:rPr>
          <w:sz w:val="20"/>
          <w:szCs w:val="20"/>
          <w:color w:val="auto"/>
        </w:rPr>
      </w:pPr>
    </w:p>
    <w:p>
      <w:pPr>
        <w:ind w:left="2" w:right="200" w:firstLine="325"/>
        <w:spacing w:after="0" w:line="253" w:lineRule="auto"/>
        <w:rPr>
          <w:sz w:val="20"/>
          <w:szCs w:val="20"/>
          <w:color w:val="auto"/>
        </w:rPr>
      </w:pPr>
      <w:r>
        <w:rPr>
          <w:rFonts w:ascii="Arial" w:cs="Arial" w:eastAsia="Arial" w:hAnsi="Arial"/>
          <w:sz w:val="14"/>
          <w:szCs w:val="14"/>
          <w:color w:val="auto"/>
        </w:rPr>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G Preferred Stock shall be entitled thereafter to convert (subject to the Corporation’s Special Redemption Right) such Series G Preferred Stock not into Class A Common Stock but solely into the kind and amount of Alternative Form Consideration</w:t>
      </w:r>
    </w:p>
    <w:p>
      <w:pPr>
        <w:spacing w:after="0" w:line="81" w:lineRule="exact"/>
        <w:rPr>
          <w:sz w:val="20"/>
          <w:szCs w:val="20"/>
          <w:color w:val="auto"/>
        </w:rPr>
      </w:pPr>
    </w:p>
    <w:p>
      <w:pPr>
        <w:jc w:val="center"/>
        <w:ind w:right="278"/>
        <w:spacing w:after="0"/>
        <w:rPr>
          <w:sz w:val="20"/>
          <w:szCs w:val="20"/>
          <w:color w:val="auto"/>
        </w:rPr>
      </w:pPr>
      <w:r>
        <w:rPr>
          <w:rFonts w:ascii="Arial" w:cs="Arial" w:eastAsia="Arial" w:hAnsi="Arial"/>
          <w:sz w:val="14"/>
          <w:szCs w:val="14"/>
          <w:color w:val="auto"/>
        </w:rPr>
        <w:t>G-10</w:t>
      </w:r>
    </w:p>
    <w:p>
      <w:pPr>
        <w:sectPr>
          <w:pgSz w:w="11900" w:h="16838" w:orient="portrait"/>
          <w:cols w:equalWidth="0" w:num="1">
            <w:col w:w="10682"/>
          </w:cols>
          <w:pgMar w:left="738" w:top="821" w:right="479" w:bottom="1440" w:gutter="0" w:footer="0" w:header="0"/>
        </w:sectPr>
      </w:pPr>
    </w:p>
    <w:bookmarkStart w:id="327" w:name="page328"/>
    <w:bookmarkEnd w:id="327"/>
    <w:p>
      <w:pPr>
        <w:spacing w:after="0" w:line="286" w:lineRule="auto"/>
        <w:rPr>
          <w:sz w:val="20"/>
          <w:szCs w:val="20"/>
          <w:color w:val="auto"/>
        </w:rPr>
      </w:pPr>
      <w:r>
        <w:rPr>
          <w:rFonts w:ascii="Arial" w:cs="Arial" w:eastAsia="Arial" w:hAnsi="Arial"/>
          <w:sz w:val="13"/>
          <w:szCs w:val="13"/>
          <w:color w:val="auto"/>
        </w:rPr>
        <w:t>which the holder of Series G Preferred Stock would have owned or been entitled to receive upon such Change of Control as if such holder of Series G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50" w:lineRule="exact"/>
        <w:rPr>
          <w:sz w:val="20"/>
          <w:szCs w:val="20"/>
          <w:color w:val="auto"/>
        </w:rPr>
      </w:pPr>
    </w:p>
    <w:p>
      <w:pPr>
        <w:ind w:right="240" w:firstLine="325"/>
        <w:spacing w:after="0" w:line="320" w:lineRule="auto"/>
        <w:rPr>
          <w:sz w:val="20"/>
          <w:szCs w:val="20"/>
          <w:color w:val="auto"/>
        </w:rPr>
      </w:pPr>
      <w:r>
        <w:rPr>
          <w:rFonts w:ascii="Arial" w:cs="Arial" w:eastAsia="Arial" w:hAnsi="Arial"/>
          <w:sz w:val="12"/>
          <w:szCs w:val="12"/>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21" w:lineRule="exact"/>
        <w:rPr>
          <w:sz w:val="20"/>
          <w:szCs w:val="20"/>
          <w:color w:val="auto"/>
        </w:rPr>
      </w:pPr>
    </w:p>
    <w:p>
      <w:pPr>
        <w:ind w:right="40" w:firstLine="325"/>
        <w:spacing w:after="0" w:line="274" w:lineRule="auto"/>
        <w:rPr>
          <w:sz w:val="20"/>
          <w:szCs w:val="20"/>
          <w:color w:val="auto"/>
        </w:rPr>
      </w:pPr>
      <w:r>
        <w:rPr>
          <w:rFonts w:ascii="Arial" w:cs="Arial" w:eastAsia="Arial" w:hAnsi="Arial"/>
          <w:sz w:val="13"/>
          <w:szCs w:val="13"/>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47" w:lineRule="exact"/>
        <w:rPr>
          <w:sz w:val="20"/>
          <w:szCs w:val="20"/>
          <w:color w:val="auto"/>
        </w:rPr>
      </w:pPr>
    </w:p>
    <w:p>
      <w:pPr>
        <w:ind w:firstLine="323"/>
        <w:spacing w:after="0" w:line="270" w:lineRule="auto"/>
        <w:tabs>
          <w:tab w:leader="none" w:pos="629" w:val="left"/>
        </w:tabs>
        <w:numPr>
          <w:ilvl w:val="0"/>
          <w:numId w:val="250"/>
        </w:numPr>
        <w:rPr>
          <w:rFonts w:ascii="Arial" w:cs="Arial" w:eastAsia="Arial" w:hAnsi="Arial"/>
          <w:sz w:val="14"/>
          <w:szCs w:val="14"/>
          <w:color w:val="auto"/>
        </w:rPr>
      </w:pPr>
      <w:r>
        <w:rPr>
          <w:rFonts w:ascii="Arial" w:cs="Arial" w:eastAsia="Arial" w:hAnsi="Arial"/>
          <w:sz w:val="14"/>
          <w:szCs w:val="14"/>
          <w:color w:val="auto"/>
        </w:rPr>
        <w:t>No fractional shares of Class A Common Stock shall be issued upon the conversion of Series G Preferred Stock. In lieu of fractional shares, holders shall be entitled to receive the cash value of such fractional shares based on the Common Stock Price.</w:t>
      </w:r>
    </w:p>
    <w:p>
      <w:pPr>
        <w:spacing w:after="0" w:line="47" w:lineRule="exact"/>
        <w:rPr>
          <w:rFonts w:ascii="Arial" w:cs="Arial" w:eastAsia="Arial" w:hAnsi="Arial"/>
          <w:sz w:val="14"/>
          <w:szCs w:val="14"/>
          <w:color w:val="auto"/>
        </w:rPr>
      </w:pPr>
    </w:p>
    <w:p>
      <w:pPr>
        <w:ind w:right="20" w:firstLine="323"/>
        <w:spacing w:after="0" w:line="247" w:lineRule="auto"/>
        <w:tabs>
          <w:tab w:leader="none" w:pos="619" w:val="left"/>
        </w:tabs>
        <w:numPr>
          <w:ilvl w:val="0"/>
          <w:numId w:val="250"/>
        </w:numPr>
        <w:rPr>
          <w:rFonts w:ascii="Arial" w:cs="Arial" w:eastAsia="Arial" w:hAnsi="Arial"/>
          <w:sz w:val="14"/>
          <w:szCs w:val="14"/>
          <w:color w:val="auto"/>
        </w:rPr>
      </w:pPr>
      <w:r>
        <w:rPr>
          <w:rFonts w:ascii="Arial" w:cs="Arial" w:eastAsia="Arial" w:hAnsi="Arial"/>
          <w:sz w:val="14"/>
          <w:szCs w:val="14"/>
          <w:color w:val="auto"/>
        </w:rPr>
        <w:t>Within 15 days following the occurrence of a Change of Control, the Corporation shall provide to holders of Series G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G Preferred Stock except as to the holder to whom notice was defective or not given. Each notice shall state the following: (i) the events constituting the Change of Control; (ii) the date of the Change of Control; (iii) the last date on which the holders of Series G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G Preferred Stock; (vii) the name and address of the paying agent and the conversion agent; and (viii) the procedures that the holders of Series G Preferred Stock must follow to exercise the Change of Control Conversion Right.</w:t>
      </w:r>
    </w:p>
    <w:p>
      <w:pPr>
        <w:spacing w:after="0" w:line="89"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G-11</w:t>
      </w:r>
    </w:p>
    <w:p>
      <w:pPr>
        <w:sectPr>
          <w:pgSz w:w="11900" w:h="16838" w:orient="portrait"/>
          <w:cols w:equalWidth="0" w:num="1">
            <w:col w:w="10640"/>
          </w:cols>
          <w:pgMar w:left="740" w:top="903" w:right="519" w:bottom="1440" w:gutter="0" w:footer="0" w:header="0"/>
        </w:sectPr>
      </w:pPr>
    </w:p>
    <w:bookmarkStart w:id="328" w:name="page329"/>
    <w:bookmarkEnd w:id="328"/>
    <w:p>
      <w:pPr>
        <w:ind w:left="220" w:right="140" w:firstLine="323"/>
        <w:spacing w:after="0" w:line="253" w:lineRule="auto"/>
        <w:tabs>
          <w:tab w:leader="none" w:pos="846" w:val="left"/>
        </w:tabs>
        <w:numPr>
          <w:ilvl w:val="0"/>
          <w:numId w:val="251"/>
        </w:numPr>
        <w:rPr>
          <w:rFonts w:ascii="Arial" w:cs="Arial" w:eastAsia="Arial" w:hAnsi="Arial"/>
          <w:sz w:val="14"/>
          <w:szCs w:val="14"/>
          <w:color w:val="auto"/>
        </w:rPr>
      </w:pPr>
      <w:r>
        <w:rPr>
          <w:rFonts w:ascii="Arial" w:cs="Arial" w:eastAsia="Arial" w:hAnsi="Arial"/>
          <w:sz w:val="14"/>
          <w:szCs w:val="14"/>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G Preferred Stock.</w:t>
      </w:r>
    </w:p>
    <w:p>
      <w:pPr>
        <w:spacing w:after="0" w:line="57" w:lineRule="exact"/>
        <w:rPr>
          <w:rFonts w:ascii="Arial" w:cs="Arial" w:eastAsia="Arial" w:hAnsi="Arial"/>
          <w:sz w:val="14"/>
          <w:szCs w:val="14"/>
          <w:color w:val="auto"/>
        </w:rPr>
      </w:pPr>
    </w:p>
    <w:p>
      <w:pPr>
        <w:ind w:left="220" w:firstLine="323"/>
        <w:spacing w:after="0" w:line="270" w:lineRule="auto"/>
        <w:tabs>
          <w:tab w:leader="none" w:pos="841" w:val="left"/>
        </w:tabs>
        <w:numPr>
          <w:ilvl w:val="0"/>
          <w:numId w:val="251"/>
        </w:numPr>
        <w:rPr>
          <w:rFonts w:ascii="Arial" w:cs="Arial" w:eastAsia="Arial" w:hAnsi="Arial"/>
          <w:sz w:val="13"/>
          <w:szCs w:val="13"/>
          <w:color w:val="auto"/>
        </w:rPr>
      </w:pPr>
      <w:r>
        <w:rPr>
          <w:rFonts w:ascii="Arial" w:cs="Arial" w:eastAsia="Arial" w:hAnsi="Arial"/>
          <w:sz w:val="13"/>
          <w:szCs w:val="13"/>
          <w:color w:val="auto"/>
        </w:rPr>
        <w:t>In order to exercise the Change of Control Conversion Right, a holder of Series G Preferred Stock shall be required to deliver, on or before the close of business on the Change of Control Conversion Date, the certificates (if any) evidencing the shares of Series G Preferred Stock to be converted, duly endorsed for transfer, together with a written conversion notice completed, to the transfer agent. Such conversion notice shall state: (i) the relevant Change of Control Conversion Date; (ii) the number of shares of Series G Preferred Stock to be converted; and (iii) that the shares of Series G Preferred Stock are to be converted pursuant to the applicable provisions of the Series G Preferred Stock. Notwithstanding the foregoing, if the shares of Series G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50" w:lineRule="exact"/>
        <w:rPr>
          <w:rFonts w:ascii="Arial" w:cs="Arial" w:eastAsia="Arial" w:hAnsi="Arial"/>
          <w:sz w:val="13"/>
          <w:szCs w:val="13"/>
          <w:color w:val="auto"/>
        </w:rPr>
      </w:pPr>
    </w:p>
    <w:p>
      <w:pPr>
        <w:ind w:left="220" w:right="80" w:firstLine="323"/>
        <w:spacing w:after="0" w:line="274" w:lineRule="auto"/>
        <w:tabs>
          <w:tab w:leader="none" w:pos="826" w:val="left"/>
        </w:tabs>
        <w:numPr>
          <w:ilvl w:val="0"/>
          <w:numId w:val="251"/>
        </w:numPr>
        <w:rPr>
          <w:rFonts w:ascii="Arial" w:cs="Arial" w:eastAsia="Arial" w:hAnsi="Arial"/>
          <w:sz w:val="13"/>
          <w:szCs w:val="13"/>
          <w:color w:val="auto"/>
        </w:rPr>
      </w:pPr>
      <w:r>
        <w:rPr>
          <w:rFonts w:ascii="Arial" w:cs="Arial" w:eastAsia="Arial" w:hAnsi="Arial"/>
          <w:sz w:val="13"/>
          <w:szCs w:val="13"/>
          <w:color w:val="auto"/>
        </w:rPr>
        <w:t>Holders of Series G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G Preferred Stock; (ii) if certificated shares of Series G Preferred Stock have been issued, the certificate numbers of the withdrawn shares of Series G Preferred Stock; and (iii) the number of shares of Series G Preferred Stock, if any, which remain subject to the conversion notice. Notwithstanding the foregoing, if the shares of Series G Preferred Stock are held in global form, the notice of withdrawal shall comply with applicable DTC procedures.</w:t>
      </w:r>
    </w:p>
    <w:p>
      <w:pPr>
        <w:spacing w:after="0" w:line="47" w:lineRule="exact"/>
        <w:rPr>
          <w:rFonts w:ascii="Arial" w:cs="Arial" w:eastAsia="Arial" w:hAnsi="Arial"/>
          <w:sz w:val="13"/>
          <w:szCs w:val="13"/>
          <w:color w:val="auto"/>
        </w:rPr>
      </w:pPr>
    </w:p>
    <w:p>
      <w:pPr>
        <w:ind w:left="220" w:right="100" w:firstLine="323"/>
        <w:spacing w:after="0" w:line="272" w:lineRule="auto"/>
        <w:tabs>
          <w:tab w:leader="none" w:pos="849" w:val="left"/>
        </w:tabs>
        <w:numPr>
          <w:ilvl w:val="0"/>
          <w:numId w:val="251"/>
        </w:numPr>
        <w:rPr>
          <w:rFonts w:ascii="Arial" w:cs="Arial" w:eastAsia="Arial" w:hAnsi="Arial"/>
          <w:sz w:val="13"/>
          <w:szCs w:val="13"/>
          <w:color w:val="auto"/>
        </w:rPr>
      </w:pPr>
      <w:r>
        <w:rPr>
          <w:rFonts w:ascii="Arial" w:cs="Arial" w:eastAsia="Arial" w:hAnsi="Arial"/>
          <w:sz w:val="13"/>
          <w:szCs w:val="13"/>
          <w:color w:val="auto"/>
        </w:rPr>
        <w:t>Series G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ind w:left="220" w:right="100" w:firstLine="323"/>
        <w:spacing w:after="0" w:line="246" w:lineRule="auto"/>
        <w:tabs>
          <w:tab w:leader="none" w:pos="849"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In connection with the exercise of any Change of Control Conversion Right, the Corporation will comply with all U.S. federal and state securities laws and stock exchange rules in connection with any conversion of Series G Preferred Stock into Class A Common Stock. Notwithstanding anything to the contrary contained herein, no holder of Series G Preferred Stock will be entitled to convert such Series G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204" w:lineRule="exact"/>
        <w:rPr>
          <w:sz w:val="20"/>
          <w:szCs w:val="20"/>
          <w:color w:val="auto"/>
        </w:rPr>
      </w:pPr>
    </w:p>
    <w:p>
      <w:pPr>
        <w:ind w:left="-120" w:right="140" w:firstLine="701"/>
        <w:spacing w:after="0" w:line="270" w:lineRule="auto"/>
        <w:tabs>
          <w:tab w:leader="none" w:pos="956" w:val="left"/>
        </w:tabs>
        <w:numPr>
          <w:ilvl w:val="0"/>
          <w:numId w:val="252"/>
        </w:numPr>
        <w:rPr>
          <w:rFonts w:ascii="Arial" w:cs="Arial" w:eastAsia="Arial" w:hAnsi="Arial"/>
          <w:sz w:val="14"/>
          <w:szCs w:val="14"/>
          <w:color w:val="auto"/>
        </w:rPr>
      </w:pPr>
      <w:r>
        <w:rPr>
          <w:rFonts w:ascii="Arial" w:cs="Arial" w:eastAsia="Arial" w:hAnsi="Arial"/>
          <w:sz w:val="14"/>
          <w:szCs w:val="14"/>
          <w:i w:val="1"/>
          <w:iCs w:val="1"/>
          <w:color w:val="auto"/>
        </w:rPr>
        <w:t>Record Holders</w:t>
      </w:r>
      <w:r>
        <w:rPr>
          <w:rFonts w:ascii="Arial" w:cs="Arial" w:eastAsia="Arial" w:hAnsi="Arial"/>
          <w:sz w:val="14"/>
          <w:szCs w:val="14"/>
          <w:color w:val="auto"/>
        </w:rPr>
        <w:t>. The Corporation and the transfer agent for the Series G Preferred Stock may deem and treat the record holder of any Series G Preferred Stock as the true and</w:t>
      </w:r>
      <w:r>
        <w:rPr>
          <w:rFonts w:ascii="Arial" w:cs="Arial" w:eastAsia="Arial" w:hAnsi="Arial"/>
          <w:sz w:val="14"/>
          <w:szCs w:val="14"/>
          <w:i w:val="1"/>
          <w:iCs w:val="1"/>
          <w:color w:val="auto"/>
        </w:rPr>
        <w:t xml:space="preserve"> </w:t>
      </w:r>
      <w:r>
        <w:rPr>
          <w:rFonts w:ascii="Arial" w:cs="Arial" w:eastAsia="Arial" w:hAnsi="Arial"/>
          <w:sz w:val="14"/>
          <w:szCs w:val="14"/>
          <w:color w:val="auto"/>
        </w:rPr>
        <w:t>lawful owner thereof for all purposes, and neither the Corporation nor the transfer agent shall be affected by any notice to the contrary.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G-12</w:t>
      </w:r>
    </w:p>
    <w:p>
      <w:pPr>
        <w:sectPr>
          <w:pgSz w:w="11900" w:h="16838" w:orient="portrait"/>
          <w:cols w:equalWidth="0" w:num="1">
            <w:col w:w="10860"/>
          </w:cols>
          <w:pgMar w:left="520" w:top="821" w:right="519" w:bottom="1440" w:gutter="0" w:footer="0" w:header="0"/>
        </w:sectPr>
      </w:pPr>
    </w:p>
    <w:bookmarkStart w:id="329" w:name="page330"/>
    <w:bookmarkEnd w:id="329"/>
    <w:p>
      <w:pPr>
        <w:jc w:val="center"/>
        <w:ind w:right="-59"/>
        <w:spacing w:after="0"/>
        <w:rPr>
          <w:sz w:val="20"/>
          <w:szCs w:val="20"/>
          <w:color w:val="auto"/>
        </w:rPr>
      </w:pPr>
      <w:r>
        <w:rPr>
          <w:rFonts w:ascii="Arial" w:cs="Arial" w:eastAsia="Arial" w:hAnsi="Arial"/>
          <w:sz w:val="14"/>
          <w:szCs w:val="14"/>
          <w:b w:val="1"/>
          <w:bCs w:val="1"/>
          <w:color w:val="auto"/>
        </w:rPr>
        <w:t>EXHIBIT H</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SERIES H PREFERRED STOCK</w:t>
      </w:r>
    </w:p>
    <w:p>
      <w:pPr>
        <w:spacing w:after="0" w:line="201" w:lineRule="exact"/>
        <w:rPr>
          <w:sz w:val="20"/>
          <w:szCs w:val="20"/>
          <w:color w:val="auto"/>
        </w:rPr>
      </w:pPr>
    </w:p>
    <w:p>
      <w:pPr>
        <w:ind w:right="60" w:firstLine="702"/>
        <w:spacing w:after="0" w:line="250" w:lineRule="auto"/>
        <w:rPr>
          <w:sz w:val="20"/>
          <w:szCs w:val="20"/>
          <w:color w:val="auto"/>
        </w:rPr>
      </w:pPr>
      <w:r>
        <w:rPr>
          <w:rFonts w:ascii="Arial" w:cs="Arial" w:eastAsia="Arial" w:hAnsi="Arial"/>
          <w:sz w:val="14"/>
          <w:szCs w:val="14"/>
          <w:color w:val="auto"/>
        </w:rPr>
        <w:t>Under a power contained in the charter (the “Charter”) of Colony NorthStar, Inc., a Maryland corporation (the “Corporation”), the Board of Directors of the Corporation (the “Board”) classified and designated 11,500,000 shares of the Preferred Stock (as defined in the Charter), as shares of 7.125% Series H Cumulative Redeemable Perpetual Preferred Stock, liquidation preference $25.00 per share,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7.125% Series H Cumulative Redeemable Per</w:t>
      </w:r>
      <w:r>
        <w:rPr>
          <w:rFonts w:ascii="Arial" w:cs="Arial" w:eastAsia="Arial" w:hAnsi="Arial"/>
          <w:sz w:val="14"/>
          <w:szCs w:val="14"/>
          <w:b w:val="1"/>
          <w:bCs w:val="1"/>
          <w:color w:val="auto"/>
        </w:rPr>
        <w:t>petual Preferred Stock</w:t>
      </w:r>
    </w:p>
    <w:p>
      <w:pPr>
        <w:spacing w:after="0" w:line="206" w:lineRule="exact"/>
        <w:rPr>
          <w:sz w:val="20"/>
          <w:szCs w:val="20"/>
          <w:color w:val="auto"/>
        </w:rPr>
      </w:pPr>
    </w:p>
    <w:p>
      <w:pPr>
        <w:ind w:right="600" w:firstLine="701"/>
        <w:spacing w:after="0" w:line="356" w:lineRule="auto"/>
        <w:tabs>
          <w:tab w:leader="none" w:pos="1006" w:val="left"/>
        </w:tabs>
        <w:numPr>
          <w:ilvl w:val="0"/>
          <w:numId w:val="253"/>
        </w:numPr>
        <w:rPr>
          <w:rFonts w:ascii="Arial" w:cs="Arial" w:eastAsia="Arial" w:hAnsi="Arial"/>
          <w:sz w:val="12"/>
          <w:szCs w:val="12"/>
          <w:color w:val="auto"/>
        </w:rPr>
      </w:pPr>
      <w:r>
        <w:rPr>
          <w:rFonts w:ascii="Arial" w:cs="Arial" w:eastAsia="Arial" w:hAnsi="Arial"/>
          <w:sz w:val="12"/>
          <w:szCs w:val="12"/>
          <w:i w:val="1"/>
          <w:iCs w:val="1"/>
          <w:color w:val="auto"/>
        </w:rPr>
        <w:t>Designation and Number</w:t>
      </w:r>
      <w:r>
        <w:rPr>
          <w:rFonts w:ascii="Arial" w:cs="Arial" w:eastAsia="Arial" w:hAnsi="Arial"/>
          <w:sz w:val="12"/>
          <w:szCs w:val="12"/>
          <w:color w:val="auto"/>
        </w:rPr>
        <w:t>. A series of Preferred Stock, designated as the “7.125% Series H Cumulative Redeemable Perpetual Preferred Stock” (the “Series H Preferred</w:t>
      </w:r>
      <w:r>
        <w:rPr>
          <w:rFonts w:ascii="Arial" w:cs="Arial" w:eastAsia="Arial" w:hAnsi="Arial"/>
          <w:sz w:val="12"/>
          <w:szCs w:val="12"/>
          <w:i w:val="1"/>
          <w:iCs w:val="1"/>
          <w:color w:val="auto"/>
        </w:rPr>
        <w:t xml:space="preserve"> </w:t>
      </w:r>
      <w:r>
        <w:rPr>
          <w:rFonts w:ascii="Arial" w:cs="Arial" w:eastAsia="Arial" w:hAnsi="Arial"/>
          <w:sz w:val="12"/>
          <w:szCs w:val="12"/>
          <w:color w:val="auto"/>
        </w:rPr>
        <w:t>Stock”), is hereby established. The par value of the Series H Preferred Stock is $0.01 per share. The number of shares of the Series H Preferred Stock shall be 11,500,000.</w:t>
      </w:r>
    </w:p>
    <w:p>
      <w:pPr>
        <w:spacing w:after="0" w:line="128" w:lineRule="exact"/>
        <w:rPr>
          <w:rFonts w:ascii="Arial" w:cs="Arial" w:eastAsia="Arial" w:hAnsi="Arial"/>
          <w:sz w:val="12"/>
          <w:szCs w:val="12"/>
          <w:color w:val="auto"/>
        </w:rPr>
      </w:pPr>
    </w:p>
    <w:p>
      <w:pPr>
        <w:ind w:firstLine="701"/>
        <w:spacing w:after="0" w:line="266" w:lineRule="auto"/>
        <w:tabs>
          <w:tab w:leader="none" w:pos="1006" w:val="left"/>
        </w:tabs>
        <w:numPr>
          <w:ilvl w:val="0"/>
          <w:numId w:val="253"/>
        </w:numPr>
        <w:rPr>
          <w:rFonts w:ascii="Arial" w:cs="Arial" w:eastAsia="Arial" w:hAnsi="Arial"/>
          <w:sz w:val="13"/>
          <w:szCs w:val="13"/>
          <w:color w:val="auto"/>
        </w:rPr>
      </w:pPr>
      <w:r>
        <w:rPr>
          <w:rFonts w:ascii="Arial" w:cs="Arial" w:eastAsia="Arial" w:hAnsi="Arial"/>
          <w:sz w:val="13"/>
          <w:szCs w:val="13"/>
          <w:i w:val="1"/>
          <w:iCs w:val="1"/>
          <w:color w:val="auto"/>
        </w:rPr>
        <w:t>Ranking</w:t>
      </w:r>
      <w:r>
        <w:rPr>
          <w:rFonts w:ascii="Arial" w:cs="Arial" w:eastAsia="Arial" w:hAnsi="Arial"/>
          <w:sz w:val="13"/>
          <w:szCs w:val="13"/>
          <w:color w:val="auto"/>
        </w:rPr>
        <w:t>. The Series H Preferred Stock will, with respect to rights to receive dividends and to participate in distributions or payments upon liquidation, dissolution or winding up</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H Preferred Stock (“Junior Stock”), (b) on a parity with the 8.75% Series A Cumulative Redeemable Perpetual Preferred Stock, liquidation preference $25.00 per share, the 8.25% Series B Cumulative Redeemable Perpetual Preferred Stock, liquidation preference $25.00 per share, the 8.875% Series C Cumulative Redeemable Perpetual Preferred Stock, liquidation preference $25.00 per share, the 8.500% Series D Cumulative Redeemable Perpetual Preferred Stock, liquidation preference $25.00 per share, the 8.75% Series E Cumulative Redeemable Perpetual Preferred Stock, liquidation preference $25.00 per share, the 8.50% Series F Cumulative Redeemable Perpetual Preferred Stock, liquidation preference $25.00 per share, and the 7.50% Series G Cumulative Redeemable Perpetual Preferred Stock, liquidation preference $25.00 per share and any equity securities the Corporation may authorize or issue in the future that, pursuant to the terms thereof, rank on parity with the Series H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H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H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ectPr>
          <w:pgSz w:w="11900" w:h="16838" w:orient="portrait"/>
          <w:cols w:equalWidth="0" w:num="1">
            <w:col w:w="11040"/>
          </w:cols>
          <w:pgMar w:left="400" w:top="887" w:right="459" w:bottom="1440" w:gutter="0" w:footer="0" w:header="0"/>
        </w:sectPr>
      </w:pPr>
    </w:p>
    <w:bookmarkStart w:id="330" w:name="page331"/>
    <w:bookmarkEnd w:id="330"/>
    <w:p>
      <w:pPr>
        <w:ind w:left="640" w:hanging="299"/>
        <w:spacing w:after="0"/>
        <w:tabs>
          <w:tab w:leader="none" w:pos="640" w:val="left"/>
        </w:tabs>
        <w:numPr>
          <w:ilvl w:val="1"/>
          <w:numId w:val="254"/>
        </w:numPr>
        <w:rPr>
          <w:rFonts w:ascii="Arial" w:cs="Arial" w:eastAsia="Arial" w:hAnsi="Arial"/>
          <w:sz w:val="14"/>
          <w:szCs w:val="14"/>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w:t>
      </w:r>
    </w:p>
    <w:p>
      <w:pPr>
        <w:spacing w:after="0" w:line="96" w:lineRule="exact"/>
        <w:rPr>
          <w:rFonts w:ascii="Arial" w:cs="Arial" w:eastAsia="Arial" w:hAnsi="Arial"/>
          <w:sz w:val="14"/>
          <w:szCs w:val="14"/>
          <w:color w:val="auto"/>
        </w:rPr>
      </w:pPr>
    </w:p>
    <w:p>
      <w:pPr>
        <w:jc w:val="both"/>
        <w:ind w:right="260" w:firstLine="323"/>
        <w:spacing w:after="0" w:line="250" w:lineRule="auto"/>
        <w:tabs>
          <w:tab w:leader="none" w:pos="622" w:val="left"/>
        </w:tabs>
        <w:numPr>
          <w:ilvl w:val="0"/>
          <w:numId w:val="255"/>
        </w:numPr>
        <w:rPr>
          <w:rFonts w:ascii="Arial" w:cs="Arial" w:eastAsia="Arial" w:hAnsi="Arial"/>
          <w:sz w:val="14"/>
          <w:szCs w:val="14"/>
          <w:color w:val="auto"/>
        </w:rPr>
      </w:pPr>
      <w:r>
        <w:rPr>
          <w:rFonts w:ascii="Arial" w:cs="Arial" w:eastAsia="Arial" w:hAnsi="Arial"/>
          <w:sz w:val="14"/>
          <w:szCs w:val="14"/>
          <w:color w:val="auto"/>
        </w:rPr>
        <w:t>Holders of the then outstanding shares of Series H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H Preferred Stock (equivalent to $1.78125 per annum per share).</w:t>
      </w:r>
    </w:p>
    <w:p>
      <w:pPr>
        <w:ind w:firstLine="323"/>
        <w:spacing w:after="0" w:line="288" w:lineRule="auto"/>
        <w:tabs>
          <w:tab w:leader="none" w:pos="629" w:val="left"/>
        </w:tabs>
        <w:numPr>
          <w:ilvl w:val="0"/>
          <w:numId w:val="255"/>
        </w:numPr>
        <w:rPr>
          <w:rFonts w:ascii="Arial" w:cs="Arial" w:eastAsia="Arial" w:hAnsi="Arial"/>
          <w:sz w:val="12"/>
          <w:szCs w:val="12"/>
          <w:color w:val="auto"/>
        </w:rPr>
      </w:pPr>
      <w:r>
        <w:rPr>
          <w:rFonts w:ascii="Arial" w:cs="Arial" w:eastAsia="Arial" w:hAnsi="Arial"/>
          <w:sz w:val="12"/>
          <w:szCs w:val="12"/>
          <w:color w:val="auto"/>
        </w:rPr>
        <w:t>Dividends on each outstanding share of Series H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H Dividend Payment Date”) at the then applicable annual rate; provided, however, that if any Series H Dividend Payment Date falls on any day other than a Business Day (as hereinafter defined), the dividend that would otherwise have been payable on such Series H Dividend Payment Date may be paid on the next succeeding Business Day with the same force and effect as if paid on such Series H Dividend Payment Date, and no interest or other sums shall accrue on the amount so payable from such Series H Dividend Payment Date to such next succeeding Business Day. Each dividend is payable to holders of record as they appear on the stock records of the Corporation at the close of business on the record date, not exceeding 30 days preceding the applicable Series H Dividend Payment Date, as shall be fixed by the Board. Dividends shall accumulate from January 15, 2017 or the most recent Series H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H Preferred Stock that may be in arrears. Holders of the Series H Preferred Stock shall not be entitled to any dividends, whether payable in cash, property or stock, in excess of full cumulative dividends, as herein provided, on the Series H Preferred Stock. Dividends payable on the Series H Preferred Stock for any period greater or less than a full dividend period will be computed on the basis of a 360-day year consisting of twelve 30-day months. Dividends payable on the Series H Preferred Stock for each full dividend period will be computed by dividing the applicable annual dividend rate by four. After full cumulative distributions on the Series H Preferred Stock have been paid, the holders of Series H Preferred Stock will not be entitled to any further distributions with respect to that dividend period.</w:t>
      </w:r>
    </w:p>
    <w:p>
      <w:pPr>
        <w:spacing w:after="0" w:line="31" w:lineRule="exact"/>
        <w:rPr>
          <w:rFonts w:ascii="Arial" w:cs="Arial" w:eastAsia="Arial" w:hAnsi="Arial"/>
          <w:sz w:val="12"/>
          <w:szCs w:val="12"/>
          <w:color w:val="auto"/>
        </w:rPr>
      </w:pPr>
    </w:p>
    <w:p>
      <w:pPr>
        <w:ind w:right="120" w:firstLine="323"/>
        <w:spacing w:after="0" w:line="249" w:lineRule="auto"/>
        <w:tabs>
          <w:tab w:leader="none" w:pos="621" w:val="left"/>
        </w:tabs>
        <w:numPr>
          <w:ilvl w:val="0"/>
          <w:numId w:val="255"/>
        </w:numPr>
        <w:rPr>
          <w:rFonts w:ascii="Arial" w:cs="Arial" w:eastAsia="Arial" w:hAnsi="Arial"/>
          <w:sz w:val="14"/>
          <w:szCs w:val="14"/>
          <w:color w:val="auto"/>
        </w:rPr>
      </w:pPr>
      <w:r>
        <w:rPr>
          <w:rFonts w:ascii="Arial" w:cs="Arial" w:eastAsia="Arial" w:hAnsi="Arial"/>
          <w:sz w:val="14"/>
          <w:szCs w:val="14"/>
          <w:color w:val="auto"/>
        </w:rPr>
        <w:t>So long as any shares of Series H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H Preferred Stock for all prior dividend periods. When dividends are not paid in full or a sum sufficient for such payment is not set apart, as aforesaid, all dividends authorized and declared upon the Series H Preferred Stock and all dividends authorized and declared upon any other series or class or classes of Parity Stock shall be authorized and declared ratably in proportion to the respective amounts of dividends accumulated and unpaid on the Series H Preferred Stock and such Parity Stock.</w:t>
      </w:r>
    </w:p>
    <w:p>
      <w:pPr>
        <w:spacing w:after="0" w:line="8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H-2</w:t>
      </w:r>
    </w:p>
    <w:p>
      <w:pPr>
        <w:sectPr>
          <w:pgSz w:w="11900" w:h="16838" w:orient="portrait"/>
          <w:cols w:equalWidth="0" w:num="1">
            <w:col w:w="10680"/>
          </w:cols>
          <w:pgMar w:left="740" w:top="809" w:right="479" w:bottom="1440" w:gutter="0" w:footer="0" w:header="0"/>
        </w:sectPr>
      </w:pPr>
    </w:p>
    <w:bookmarkStart w:id="331" w:name="page332"/>
    <w:bookmarkEnd w:id="331"/>
    <w:p>
      <w:pPr>
        <w:ind w:firstLine="323"/>
        <w:spacing w:after="0" w:line="269" w:lineRule="auto"/>
        <w:tabs>
          <w:tab w:leader="none" w:pos="629" w:val="left"/>
        </w:tabs>
        <w:numPr>
          <w:ilvl w:val="0"/>
          <w:numId w:val="256"/>
        </w:numPr>
        <w:rPr>
          <w:rFonts w:ascii="Arial" w:cs="Arial" w:eastAsia="Arial" w:hAnsi="Arial"/>
          <w:sz w:val="13"/>
          <w:szCs w:val="13"/>
          <w:color w:val="auto"/>
        </w:rPr>
      </w:pPr>
      <w:r>
        <w:rPr>
          <w:rFonts w:ascii="Arial" w:cs="Arial" w:eastAsia="Arial" w:hAnsi="Arial"/>
          <w:sz w:val="13"/>
          <w:szCs w:val="13"/>
          <w:color w:val="auto"/>
        </w:rPr>
        <w:t>So long as any shares of Series H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H Preferred Stock and any Parity Stock at the time such dividends are payable shall have been paid or set apart for payment for all past dividend periods with respect to the Series H Preferred Stock and all past dividend periods with respect to such Parity Stock.</w:t>
      </w:r>
    </w:p>
    <w:p>
      <w:pPr>
        <w:spacing w:after="0" w:line="51" w:lineRule="exact"/>
        <w:rPr>
          <w:rFonts w:ascii="Arial" w:cs="Arial" w:eastAsia="Arial" w:hAnsi="Arial"/>
          <w:sz w:val="13"/>
          <w:szCs w:val="13"/>
          <w:color w:val="auto"/>
        </w:rPr>
      </w:pPr>
    </w:p>
    <w:p>
      <w:pPr>
        <w:ind w:right="280" w:firstLine="323"/>
        <w:spacing w:after="0" w:line="270" w:lineRule="auto"/>
        <w:tabs>
          <w:tab w:leader="none" w:pos="613" w:val="left"/>
        </w:tabs>
        <w:numPr>
          <w:ilvl w:val="0"/>
          <w:numId w:val="256"/>
        </w:numPr>
        <w:rPr>
          <w:rFonts w:ascii="Arial" w:cs="Arial" w:eastAsia="Arial" w:hAnsi="Arial"/>
          <w:sz w:val="14"/>
          <w:szCs w:val="14"/>
          <w:color w:val="auto"/>
        </w:rPr>
      </w:pPr>
      <w:r>
        <w:rPr>
          <w:rFonts w:ascii="Arial" w:cs="Arial" w:eastAsia="Arial" w:hAnsi="Arial"/>
          <w:sz w:val="14"/>
          <w:szCs w:val="14"/>
          <w:color w:val="auto"/>
        </w:rPr>
        <w:t>Any dividend payment made on the Series H Preferred Stock, including any capital gains dividends, shall first be credited against the earliest accrued but unpaid dividend due with respect to such shares which remains payable.</w:t>
      </w:r>
    </w:p>
    <w:p>
      <w:pPr>
        <w:spacing w:after="0" w:line="47" w:lineRule="exact"/>
        <w:rPr>
          <w:rFonts w:ascii="Arial" w:cs="Arial" w:eastAsia="Arial" w:hAnsi="Arial"/>
          <w:sz w:val="14"/>
          <w:szCs w:val="14"/>
          <w:color w:val="auto"/>
        </w:rPr>
      </w:pPr>
    </w:p>
    <w:p>
      <w:pPr>
        <w:ind w:left="600" w:hanging="277"/>
        <w:spacing w:after="0"/>
        <w:tabs>
          <w:tab w:leader="none" w:pos="60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Except as provided herein, the Series H Preferred Stock shall not be entitled to participate in the earnings or assets of the Corporation.</w:t>
      </w:r>
    </w:p>
    <w:p>
      <w:pPr>
        <w:spacing w:after="0" w:line="96" w:lineRule="exact"/>
        <w:rPr>
          <w:rFonts w:ascii="Arial" w:cs="Arial" w:eastAsia="Arial" w:hAnsi="Arial"/>
          <w:sz w:val="14"/>
          <w:szCs w:val="14"/>
          <w:color w:val="auto"/>
        </w:rPr>
      </w:pPr>
    </w:p>
    <w:p>
      <w:pPr>
        <w:ind w:left="620" w:hanging="297"/>
        <w:spacing w:after="0"/>
        <w:tabs>
          <w:tab w:leader="none" w:pos="62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As used herein, the term “Business Day” shall mean any day, other than a Saturday or Sunday, that is neither a legal holiday nor a day on which banking institutions in New</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York, New York are authorized or required by law, regulation or executive order to close.</w:t>
      </w:r>
    </w:p>
    <w:p>
      <w:pPr>
        <w:spacing w:after="0" w:line="73" w:lineRule="exact"/>
        <w:rPr>
          <w:sz w:val="20"/>
          <w:szCs w:val="20"/>
          <w:color w:val="auto"/>
        </w:rPr>
      </w:pPr>
    </w:p>
    <w:p>
      <w:pPr>
        <w:ind w:right="360" w:firstLine="323"/>
        <w:spacing w:after="0" w:line="270" w:lineRule="auto"/>
        <w:tabs>
          <w:tab w:leader="none" w:pos="621" w:val="left"/>
        </w:tabs>
        <w:numPr>
          <w:ilvl w:val="0"/>
          <w:numId w:val="257"/>
        </w:numPr>
        <w:rPr>
          <w:rFonts w:ascii="Arial" w:cs="Arial" w:eastAsia="Arial" w:hAnsi="Arial"/>
          <w:sz w:val="14"/>
          <w:szCs w:val="14"/>
          <w:color w:val="auto"/>
        </w:rPr>
      </w:pPr>
      <w:r>
        <w:rPr>
          <w:rFonts w:ascii="Arial" w:cs="Arial" w:eastAsia="Arial" w:hAnsi="Arial"/>
          <w:sz w:val="14"/>
          <w:szCs w:val="14"/>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63" w:lineRule="exact"/>
        <w:rPr>
          <w:rFonts w:ascii="Arial" w:cs="Arial" w:eastAsia="Arial" w:hAnsi="Arial"/>
          <w:sz w:val="14"/>
          <w:szCs w:val="14"/>
          <w:color w:val="auto"/>
        </w:rPr>
      </w:pPr>
    </w:p>
    <w:p>
      <w:pPr>
        <w:ind w:left="640" w:hanging="299"/>
        <w:spacing w:after="0"/>
        <w:tabs>
          <w:tab w:leader="none" w:pos="640" w:val="left"/>
        </w:tabs>
        <w:numPr>
          <w:ilvl w:val="1"/>
          <w:numId w:val="257"/>
        </w:numPr>
        <w:rPr>
          <w:rFonts w:ascii="Arial" w:cs="Arial" w:eastAsia="Arial" w:hAnsi="Arial"/>
          <w:sz w:val="14"/>
          <w:szCs w:val="14"/>
          <w:color w:val="auto"/>
        </w:rPr>
      </w:pPr>
      <w:r>
        <w:rPr>
          <w:rFonts w:ascii="Arial" w:cs="Arial" w:eastAsia="Arial" w:hAnsi="Arial"/>
          <w:sz w:val="14"/>
          <w:szCs w:val="14"/>
          <w:i w:val="1"/>
          <w:iCs w:val="1"/>
          <w:color w:val="auto"/>
        </w:rPr>
        <w:t>Liquidation Preference</w:t>
      </w:r>
      <w:r>
        <w:rPr>
          <w:rFonts w:ascii="Arial" w:cs="Arial" w:eastAsia="Arial" w:hAnsi="Arial"/>
          <w:sz w:val="14"/>
          <w:szCs w:val="14"/>
          <w:color w:val="auto"/>
        </w:rPr>
        <w:t>.</w:t>
      </w:r>
    </w:p>
    <w:p>
      <w:pPr>
        <w:spacing w:after="0" w:line="85" w:lineRule="exact"/>
        <w:rPr>
          <w:sz w:val="20"/>
          <w:szCs w:val="20"/>
          <w:color w:val="auto"/>
        </w:rPr>
      </w:pPr>
    </w:p>
    <w:p>
      <w:pPr>
        <w:ind w:right="40" w:firstLine="323"/>
        <w:spacing w:after="0" w:line="299" w:lineRule="auto"/>
        <w:tabs>
          <w:tab w:leader="none" w:pos="621"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H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H Preferred Stock shall not be entitled to any further payment. If, upon any such liquidation, dissolution or winding up of the Corporation, the assets of the Corporation, or proceeds thereof, distributable among the holders of the Series H Preferred Stock shall be insufficient to pay in full the preferential amount aforesaid and liquidating payments on any other Parity Stock, then such assets, or the proceeds thereof, shall be distributed among the holders of such Series H Preferred Stock and any such other Parity Stock ratably in accordance</w:t>
      </w:r>
    </w:p>
    <w:p>
      <w:pPr>
        <w:spacing w:after="0" w:line="56"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H-3</w:t>
      </w:r>
    </w:p>
    <w:p>
      <w:pPr>
        <w:sectPr>
          <w:pgSz w:w="11900" w:h="16838" w:orient="portrait"/>
          <w:cols w:equalWidth="0" w:num="1">
            <w:col w:w="10680"/>
          </w:cols>
          <w:pgMar w:left="740" w:top="821" w:right="479" w:bottom="1440" w:gutter="0" w:footer="0" w:header="0"/>
        </w:sectPr>
      </w:pPr>
    </w:p>
    <w:bookmarkStart w:id="332" w:name="page333"/>
    <w:bookmarkEnd w:id="332"/>
    <w:p>
      <w:pPr>
        <w:ind w:right="240"/>
        <w:spacing w:after="0" w:line="286" w:lineRule="auto"/>
        <w:rPr>
          <w:sz w:val="20"/>
          <w:szCs w:val="20"/>
          <w:color w:val="auto"/>
        </w:rPr>
      </w:pPr>
      <w:r>
        <w:rPr>
          <w:rFonts w:ascii="Arial" w:cs="Arial" w:eastAsia="Arial" w:hAnsi="Arial"/>
          <w:sz w:val="13"/>
          <w:szCs w:val="13"/>
          <w:color w:val="auto"/>
        </w:rPr>
        <w:t>with the respective amounts that would be payable on such Series H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50" w:lineRule="exact"/>
        <w:rPr>
          <w:sz w:val="20"/>
          <w:szCs w:val="20"/>
          <w:color w:val="auto"/>
        </w:rPr>
      </w:pPr>
    </w:p>
    <w:p>
      <w:pPr>
        <w:ind w:firstLine="323"/>
        <w:spacing w:after="0" w:line="274" w:lineRule="auto"/>
        <w:tabs>
          <w:tab w:leader="none" w:pos="524" w:val="left"/>
        </w:tabs>
        <w:numPr>
          <w:ilvl w:val="0"/>
          <w:numId w:val="259"/>
        </w:numPr>
        <w:rPr>
          <w:rFonts w:ascii="Arial" w:cs="Arial" w:eastAsia="Arial" w:hAnsi="Arial"/>
          <w:sz w:val="13"/>
          <w:szCs w:val="13"/>
          <w:color w:val="auto"/>
        </w:rPr>
      </w:pPr>
      <w:r>
        <w:rPr>
          <w:rFonts w:ascii="Arial" w:cs="Arial" w:eastAsia="Arial" w:hAnsi="Arial"/>
          <w:sz w:val="13"/>
          <w:szCs w:val="13"/>
          <w:color w:val="auto"/>
        </w:rPr>
        <w:t>Until payment shall have been made in full to the holders of the Series H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H Preferred Stock, as provided in this Section 4, any series or class or classes of Junior Stock shall, subject to any respective terms and provisions applying thereto, be entitled to receive any and all assets remaining to be paid or distributed, and the holders of the Series H Preferred Stock shall not be entitled to share therein.</w:t>
      </w:r>
    </w:p>
    <w:p>
      <w:pPr>
        <w:spacing w:after="0" w:line="163" w:lineRule="exact"/>
        <w:rPr>
          <w:rFonts w:ascii="Arial" w:cs="Arial" w:eastAsia="Arial" w:hAnsi="Arial"/>
          <w:sz w:val="13"/>
          <w:szCs w:val="13"/>
          <w:color w:val="auto"/>
        </w:rPr>
      </w:pPr>
    </w:p>
    <w:p>
      <w:pPr>
        <w:ind w:left="640" w:hanging="299"/>
        <w:spacing w:after="0"/>
        <w:tabs>
          <w:tab w:leader="none" w:pos="640" w:val="left"/>
        </w:tabs>
        <w:numPr>
          <w:ilvl w:val="1"/>
          <w:numId w:val="259"/>
        </w:numPr>
        <w:rPr>
          <w:rFonts w:ascii="Arial" w:cs="Arial" w:eastAsia="Arial" w:hAnsi="Arial"/>
          <w:sz w:val="14"/>
          <w:szCs w:val="14"/>
          <w:color w:val="auto"/>
        </w:rPr>
      </w:pPr>
      <w:r>
        <w:rPr>
          <w:rFonts w:ascii="Arial" w:cs="Arial" w:eastAsia="Arial" w:hAnsi="Arial"/>
          <w:sz w:val="14"/>
          <w:szCs w:val="14"/>
          <w:i w:val="1"/>
          <w:iCs w:val="1"/>
          <w:color w:val="auto"/>
        </w:rPr>
        <w:t>Optional Redemption</w:t>
      </w:r>
      <w:r>
        <w:rPr>
          <w:rFonts w:ascii="Arial" w:cs="Arial" w:eastAsia="Arial" w:hAnsi="Arial"/>
          <w:sz w:val="14"/>
          <w:szCs w:val="14"/>
          <w:color w:val="auto"/>
        </w:rPr>
        <w:t>.</w:t>
      </w:r>
    </w:p>
    <w:p>
      <w:pPr>
        <w:spacing w:after="0" w:line="96" w:lineRule="exact"/>
        <w:rPr>
          <w:sz w:val="20"/>
          <w:szCs w:val="20"/>
          <w:color w:val="auto"/>
        </w:rPr>
      </w:pPr>
    </w:p>
    <w:p>
      <w:pPr>
        <w:jc w:val="both"/>
        <w:ind w:right="140" w:firstLine="323"/>
        <w:spacing w:after="0" w:line="253" w:lineRule="auto"/>
        <w:tabs>
          <w:tab w:leader="none" w:pos="621" w:val="left"/>
        </w:tabs>
        <w:numPr>
          <w:ilvl w:val="0"/>
          <w:numId w:val="260"/>
        </w:numPr>
        <w:rPr>
          <w:rFonts w:ascii="Arial" w:cs="Arial" w:eastAsia="Arial" w:hAnsi="Arial"/>
          <w:sz w:val="14"/>
          <w:szCs w:val="14"/>
          <w:color w:val="auto"/>
        </w:rPr>
      </w:pPr>
      <w:r>
        <w:rPr>
          <w:rFonts w:ascii="Arial" w:cs="Arial" w:eastAsia="Arial" w:hAnsi="Arial"/>
          <w:sz w:val="14"/>
          <w:szCs w:val="14"/>
          <w:color w:val="auto"/>
        </w:rPr>
        <w:t>Except as otherwise permitted by the Charter and paragraph (b) below, the Series H Preferred Stock shall not be redeemable by the Corporation prior to April 13, 2020. On and after April 13, 2020, the Corporation, at its option, upon giving notice as provided below, may redeem the Series H Preferred Stock, in whole, at any time, or in part, from time to time, for cash at a redemption price of $25.00 per share, plus any accrued and unpaid dividends on the Series H Preferred Stock (whether or not declared), to, but not including, the redemption date (the “Regular Redemption Right”).</w:t>
      </w:r>
    </w:p>
    <w:p>
      <w:pPr>
        <w:spacing w:after="0" w:line="57" w:lineRule="exact"/>
        <w:rPr>
          <w:rFonts w:ascii="Arial" w:cs="Arial" w:eastAsia="Arial" w:hAnsi="Arial"/>
          <w:sz w:val="14"/>
          <w:szCs w:val="14"/>
          <w:color w:val="auto"/>
        </w:rPr>
      </w:pPr>
    </w:p>
    <w:p>
      <w:pPr>
        <w:ind w:right="20" w:firstLine="323"/>
        <w:spacing w:after="0" w:line="270" w:lineRule="auto"/>
        <w:tabs>
          <w:tab w:leader="none" w:pos="629" w:val="left"/>
        </w:tabs>
        <w:numPr>
          <w:ilvl w:val="0"/>
          <w:numId w:val="260"/>
        </w:numPr>
        <w:rPr>
          <w:rFonts w:ascii="Arial" w:cs="Arial" w:eastAsia="Arial" w:hAnsi="Arial"/>
          <w:sz w:val="13"/>
          <w:szCs w:val="13"/>
          <w:color w:val="auto"/>
        </w:rPr>
      </w:pPr>
      <w:r>
        <w:rPr>
          <w:rFonts w:ascii="Arial" w:cs="Arial" w:eastAsia="Arial" w:hAnsi="Arial"/>
          <w:sz w:val="13"/>
          <w:szCs w:val="13"/>
          <w:color w:val="auto"/>
        </w:rPr>
        <w:t>Upon the occurrence of a Change of Control (as defined herein), the Corporation will have the option, upon giving notice as provided below, to redeem the Series H Preferred Stock, in whole, at any time, or in part, from time to time, within 120 days after the first date on which the Change of Control has occurred (the “Special Redemption Right”), for cash at a redemption price of $25.00 per share, plus any accrued and unpaid dividends on the Series H Preferred Stock (whether or not declared), to, but not including, the redemption date (the “Special Redemption Price”). If the Corporation exercises its Special Redemption Right in connection with a Change of Control, holders of Series H Preferred Stock will not be permitted to exercise their Change of Control Conversion Right (as defined herein) in respect of any shares of Series H Preferred Stock that have been called for redemption, and any shares of Series H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“Change of Control” will be deemed to have occurred at such time after the original issuance of the Series H Preferred Stock when the following has occurred:</w:t>
      </w:r>
    </w:p>
    <w:p>
      <w:pPr>
        <w:spacing w:after="0" w:line="85" w:lineRule="exact"/>
        <w:rPr>
          <w:sz w:val="20"/>
          <w:szCs w:val="20"/>
          <w:color w:val="auto"/>
        </w:rPr>
      </w:pPr>
    </w:p>
    <w:p>
      <w:pPr>
        <w:ind w:left="340" w:right="200" w:firstLine="308"/>
        <w:spacing w:after="0" w:line="270" w:lineRule="auto"/>
        <w:tabs>
          <w:tab w:leader="none" w:pos="924" w:val="left"/>
        </w:tabs>
        <w:numPr>
          <w:ilvl w:val="0"/>
          <w:numId w:val="261"/>
        </w:numPr>
        <w:rPr>
          <w:rFonts w:ascii="Arial" w:cs="Arial" w:eastAsia="Arial" w:hAnsi="Arial"/>
          <w:sz w:val="14"/>
          <w:szCs w:val="14"/>
          <w:color w:val="auto"/>
        </w:rPr>
      </w:pPr>
      <w:r>
        <w:rPr>
          <w:rFonts w:ascii="Arial" w:cs="Arial" w:eastAsia="Arial" w:hAnsi="Arial"/>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w:t>
      </w:r>
    </w:p>
    <w:p>
      <w:pPr>
        <w:spacing w:after="0" w:line="7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H-4</w:t>
      </w:r>
    </w:p>
    <w:p>
      <w:pPr>
        <w:sectPr>
          <w:pgSz w:w="11900" w:h="16838" w:orient="portrait"/>
          <w:cols w:equalWidth="0" w:num="1">
            <w:col w:w="10640"/>
          </w:cols>
          <w:pgMar w:left="740" w:top="902" w:right="519" w:bottom="1440" w:gutter="0" w:footer="0" w:header="0"/>
        </w:sectPr>
      </w:pPr>
    </w:p>
    <w:bookmarkStart w:id="333" w:name="page334"/>
    <w:bookmarkEnd w:id="333"/>
    <w:p>
      <w:pPr>
        <w:ind w:left="340" w:right="200"/>
        <w:spacing w:after="0" w:line="257" w:lineRule="auto"/>
        <w:rPr>
          <w:sz w:val="20"/>
          <w:szCs w:val="20"/>
          <w:color w:val="auto"/>
        </w:rPr>
      </w:pPr>
      <w:r>
        <w:rPr>
          <w:rFonts w:ascii="Arial" w:cs="Arial" w:eastAsia="Arial" w:hAnsi="Arial"/>
          <w:sz w:val="14"/>
          <w:szCs w:val="14"/>
          <w:color w:val="auto"/>
        </w:rPr>
        <w:t>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7" w:lineRule="exact"/>
        <w:rPr>
          <w:sz w:val="20"/>
          <w:szCs w:val="20"/>
          <w:color w:val="auto"/>
        </w:rPr>
      </w:pPr>
    </w:p>
    <w:p>
      <w:pPr>
        <w:ind w:left="340" w:right="140" w:firstLine="308"/>
        <w:spacing w:after="0" w:line="257" w:lineRule="auto"/>
        <w:tabs>
          <w:tab w:leader="none" w:pos="963" w:val="left"/>
        </w:tabs>
        <w:numPr>
          <w:ilvl w:val="1"/>
          <w:numId w:val="262"/>
        </w:numPr>
        <w:rPr>
          <w:rFonts w:ascii="Arial" w:cs="Arial" w:eastAsia="Arial" w:hAnsi="Arial"/>
          <w:sz w:val="14"/>
          <w:szCs w:val="14"/>
          <w:color w:val="auto"/>
        </w:rPr>
      </w:pPr>
      <w:r>
        <w:rPr>
          <w:rFonts w:ascii="Arial" w:cs="Arial" w:eastAsia="Arial" w:hAnsi="Arial"/>
          <w:sz w:val="14"/>
          <w:szCs w:val="14"/>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55" w:lineRule="exact"/>
        <w:rPr>
          <w:rFonts w:ascii="Arial" w:cs="Arial" w:eastAsia="Arial" w:hAnsi="Arial"/>
          <w:sz w:val="14"/>
          <w:szCs w:val="14"/>
          <w:color w:val="auto"/>
        </w:rPr>
      </w:pPr>
    </w:p>
    <w:p>
      <w:pPr>
        <w:ind w:left="620" w:hanging="297"/>
        <w:spacing w:after="0"/>
        <w:tabs>
          <w:tab w:leader="none" w:pos="620" w:val="left"/>
        </w:tabs>
        <w:numPr>
          <w:ilvl w:val="0"/>
          <w:numId w:val="263"/>
        </w:numPr>
        <w:rPr>
          <w:rFonts w:ascii="Arial" w:cs="Arial" w:eastAsia="Arial" w:hAnsi="Arial"/>
          <w:sz w:val="14"/>
          <w:szCs w:val="14"/>
          <w:color w:val="auto"/>
        </w:rPr>
      </w:pPr>
      <w:r>
        <w:rPr>
          <w:rFonts w:ascii="Arial" w:cs="Arial" w:eastAsia="Arial" w:hAnsi="Arial"/>
          <w:sz w:val="14"/>
          <w:szCs w:val="14"/>
          <w:color w:val="auto"/>
        </w:rPr>
        <w:t>The following provisions set forth the general procedures for redemption applicable to redemptions pursuant to the Regular Redemption Right and the Special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Redemption Right:</w:t>
      </w:r>
    </w:p>
    <w:p>
      <w:pPr>
        <w:spacing w:after="0" w:line="73" w:lineRule="exact"/>
        <w:rPr>
          <w:sz w:val="20"/>
          <w:szCs w:val="20"/>
          <w:color w:val="auto"/>
        </w:rPr>
      </w:pPr>
    </w:p>
    <w:p>
      <w:pPr>
        <w:ind w:left="340" w:right="20" w:firstLine="308"/>
        <w:spacing w:after="0" w:line="249" w:lineRule="auto"/>
        <w:tabs>
          <w:tab w:leader="none" w:pos="924" w:val="left"/>
        </w:tabs>
        <w:numPr>
          <w:ilvl w:val="0"/>
          <w:numId w:val="264"/>
        </w:numPr>
        <w:rPr>
          <w:rFonts w:ascii="Arial" w:cs="Arial" w:eastAsia="Arial" w:hAnsi="Arial"/>
          <w:sz w:val="14"/>
          <w:szCs w:val="14"/>
          <w:color w:val="auto"/>
        </w:rPr>
      </w:pPr>
      <w:r>
        <w:rPr>
          <w:rFonts w:ascii="Arial" w:cs="Arial" w:eastAsia="Arial" w:hAnsi="Arial"/>
          <w:sz w:val="14"/>
          <w:szCs w:val="14"/>
          <w:color w:val="auto"/>
        </w:rPr>
        <w:t>Upon any redemption date applicable to Series H Preferred Stock, the Corporation shall pay on each share of Series H Preferred Stock to be redeemed any accrued and unpaid dividends (whether or not declared), in arrears, for any dividend period ending on or prior to the redemption date. If a redemption date falls after a record date for a Series H Preferred Stock dividend payment and prior to the corresponding Series H Dividend Payment Date, then each holder of the Series H Preferred Stock at the close of business on such record date shall be entitled to the dividend payable on such Series H Preferred Stock on the corresponding Series H Dividend Payment Date notwithstanding the redemption of such Series H Preferred Stock prior to such Series H Dividend Payment Date. Except as provided above, the Corporation shall make no payment or allowance for unpaid dividends, whether or not in arrears, on any shares of Series H Preferred Stock called for redemption.</w:t>
      </w:r>
    </w:p>
    <w:p>
      <w:pPr>
        <w:spacing w:after="0" w:line="61" w:lineRule="exact"/>
        <w:rPr>
          <w:rFonts w:ascii="Arial" w:cs="Arial" w:eastAsia="Arial" w:hAnsi="Arial"/>
          <w:sz w:val="14"/>
          <w:szCs w:val="14"/>
          <w:color w:val="auto"/>
        </w:rPr>
      </w:pPr>
    </w:p>
    <w:p>
      <w:pPr>
        <w:ind w:left="340" w:right="160" w:firstLine="308"/>
        <w:spacing w:after="0" w:line="253" w:lineRule="auto"/>
        <w:tabs>
          <w:tab w:leader="none" w:pos="963" w:val="left"/>
        </w:tabs>
        <w:numPr>
          <w:ilvl w:val="0"/>
          <w:numId w:val="264"/>
        </w:numPr>
        <w:rPr>
          <w:rFonts w:ascii="Arial" w:cs="Arial" w:eastAsia="Arial" w:hAnsi="Arial"/>
          <w:sz w:val="14"/>
          <w:szCs w:val="14"/>
          <w:color w:val="auto"/>
        </w:rPr>
      </w:pPr>
      <w:r>
        <w:rPr>
          <w:rFonts w:ascii="Arial" w:cs="Arial" w:eastAsia="Arial" w:hAnsi="Arial"/>
          <w:sz w:val="14"/>
          <w:szCs w:val="14"/>
          <w:color w:val="auto"/>
        </w:rPr>
        <w:t>If full cumulative dividends on the Series H Preferred Stock and any class or classes of Parity Stock have not been paid or declared and set apart for payment, the Corporation may not purchase, redeem or otherwise acquire Series H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57" w:lineRule="exact"/>
        <w:rPr>
          <w:rFonts w:ascii="Arial" w:cs="Arial" w:eastAsia="Arial" w:hAnsi="Arial"/>
          <w:sz w:val="14"/>
          <w:szCs w:val="14"/>
          <w:color w:val="auto"/>
        </w:rPr>
      </w:pPr>
    </w:p>
    <w:p>
      <w:pPr>
        <w:ind w:left="340" w:firstLine="308"/>
        <w:spacing w:after="0" w:line="249" w:lineRule="auto"/>
        <w:tabs>
          <w:tab w:leader="none" w:pos="1002" w:val="left"/>
        </w:tabs>
        <w:numPr>
          <w:ilvl w:val="0"/>
          <w:numId w:val="264"/>
        </w:numPr>
        <w:rPr>
          <w:rFonts w:ascii="Arial" w:cs="Arial" w:eastAsia="Arial" w:hAnsi="Arial"/>
          <w:sz w:val="14"/>
          <w:szCs w:val="14"/>
          <w:color w:val="auto"/>
        </w:rPr>
      </w:pPr>
      <w:r>
        <w:rPr>
          <w:rFonts w:ascii="Arial" w:cs="Arial" w:eastAsia="Arial" w:hAnsi="Arial"/>
          <w:sz w:val="14"/>
          <w:szCs w:val="14"/>
          <w:color w:val="auto"/>
        </w:rPr>
        <w:t>On and after the date fixed for redemption, provided that the Corporation has made available at the office of the registrar and transfer agent a sufficient amount of cash to effect the redemption, dividends will cease to accrue on the shares of Series H Preferred Stock called for redemption (except that, in the case of a redemption date after a dividend payment record date and prior to the related Series H Dividend Payment Date, holders of Series H Preferred Stock on the applicable dividend payment record date will be entitled on such Series H Dividend Payment Date to receive the dividend payable on such shares on the corresponding Series H Dividend Payment Date), such shares shall no longer be deemed to be outstanding and all rights of the holders of such shares as holders of Series H Preferred Stock shall cease except the right to receive the cash payable upon such redemption, without interest from the date of such redemption.</w:t>
      </w:r>
    </w:p>
    <w:p>
      <w:pPr>
        <w:spacing w:after="0" w:line="8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H-5</w:t>
      </w:r>
    </w:p>
    <w:p>
      <w:pPr>
        <w:sectPr>
          <w:pgSz w:w="11900" w:h="16838" w:orient="portrait"/>
          <w:cols w:equalWidth="0" w:num="1">
            <w:col w:w="10660"/>
          </w:cols>
          <w:pgMar w:left="740" w:top="903" w:right="499" w:bottom="1440" w:gutter="0" w:footer="0" w:header="0"/>
        </w:sectPr>
      </w:pPr>
    </w:p>
    <w:bookmarkStart w:id="334" w:name="page335"/>
    <w:bookmarkEnd w:id="334"/>
    <w:p>
      <w:pPr>
        <w:ind w:left="620" w:hanging="297"/>
        <w:spacing w:after="0"/>
        <w:tabs>
          <w:tab w:leader="none" w:pos="62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The following provisions set forth the procedures for redemption, in addition to those general procedures set forth in Section 5(c) hereof, pursuant to the Regular Redemption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Right.</w:t>
      </w:r>
    </w:p>
    <w:p>
      <w:pPr>
        <w:spacing w:after="0" w:line="84" w:lineRule="exact"/>
        <w:rPr>
          <w:rFonts w:ascii="Arial" w:cs="Arial" w:eastAsia="Arial" w:hAnsi="Arial"/>
          <w:sz w:val="13"/>
          <w:szCs w:val="13"/>
          <w:color w:val="auto"/>
        </w:rPr>
      </w:pPr>
    </w:p>
    <w:p>
      <w:pPr>
        <w:ind w:left="340" w:right="20" w:firstLine="308"/>
        <w:spacing w:after="0" w:line="288" w:lineRule="auto"/>
        <w:tabs>
          <w:tab w:leader="none" w:pos="916" w:val="left"/>
        </w:tabs>
        <w:numPr>
          <w:ilvl w:val="2"/>
          <w:numId w:val="265"/>
        </w:numPr>
        <w:rPr>
          <w:rFonts w:ascii="Arial" w:cs="Arial" w:eastAsia="Arial" w:hAnsi="Arial"/>
          <w:sz w:val="12"/>
          <w:szCs w:val="12"/>
          <w:color w:val="auto"/>
        </w:rPr>
      </w:pPr>
      <w:r>
        <w:rPr>
          <w:rFonts w:ascii="Arial" w:cs="Arial" w:eastAsia="Arial" w:hAnsi="Arial"/>
          <w:sz w:val="12"/>
          <w:szCs w:val="12"/>
          <w:color w:val="auto"/>
        </w:rPr>
        <w:t>A notice of redemption (which may be contingent upon the occurrence of a future event) shall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shall not affect the validity of the proceedings for the redemption of any shares of the Series H Preferred Stock except as to the holder to whom notice was defective or not given. In addition to any information required by law or by the applicable rules of any exchange upon which the Series H Preferred Stock may be listed or admitted to trading, each notice shall state: (A) the redemption date; (B) the redemption price; (C) the number of shares of Series H Preferred Stock to be redeemed and, if fewer than all the shares of Series H Preferred Stock held by such holder are to be redeemed, the number of such shares of Series H Preferred Stock to be redeemed from such holder;</w:t>
      </w:r>
    </w:p>
    <w:p>
      <w:pPr>
        <w:ind w:left="340" w:hanging="3"/>
        <w:spacing w:after="0" w:line="253" w:lineRule="auto"/>
        <w:tabs>
          <w:tab w:leader="none" w:pos="570" w:val="left"/>
        </w:tabs>
        <w:numPr>
          <w:ilvl w:val="1"/>
          <w:numId w:val="265"/>
        </w:numPr>
        <w:rPr>
          <w:rFonts w:ascii="Arial" w:cs="Arial" w:eastAsia="Arial" w:hAnsi="Arial"/>
          <w:sz w:val="14"/>
          <w:szCs w:val="14"/>
          <w:color w:val="auto"/>
        </w:rPr>
      </w:pPr>
      <w:r>
        <w:rPr>
          <w:rFonts w:ascii="Arial" w:cs="Arial" w:eastAsia="Arial" w:hAnsi="Arial"/>
          <w:sz w:val="14"/>
          <w:szCs w:val="14"/>
          <w:color w:val="auto"/>
        </w:rPr>
        <w:t>the place or places where the certificates, if any, evidencing the shares of Series H Preferred Stock are to be surrendered for payment of the redemption price; and (E) that dividends on the shares to be redeemed will cease to accrue on such redemption date except as otherwise provided herein.</w:t>
      </w:r>
    </w:p>
    <w:p>
      <w:pPr>
        <w:spacing w:after="0" w:line="46" w:lineRule="exact"/>
        <w:rPr>
          <w:rFonts w:ascii="Arial" w:cs="Arial" w:eastAsia="Arial" w:hAnsi="Arial"/>
          <w:sz w:val="14"/>
          <w:szCs w:val="14"/>
          <w:color w:val="auto"/>
        </w:rPr>
      </w:pPr>
    </w:p>
    <w:p>
      <w:pPr>
        <w:ind w:left="340" w:right="460" w:firstLine="308"/>
        <w:spacing w:after="0" w:line="270" w:lineRule="auto"/>
        <w:tabs>
          <w:tab w:leader="none" w:pos="963" w:val="left"/>
        </w:tabs>
        <w:numPr>
          <w:ilvl w:val="2"/>
          <w:numId w:val="266"/>
        </w:numPr>
        <w:rPr>
          <w:rFonts w:ascii="Arial" w:cs="Arial" w:eastAsia="Arial" w:hAnsi="Arial"/>
          <w:sz w:val="14"/>
          <w:szCs w:val="14"/>
          <w:color w:val="auto"/>
        </w:rPr>
      </w:pPr>
      <w:r>
        <w:rPr>
          <w:rFonts w:ascii="Arial" w:cs="Arial" w:eastAsia="Arial" w:hAnsi="Arial"/>
          <w:sz w:val="14"/>
          <w:szCs w:val="14"/>
          <w:color w:val="auto"/>
        </w:rPr>
        <w:t>If fewer than all the outstanding shares of the Series H Preferred Stock are to be redeemed, the shares to be redeemed shall be selected by lot or pro rata (as nearly as practicable without creating fractional shares).</w:t>
      </w:r>
    </w:p>
    <w:p>
      <w:pPr>
        <w:spacing w:after="0" w:line="58" w:lineRule="exact"/>
        <w:rPr>
          <w:rFonts w:ascii="Arial" w:cs="Arial" w:eastAsia="Arial" w:hAnsi="Arial"/>
          <w:sz w:val="14"/>
          <w:szCs w:val="14"/>
          <w:color w:val="auto"/>
        </w:rPr>
      </w:pPr>
    </w:p>
    <w:p>
      <w:pPr>
        <w:ind w:left="340" w:right="80" w:firstLine="308"/>
        <w:spacing w:after="0" w:line="248" w:lineRule="auto"/>
        <w:tabs>
          <w:tab w:leader="none" w:pos="994" w:val="left"/>
        </w:tabs>
        <w:numPr>
          <w:ilvl w:val="2"/>
          <w:numId w:val="266"/>
        </w:numPr>
        <w:rPr>
          <w:rFonts w:ascii="Arial" w:cs="Arial" w:eastAsia="Arial" w:hAnsi="Arial"/>
          <w:sz w:val="14"/>
          <w:szCs w:val="14"/>
          <w:color w:val="auto"/>
        </w:rPr>
      </w:pPr>
      <w:r>
        <w:rPr>
          <w:rFonts w:ascii="Arial" w:cs="Arial" w:eastAsia="Arial" w:hAnsi="Arial"/>
          <w:sz w:val="14"/>
          <w:szCs w:val="14"/>
          <w:color w:val="auto"/>
        </w:rPr>
        <w:t>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63" w:lineRule="exact"/>
        <w:rPr>
          <w:rFonts w:ascii="Arial" w:cs="Arial" w:eastAsia="Arial" w:hAnsi="Arial"/>
          <w:sz w:val="14"/>
          <w:szCs w:val="14"/>
          <w:color w:val="auto"/>
        </w:rPr>
      </w:pPr>
    </w:p>
    <w:p>
      <w:pPr>
        <w:ind w:left="620" w:hanging="297"/>
        <w:spacing w:after="0"/>
        <w:tabs>
          <w:tab w:leader="none" w:pos="6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The following provisions set forth the procedures for redemption, in addition to those general procedures set forth in Section 5(c) hereof, pursuant to the Special Redemption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Right.</w:t>
      </w:r>
    </w:p>
    <w:p>
      <w:pPr>
        <w:spacing w:after="0" w:line="72" w:lineRule="exact"/>
        <w:rPr>
          <w:rFonts w:ascii="Arial" w:cs="Arial" w:eastAsia="Arial" w:hAnsi="Arial"/>
          <w:sz w:val="13"/>
          <w:szCs w:val="13"/>
          <w:color w:val="auto"/>
        </w:rPr>
      </w:pPr>
    </w:p>
    <w:p>
      <w:pPr>
        <w:jc w:val="both"/>
        <w:ind w:left="340" w:right="20" w:firstLine="308"/>
        <w:spacing w:after="0" w:line="253" w:lineRule="auto"/>
        <w:tabs>
          <w:tab w:leader="none" w:pos="916" w:val="left"/>
        </w:tabs>
        <w:numPr>
          <w:ilvl w:val="2"/>
          <w:numId w:val="267"/>
        </w:numPr>
        <w:rPr>
          <w:rFonts w:ascii="Arial" w:cs="Arial" w:eastAsia="Arial" w:hAnsi="Arial"/>
          <w:sz w:val="14"/>
          <w:szCs w:val="14"/>
          <w:color w:val="auto"/>
        </w:rPr>
      </w:pPr>
      <w:r>
        <w:rPr>
          <w:rFonts w:ascii="Arial" w:cs="Arial" w:eastAsia="Arial" w:hAnsi="Arial"/>
          <w:sz w:val="14"/>
          <w:szCs w:val="14"/>
          <w:color w:val="auto"/>
        </w:rPr>
        <w:t>A notice of special optional redemption will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will not affect the validity of the proceedings for the special optional redemption of the shares of Series H Preferred Stock except as to the holder to whom notice was defective or not given. Each notice will state: (A) the redemption date; (B) the redemption price; (C) the</w:t>
      </w:r>
    </w:p>
    <w:p>
      <w:pPr>
        <w:spacing w:after="0" w:line="8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H-6</w:t>
      </w:r>
    </w:p>
    <w:p>
      <w:pPr>
        <w:sectPr>
          <w:pgSz w:w="11900" w:h="16838" w:orient="portrait"/>
          <w:cols w:equalWidth="0" w:num="1">
            <w:col w:w="10680"/>
          </w:cols>
          <w:pgMar w:left="740" w:top="821" w:right="479" w:bottom="1440" w:gutter="0" w:footer="0" w:header="0"/>
        </w:sectPr>
      </w:pPr>
    </w:p>
    <w:bookmarkStart w:id="335" w:name="page336"/>
    <w:bookmarkEnd w:id="335"/>
    <w:p>
      <w:pPr>
        <w:ind w:right="100"/>
        <w:spacing w:after="0" w:line="248" w:lineRule="auto"/>
        <w:rPr>
          <w:sz w:val="20"/>
          <w:szCs w:val="20"/>
          <w:color w:val="auto"/>
        </w:rPr>
      </w:pPr>
      <w:r>
        <w:rPr>
          <w:rFonts w:ascii="Arial" w:cs="Arial" w:eastAsia="Arial" w:hAnsi="Arial"/>
          <w:sz w:val="14"/>
          <w:szCs w:val="14"/>
          <w:color w:val="auto"/>
        </w:rPr>
        <w:t>number of shares of Series H Preferred Stock to be redeemed; (D) the place or places where the certificates, if any, evidencing the shares of Series H Preferred Stock are to be surrendered for payment; (E) that the shares of Series H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H Preferred Stock to which the notice relates will not be able to tender such shares of Series H Preferred Stock for conversion in connection with the Change of Control and each share of Series H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63" w:lineRule="exact"/>
        <w:rPr>
          <w:sz w:val="20"/>
          <w:szCs w:val="20"/>
          <w:color w:val="auto"/>
        </w:rPr>
      </w:pPr>
    </w:p>
    <w:p>
      <w:pPr>
        <w:jc w:val="both"/>
        <w:ind w:firstLine="308"/>
        <w:spacing w:after="0" w:line="250" w:lineRule="auto"/>
        <w:tabs>
          <w:tab w:leader="none" w:pos="658" w:val="left"/>
        </w:tabs>
        <w:numPr>
          <w:ilvl w:val="0"/>
          <w:numId w:val="268"/>
        </w:numPr>
        <w:rPr>
          <w:rFonts w:ascii="Arial" w:cs="Arial" w:eastAsia="Arial" w:hAnsi="Arial"/>
          <w:sz w:val="14"/>
          <w:szCs w:val="14"/>
          <w:color w:val="auto"/>
        </w:rPr>
      </w:pPr>
      <w:r>
        <w:rPr>
          <w:rFonts w:ascii="Arial" w:cs="Arial" w:eastAsia="Arial" w:hAnsi="Arial"/>
          <w:sz w:val="14"/>
          <w:szCs w:val="14"/>
          <w:color w:val="auto"/>
        </w:rPr>
        <w:t>If fewer than all the shares of Series H Preferred Stock held by any holder are to be redeemed, the notice mailed to such holder will also specify the number of shares of Series H Preferred Stock to be redeemed from such holder. If fewer than all of the outstanding shares of Series H Preferred Stock are to be redeemed, the shares to be redeemed shall be selected by lot or pro rata.</w:t>
      </w:r>
    </w:p>
    <w:p>
      <w:pPr>
        <w:ind w:right="160" w:firstLine="308"/>
        <w:spacing w:after="0" w:line="267" w:lineRule="auto"/>
        <w:tabs>
          <w:tab w:leader="none" w:pos="662" w:val="left"/>
        </w:tabs>
        <w:numPr>
          <w:ilvl w:val="0"/>
          <w:numId w:val="268"/>
        </w:numPr>
        <w:rPr>
          <w:rFonts w:ascii="Arial" w:cs="Arial" w:eastAsia="Arial" w:hAnsi="Arial"/>
          <w:sz w:val="13"/>
          <w:szCs w:val="13"/>
          <w:color w:val="auto"/>
        </w:rPr>
      </w:pPr>
      <w:r>
        <w:rPr>
          <w:rFonts w:ascii="Arial" w:cs="Arial" w:eastAsia="Arial" w:hAnsi="Arial"/>
          <w:sz w:val="13"/>
          <w:szCs w:val="13"/>
          <w:color w:val="auto"/>
        </w:rPr>
        <w:t>On and after the date fixed for redemption, provided that the Corporation has given a notice of redemption and has paid or set aside sufficient funds for the redemption in trust for the benefit of the holders of shares of Series H Preferred Stock called for redemption, those shares of Series H Preferred Stock will be treated as no longer being outstanding, no further dividends will accrue on the share of Series H Preferred Stock called for redemption and all other rights of the holders of those shares of Series H Preferred Stock will terminate (except that, in the case of a redemption date after a dividend payment record date and prior to the related Series H Dividend Payment Date, holders of Series H Preferred Stock on the applicable record date will be entitled on such Series H Dividend Payment Date to receive the dividend payable on such shares on the corresponding Series H Dividend Payment Date). The holders of those shares of Series H Preferred Stock will retain their right to receive the redemption price for their shares and any accrued and unpaid dividends to (but not including) the redemption date, without interest from the date of such redemption.</w:t>
      </w:r>
    </w:p>
    <w:p>
      <w:pPr>
        <w:spacing w:after="0" w:line="51" w:lineRule="exact"/>
        <w:rPr>
          <w:rFonts w:ascii="Arial" w:cs="Arial" w:eastAsia="Arial" w:hAnsi="Arial"/>
          <w:sz w:val="13"/>
          <w:szCs w:val="13"/>
          <w:color w:val="auto"/>
        </w:rPr>
      </w:pPr>
    </w:p>
    <w:p>
      <w:pPr>
        <w:ind w:right="100" w:firstLine="308"/>
        <w:spacing w:after="0" w:line="248" w:lineRule="auto"/>
        <w:tabs>
          <w:tab w:leader="none" w:pos="646" w:val="left"/>
        </w:tabs>
        <w:numPr>
          <w:ilvl w:val="0"/>
          <w:numId w:val="268"/>
        </w:numPr>
        <w:rPr>
          <w:rFonts w:ascii="Arial" w:cs="Arial" w:eastAsia="Arial" w:hAnsi="Arial"/>
          <w:sz w:val="14"/>
          <w:szCs w:val="14"/>
          <w:color w:val="auto"/>
        </w:rPr>
      </w:pPr>
      <w:r>
        <w:rPr>
          <w:rFonts w:ascii="Arial" w:cs="Arial" w:eastAsia="Arial" w:hAnsi="Arial"/>
          <w:sz w:val="14"/>
          <w:szCs w:val="14"/>
          <w:color w:val="auto"/>
        </w:rPr>
        <w:t>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87"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H-7</w:t>
      </w:r>
    </w:p>
    <w:p>
      <w:pPr>
        <w:sectPr>
          <w:pgSz w:w="11900" w:h="16838" w:orient="portrait"/>
          <w:cols w:equalWidth="0" w:num="1">
            <w:col w:w="10360"/>
          </w:cols>
          <w:pgMar w:left="1080" w:top="903" w:right="459" w:bottom="1440" w:gutter="0" w:footer="0" w:header="0"/>
        </w:sectPr>
      </w:pPr>
    </w:p>
    <w:bookmarkStart w:id="336" w:name="page337"/>
    <w:bookmarkEnd w:id="336"/>
    <w:p>
      <w:pPr>
        <w:ind w:left="300" w:right="220" w:firstLine="323"/>
        <w:spacing w:after="0" w:line="270" w:lineRule="auto"/>
        <w:tabs>
          <w:tab w:leader="none" w:pos="942" w:val="left"/>
        </w:tabs>
        <w:numPr>
          <w:ilvl w:val="0"/>
          <w:numId w:val="269"/>
        </w:numPr>
        <w:rPr>
          <w:rFonts w:ascii="Arial" w:cs="Arial" w:eastAsia="Arial" w:hAnsi="Arial"/>
          <w:sz w:val="14"/>
          <w:szCs w:val="14"/>
          <w:color w:val="auto"/>
        </w:rPr>
      </w:pPr>
      <w:r>
        <w:rPr>
          <w:rFonts w:ascii="Arial" w:cs="Arial" w:eastAsia="Arial" w:hAnsi="Arial"/>
          <w:sz w:val="14"/>
          <w:szCs w:val="14"/>
          <w:color w:val="auto"/>
        </w:rPr>
        <w:t>Any shares of Series H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75" w:lineRule="exact"/>
        <w:rPr>
          <w:rFonts w:ascii="Arial" w:cs="Arial" w:eastAsia="Arial" w:hAnsi="Arial"/>
          <w:sz w:val="14"/>
          <w:szCs w:val="14"/>
          <w:color w:val="auto"/>
        </w:rPr>
      </w:pPr>
    </w:p>
    <w:p>
      <w:pPr>
        <w:jc w:val="both"/>
        <w:ind w:left="-40" w:right="400" w:firstLine="701"/>
        <w:spacing w:after="0" w:line="250" w:lineRule="auto"/>
        <w:tabs>
          <w:tab w:leader="none" w:pos="966" w:val="left"/>
        </w:tabs>
        <w:numPr>
          <w:ilvl w:val="1"/>
          <w:numId w:val="269"/>
        </w:numPr>
        <w:rPr>
          <w:rFonts w:ascii="Arial" w:cs="Arial" w:eastAsia="Arial" w:hAnsi="Arial"/>
          <w:sz w:val="14"/>
          <w:szCs w:val="14"/>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 Except as otherwise set forth herein, the Series H Preferred Stock shall not have any relative, participating, optional or other voting rights or powers,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the holders thereof shall not be required for the taking of any corporate action. In any matter in which the holders of Series H Preferred Stock are entitled to vote, each such holder shall have the right to one vote for each share of Series H Preferred Stock held by such holder.</w:t>
      </w:r>
    </w:p>
    <w:p>
      <w:pPr>
        <w:ind w:left="300" w:firstLine="323"/>
        <w:spacing w:after="0" w:line="265" w:lineRule="auto"/>
        <w:tabs>
          <w:tab w:leader="none" w:pos="921" w:val="left"/>
        </w:tabs>
        <w:numPr>
          <w:ilvl w:val="0"/>
          <w:numId w:val="270"/>
        </w:numPr>
        <w:rPr>
          <w:rFonts w:ascii="Arial" w:cs="Arial" w:eastAsia="Arial" w:hAnsi="Arial"/>
          <w:sz w:val="13"/>
          <w:szCs w:val="13"/>
          <w:color w:val="auto"/>
        </w:rPr>
      </w:pPr>
      <w:r>
        <w:rPr>
          <w:rFonts w:ascii="Arial" w:cs="Arial" w:eastAsia="Arial" w:hAnsi="Arial"/>
          <w:sz w:val="13"/>
          <w:szCs w:val="13"/>
          <w:color w:val="auto"/>
        </w:rPr>
        <w:t>If and whenever six quarterly dividends (whether or not consecutive) payable on the Series H Preferred Stock are in arrears, whether or not earned or declared, the number of members then constituting the Board will be increased by two and the holders of Series H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H Preferred Stock and such Voting Preferred Stock and at each subsequent annual meeting of stockholders until all such dividends and dividends for the then current quarterly period on the Series H Preferred Stock and such other Voting Preferred Stock have been paid or declared and set aside for payment. Whenever all arrears in dividends on the Series H Preferred Stock and the Voting Preferred Stock then outstanding have been paid and full dividends on the Series H Preferred Stock and the Voting Preferred Stock for the then current quarterly dividend period have been paid in full or declared and set apart for payment in full, then the right of the holders of the Series H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H Preferred Stock and the Voting Preferred Stock to elect the Preferred Stock Directors will again vest if and whenever six quarterly dividends are in arrears, as described above. In no event shall the holders of Series H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52" w:lineRule="exact"/>
        <w:rPr>
          <w:rFonts w:ascii="Arial" w:cs="Arial" w:eastAsia="Arial" w:hAnsi="Arial"/>
          <w:sz w:val="13"/>
          <w:szCs w:val="13"/>
          <w:color w:val="auto"/>
        </w:rPr>
      </w:pPr>
    </w:p>
    <w:p>
      <w:pPr>
        <w:ind w:left="300" w:right="20" w:firstLine="323"/>
        <w:spacing w:after="0" w:line="250" w:lineRule="auto"/>
        <w:tabs>
          <w:tab w:leader="none" w:pos="929" w:val="left"/>
        </w:tabs>
        <w:numPr>
          <w:ilvl w:val="0"/>
          <w:numId w:val="270"/>
        </w:numPr>
        <w:rPr>
          <w:rFonts w:ascii="Arial" w:cs="Arial" w:eastAsia="Arial" w:hAnsi="Arial"/>
          <w:sz w:val="14"/>
          <w:szCs w:val="14"/>
          <w:color w:val="auto"/>
        </w:rPr>
      </w:pPr>
      <w:r>
        <w:rPr>
          <w:rFonts w:ascii="Arial" w:cs="Arial" w:eastAsia="Arial" w:hAnsi="Arial"/>
          <w:sz w:val="14"/>
          <w:szCs w:val="14"/>
          <w:color w:val="auto"/>
        </w:rPr>
        <w:t>So long as any shares of Series H Preferred Stock are outstanding, the approval of two-thirds of the votes entitled to be cast by the holders of outstanding Series H Preferred Stock, voting separately as a class, either at a meeting of stockholders or by written consent, is required (i) to amend, alter or repeal any provisions of the Charter (including these Articles Supplementary), whether by merger, consolidation or otherwise, to affect materially and adversely the voting powers, rights or preferences of the holders of the Series H Preferred Stock, unless in connection with any such amendment, alteration or repeal, the Series H Preferred Stock remains outstanding without the terms thereof being materially changed in any respect adverse to the holders thereof or is converted into or exchanged for preferred stock 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H-8</w:t>
      </w:r>
    </w:p>
    <w:p>
      <w:pPr>
        <w:sectPr>
          <w:pgSz w:w="11900" w:h="16838" w:orient="portrait"/>
          <w:cols w:equalWidth="0" w:num="1">
            <w:col w:w="11000"/>
          </w:cols>
          <w:pgMar w:left="440" w:top="821" w:right="459" w:bottom="1440" w:gutter="0" w:footer="0" w:header="0"/>
        </w:sectPr>
      </w:pPr>
    </w:p>
    <w:bookmarkStart w:id="337" w:name="page338"/>
    <w:bookmarkEnd w:id="337"/>
    <w:p>
      <w:pPr>
        <w:ind w:left="240" w:right="80"/>
        <w:spacing w:after="0" w:line="270" w:lineRule="auto"/>
        <w:rPr>
          <w:sz w:val="20"/>
          <w:szCs w:val="20"/>
          <w:color w:val="auto"/>
        </w:rPr>
      </w:pPr>
      <w:r>
        <w:rPr>
          <w:rFonts w:ascii="Arial" w:cs="Arial" w:eastAsia="Arial" w:hAnsi="Arial"/>
          <w:sz w:val="13"/>
          <w:szCs w:val="13"/>
          <w:color w:val="auto"/>
        </w:rPr>
        <w:t>the surviving entity having preferences, conversion and other rights, voting powers, restrictions, limitations as to dividends, qualifications and terms and conditions of redemption thereof that are substantially similar to those of the Series H Preferred Stock, or (ii) to authorize, create, or increase the authorized amount of any class or series of capital stock having rights senior to the Series H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H Preferred Stock) and Junior Stock and issue additional series of Parity Stock and Junior Stock without the consent of any holder of Series H Preferred Stock.</w:t>
      </w:r>
    </w:p>
    <w:p>
      <w:pPr>
        <w:spacing w:after="0" w:line="51" w:lineRule="exact"/>
        <w:rPr>
          <w:sz w:val="20"/>
          <w:szCs w:val="20"/>
          <w:color w:val="auto"/>
        </w:rPr>
      </w:pPr>
    </w:p>
    <w:p>
      <w:pPr>
        <w:ind w:left="240" w:right="620" w:firstLine="323"/>
        <w:spacing w:after="0" w:line="257" w:lineRule="auto"/>
        <w:tabs>
          <w:tab w:leader="none" w:pos="859" w:val="left"/>
        </w:tabs>
        <w:numPr>
          <w:ilvl w:val="0"/>
          <w:numId w:val="271"/>
        </w:numPr>
        <w:rPr>
          <w:rFonts w:ascii="Arial" w:cs="Arial" w:eastAsia="Arial" w:hAnsi="Arial"/>
          <w:sz w:val="14"/>
          <w:szCs w:val="14"/>
          <w:color w:val="auto"/>
        </w:rPr>
      </w:pPr>
      <w:r>
        <w:rPr>
          <w:rFonts w:ascii="Arial" w:cs="Arial" w:eastAsia="Arial" w:hAnsi="Arial"/>
          <w:sz w:val="14"/>
          <w:szCs w:val="14"/>
          <w:color w:val="auto"/>
        </w:rPr>
        <w:t>The foregoing voting provisions shall not apply if, at or prior to the time when the act with respect to which such vote would otherwise be required shall be effected, all outstanding Series H Preferred Stock shall have been redeemed or called for redemption upon proper notice and sufficient funds shall have been deposited in trust to effect such redemption.</w:t>
      </w:r>
    </w:p>
    <w:p>
      <w:pPr>
        <w:spacing w:after="0" w:line="184" w:lineRule="exact"/>
        <w:rPr>
          <w:rFonts w:ascii="Arial" w:cs="Arial" w:eastAsia="Arial" w:hAnsi="Arial"/>
          <w:sz w:val="14"/>
          <w:szCs w:val="14"/>
          <w:color w:val="auto"/>
        </w:rPr>
      </w:pPr>
    </w:p>
    <w:p>
      <w:pPr>
        <w:ind w:left="-100" w:firstLine="701"/>
        <w:spacing w:after="0" w:line="247" w:lineRule="auto"/>
        <w:tabs>
          <w:tab w:leader="none" w:pos="906" w:val="left"/>
        </w:tabs>
        <w:numPr>
          <w:ilvl w:val="1"/>
          <w:numId w:val="271"/>
        </w:numPr>
        <w:rPr>
          <w:rFonts w:ascii="Arial" w:cs="Arial" w:eastAsia="Arial" w:hAnsi="Arial"/>
          <w:sz w:val="14"/>
          <w:szCs w:val="14"/>
          <w:color w:val="auto"/>
        </w:rPr>
      </w:pPr>
      <w:r>
        <w:rPr>
          <w:rFonts w:ascii="Arial" w:cs="Arial" w:eastAsia="Arial" w:hAnsi="Arial"/>
          <w:sz w:val="14"/>
          <w:szCs w:val="14"/>
          <w:i w:val="1"/>
          <w:iCs w:val="1"/>
          <w:color w:val="auto"/>
        </w:rPr>
        <w:t>Information Rights</w:t>
      </w:r>
      <w:r>
        <w:rPr>
          <w:rFonts w:ascii="Arial" w:cs="Arial" w:eastAsia="Arial" w:hAnsi="Arial"/>
          <w:sz w:val="14"/>
          <w:szCs w:val="14"/>
          <w:color w:val="auto"/>
        </w:rPr>
        <w:t>. During any period in which the Corporation is not subject to Section 13 or 15(d) of the Securities Exchange Act of 1934, as amended (the “Exchange Act”),</w:t>
      </w:r>
      <w:r>
        <w:rPr>
          <w:rFonts w:ascii="Arial" w:cs="Arial" w:eastAsia="Arial" w:hAnsi="Arial"/>
          <w:sz w:val="14"/>
          <w:szCs w:val="14"/>
          <w:i w:val="1"/>
          <w:iCs w:val="1"/>
          <w:color w:val="auto"/>
        </w:rPr>
        <w:t xml:space="preserve"> </w:t>
      </w:r>
      <w:r>
        <w:rPr>
          <w:rFonts w:ascii="Arial" w:cs="Arial" w:eastAsia="Arial" w:hAnsi="Arial"/>
          <w:sz w:val="14"/>
          <w:szCs w:val="14"/>
          <w:color w:val="auto"/>
        </w:rPr>
        <w:t>and any shares of Series H Preferred Stock are outstanding, the Corporation will (i) transmit by mail (or other permissible means under the Exchange Act) to all holders of Series H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H Preferred Stock. The Corporation will mail (or otherwise provide) the information to the holders of Series H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04" w:lineRule="exact"/>
        <w:rPr>
          <w:rFonts w:ascii="Arial" w:cs="Arial" w:eastAsia="Arial" w:hAnsi="Arial"/>
          <w:sz w:val="14"/>
          <w:szCs w:val="14"/>
          <w:color w:val="auto"/>
        </w:rPr>
      </w:pPr>
    </w:p>
    <w:p>
      <w:pPr>
        <w:ind w:left="-100" w:right="20" w:firstLine="701"/>
        <w:spacing w:after="0" w:line="253" w:lineRule="auto"/>
        <w:tabs>
          <w:tab w:leader="none" w:pos="906" w:val="left"/>
        </w:tabs>
        <w:numPr>
          <w:ilvl w:val="1"/>
          <w:numId w:val="271"/>
        </w:numPr>
        <w:rPr>
          <w:rFonts w:ascii="Arial" w:cs="Arial" w:eastAsia="Arial" w:hAnsi="Arial"/>
          <w:sz w:val="14"/>
          <w:szCs w:val="14"/>
          <w:color w:val="auto"/>
        </w:rPr>
      </w:pPr>
      <w:r>
        <w:rPr>
          <w:rFonts w:ascii="Arial" w:cs="Arial" w:eastAsia="Arial" w:hAnsi="Arial"/>
          <w:sz w:val="14"/>
          <w:szCs w:val="14"/>
          <w:i w:val="1"/>
          <w:iCs w:val="1"/>
          <w:color w:val="auto"/>
        </w:rPr>
        <w:t xml:space="preserve">Other Limitations; Ownership and Transfer of the Series H Preferred Stock. </w:t>
      </w:r>
      <w:r>
        <w:rPr>
          <w:rFonts w:ascii="Arial" w:cs="Arial" w:eastAsia="Arial" w:hAnsi="Arial"/>
          <w:sz w:val="14"/>
          <w:szCs w:val="14"/>
          <w:color w:val="auto"/>
        </w:rPr>
        <w:t>The Series H Preferred Stock constitutes Capital Stock (as defined in the Charter) of the Corporation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H Preferred Stock of any other term or provision of the Charter.</w:t>
      </w:r>
    </w:p>
    <w:p>
      <w:pPr>
        <w:spacing w:after="0" w:line="186" w:lineRule="exact"/>
        <w:rPr>
          <w:rFonts w:ascii="Arial" w:cs="Arial" w:eastAsia="Arial" w:hAnsi="Arial"/>
          <w:sz w:val="14"/>
          <w:szCs w:val="14"/>
          <w:color w:val="auto"/>
        </w:rPr>
      </w:pPr>
    </w:p>
    <w:p>
      <w:pPr>
        <w:ind w:left="-100" w:right="220" w:firstLine="701"/>
        <w:spacing w:after="0" w:line="270" w:lineRule="auto"/>
        <w:tabs>
          <w:tab w:leader="none" w:pos="906" w:val="left"/>
        </w:tabs>
        <w:numPr>
          <w:ilvl w:val="1"/>
          <w:numId w:val="271"/>
        </w:numPr>
        <w:rPr>
          <w:rFonts w:ascii="Arial" w:cs="Arial" w:eastAsia="Arial" w:hAnsi="Arial"/>
          <w:sz w:val="14"/>
          <w:szCs w:val="14"/>
          <w:color w:val="auto"/>
        </w:rPr>
      </w:pPr>
      <w:r>
        <w:rPr>
          <w:rFonts w:ascii="Arial" w:cs="Arial" w:eastAsia="Arial" w:hAnsi="Arial"/>
          <w:sz w:val="14"/>
          <w:szCs w:val="14"/>
          <w:i w:val="1"/>
          <w:iCs w:val="1"/>
          <w:color w:val="auto"/>
        </w:rPr>
        <w:t>Conversion Upon a Change of Control</w:t>
      </w:r>
      <w:r>
        <w:rPr>
          <w:rFonts w:ascii="Arial" w:cs="Arial" w:eastAsia="Arial" w:hAnsi="Arial"/>
          <w:sz w:val="14"/>
          <w:szCs w:val="14"/>
          <w:color w:val="auto"/>
        </w:rPr>
        <w:t>. The Series H Preferred Stock is not convertible into or exchangeable for any other property or securities of the Corporation, except as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in this Section 9.</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H-9</w:t>
      </w:r>
    </w:p>
    <w:p>
      <w:pPr>
        <w:sectPr>
          <w:pgSz w:w="11900" w:h="16838" w:orient="portrait"/>
          <w:cols w:equalWidth="0" w:num="1">
            <w:col w:w="10880"/>
          </w:cols>
          <w:pgMar w:left="500" w:top="903" w:right="519" w:bottom="1440" w:gutter="0" w:footer="0" w:header="0"/>
        </w:sectPr>
      </w:pPr>
    </w:p>
    <w:bookmarkStart w:id="338" w:name="page339"/>
    <w:bookmarkEnd w:id="338"/>
    <w:p>
      <w:pPr>
        <w:ind w:left="2" w:right="40" w:firstLine="323"/>
        <w:spacing w:after="0" w:line="291" w:lineRule="auto"/>
        <w:tabs>
          <w:tab w:leader="none" w:pos="623" w:val="left"/>
        </w:tabs>
        <w:numPr>
          <w:ilvl w:val="1"/>
          <w:numId w:val="272"/>
        </w:numPr>
        <w:rPr>
          <w:rFonts w:ascii="Arial" w:cs="Arial" w:eastAsia="Arial" w:hAnsi="Arial"/>
          <w:sz w:val="12"/>
          <w:szCs w:val="12"/>
          <w:color w:val="auto"/>
        </w:rPr>
      </w:pPr>
      <w:r>
        <w:rPr>
          <w:rFonts w:ascii="Arial" w:cs="Arial" w:eastAsia="Arial" w:hAnsi="Arial"/>
          <w:sz w:val="12"/>
          <w:szCs w:val="12"/>
          <w:color w:val="auto"/>
        </w:rPr>
        <w:t>Upon the occurrence of a Change of Control, each holder of Series H Preferred Stock will have the right, subject to the Special Redemption Right of the Corporation, to convert some or all of the shares of Series H Preferred Stock held by such holder (the “Change of Control Conversion Right”) on the relevant Change of Control Conversion Date (as defined herein) into a number of shares of Class A Common Stock (as defined in the Charter) per share of Series H Preferred Stock (the “Common Stock Conversion Consideration”) equal to the lesser of</w:t>
      </w:r>
    </w:p>
    <w:p>
      <w:pPr>
        <w:spacing w:after="0" w:line="1" w:lineRule="exact"/>
        <w:rPr>
          <w:rFonts w:ascii="Arial" w:cs="Arial" w:eastAsia="Arial" w:hAnsi="Arial"/>
          <w:sz w:val="12"/>
          <w:szCs w:val="12"/>
          <w:color w:val="auto"/>
        </w:rPr>
      </w:pPr>
    </w:p>
    <w:p>
      <w:pPr>
        <w:ind w:left="2" w:right="140" w:hanging="2"/>
        <w:spacing w:after="0" w:line="246" w:lineRule="auto"/>
        <w:tabs>
          <w:tab w:leader="none" w:pos="231" w:val="left"/>
        </w:tabs>
        <w:numPr>
          <w:ilvl w:val="0"/>
          <w:numId w:val="273"/>
        </w:numPr>
        <w:rPr>
          <w:rFonts w:ascii="Arial" w:cs="Arial" w:eastAsia="Arial" w:hAnsi="Arial"/>
          <w:sz w:val="14"/>
          <w:szCs w:val="14"/>
          <w:color w:val="auto"/>
        </w:rPr>
      </w:pPr>
      <w:r>
        <w:rPr>
          <w:rFonts w:ascii="Arial" w:cs="Arial" w:eastAsia="Arial" w:hAnsi="Arial"/>
          <w:sz w:val="14"/>
          <w:szCs w:val="14"/>
          <w:color w:val="auto"/>
        </w:rPr>
        <w:t>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H Preferred Stock dividend payment and prior to the corresponding Series H Dividend Payment Date, in which case the amount pursuant to this clause (i)(y) shall equal $0.00 in respect of such dividend payment to be made on such Series H Dividend Payment Date, by (ii) the Common Stock Price (as defined herein) (such quotient, the “Conversion Rate”), and (B) 2.8198 (the “Share Cap”), subject to the immediately succeeding paragraph.</w:t>
      </w:r>
    </w:p>
    <w:p>
      <w:pPr>
        <w:spacing w:after="0" w:line="63" w:lineRule="exact"/>
        <w:rPr>
          <w:sz w:val="20"/>
          <w:szCs w:val="20"/>
          <w:color w:val="auto"/>
        </w:rPr>
      </w:pPr>
    </w:p>
    <w:p>
      <w:pPr>
        <w:ind w:left="2" w:right="40" w:firstLine="325"/>
        <w:spacing w:after="0" w:line="308" w:lineRule="auto"/>
        <w:rPr>
          <w:sz w:val="20"/>
          <w:szCs w:val="20"/>
          <w:color w:val="auto"/>
        </w:rPr>
      </w:pPr>
      <w:r>
        <w:rPr>
          <w:rFonts w:ascii="Arial" w:cs="Arial" w:eastAsia="Arial" w:hAnsi="Arial"/>
          <w:sz w:val="12"/>
          <w:szCs w:val="12"/>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28" w:lineRule="exact"/>
        <w:rPr>
          <w:sz w:val="20"/>
          <w:szCs w:val="20"/>
          <w:color w:val="auto"/>
        </w:rPr>
      </w:pPr>
    </w:p>
    <w:p>
      <w:pPr>
        <w:ind w:left="2" w:firstLine="325"/>
        <w:spacing w:after="0" w:line="269" w:lineRule="auto"/>
        <w:rPr>
          <w:sz w:val="20"/>
          <w:szCs w:val="20"/>
          <w:color w:val="auto"/>
        </w:rPr>
      </w:pPr>
      <w:r>
        <w:rPr>
          <w:rFonts w:ascii="Arial" w:cs="Arial" w:eastAsia="Arial" w:hAnsi="Arial"/>
          <w:sz w:val="13"/>
          <w:szCs w:val="13"/>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28,198,415 shares of Class A Common Stock (or equivalent Alternative Conversion Consideration, as applicable), subject to increase to the extent the underwriters’ over-allotment option to purchase additional Series H Preferred Stock in the initial public offering of Series H Preferred Stock is exercised, not to exceed 32,428,178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51" w:lineRule="exact"/>
        <w:rPr>
          <w:sz w:val="20"/>
          <w:szCs w:val="20"/>
          <w:color w:val="auto"/>
        </w:rPr>
      </w:pPr>
    </w:p>
    <w:p>
      <w:pPr>
        <w:ind w:left="2" w:right="200" w:firstLine="325"/>
        <w:spacing w:after="0" w:line="257" w:lineRule="auto"/>
        <w:rPr>
          <w:sz w:val="20"/>
          <w:szCs w:val="20"/>
          <w:color w:val="auto"/>
        </w:rPr>
      </w:pPr>
      <w:r>
        <w:rPr>
          <w:rFonts w:ascii="Arial" w:cs="Arial" w:eastAsia="Arial" w:hAnsi="Arial"/>
          <w:sz w:val="14"/>
          <w:szCs w:val="14"/>
          <w:color w:val="auto"/>
        </w:rPr>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H Preferred Stock shall be entitled thereafter to convert</w:t>
      </w:r>
    </w:p>
    <w:p>
      <w:pPr>
        <w:spacing w:after="0" w:line="79" w:lineRule="exact"/>
        <w:rPr>
          <w:sz w:val="20"/>
          <w:szCs w:val="20"/>
          <w:color w:val="auto"/>
        </w:rPr>
      </w:pPr>
    </w:p>
    <w:p>
      <w:pPr>
        <w:jc w:val="center"/>
        <w:ind w:right="278"/>
        <w:spacing w:after="0"/>
        <w:rPr>
          <w:sz w:val="20"/>
          <w:szCs w:val="20"/>
          <w:color w:val="auto"/>
        </w:rPr>
      </w:pPr>
      <w:r>
        <w:rPr>
          <w:rFonts w:ascii="Arial" w:cs="Arial" w:eastAsia="Arial" w:hAnsi="Arial"/>
          <w:sz w:val="14"/>
          <w:szCs w:val="14"/>
          <w:color w:val="auto"/>
        </w:rPr>
        <w:t>H-10</w:t>
      </w:r>
    </w:p>
    <w:p>
      <w:pPr>
        <w:sectPr>
          <w:pgSz w:w="11900" w:h="16838" w:orient="portrait"/>
          <w:cols w:equalWidth="0" w:num="1">
            <w:col w:w="10682"/>
          </w:cols>
          <w:pgMar w:left="738" w:top="821" w:right="479" w:bottom="1440" w:gutter="0" w:footer="0" w:header="0"/>
        </w:sectPr>
      </w:pPr>
    </w:p>
    <w:bookmarkStart w:id="339" w:name="page340"/>
    <w:bookmarkEnd w:id="339"/>
    <w:p>
      <w:pPr>
        <w:ind w:right="200"/>
        <w:spacing w:after="0" w:line="308" w:lineRule="auto"/>
        <w:rPr>
          <w:sz w:val="20"/>
          <w:szCs w:val="20"/>
          <w:color w:val="auto"/>
        </w:rPr>
      </w:pPr>
      <w:r>
        <w:rPr>
          <w:rFonts w:ascii="Arial" w:cs="Arial" w:eastAsia="Arial" w:hAnsi="Arial"/>
          <w:sz w:val="12"/>
          <w:szCs w:val="12"/>
          <w:color w:val="auto"/>
        </w:rPr>
        <w:t>(subject to the Corporation’s Special Redemption Right) such Series H Preferred Stock not into Class A Common Stock but solely into the kind and amount of Alternative Form Consideration which the holder of Series H Preferred Stock would have owned or been entitled to receive upon such Change of Control as if such holder of Series H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40" w:lineRule="exact"/>
        <w:rPr>
          <w:sz w:val="20"/>
          <w:szCs w:val="20"/>
          <w:color w:val="auto"/>
        </w:rPr>
      </w:pPr>
    </w:p>
    <w:p>
      <w:pPr>
        <w:ind w:right="240" w:firstLine="325"/>
        <w:spacing w:after="0" w:line="320" w:lineRule="auto"/>
        <w:rPr>
          <w:sz w:val="20"/>
          <w:szCs w:val="20"/>
          <w:color w:val="auto"/>
        </w:rPr>
      </w:pPr>
      <w:r>
        <w:rPr>
          <w:rFonts w:ascii="Arial" w:cs="Arial" w:eastAsia="Arial" w:hAnsi="Arial"/>
          <w:sz w:val="12"/>
          <w:szCs w:val="12"/>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21" w:lineRule="exact"/>
        <w:rPr>
          <w:sz w:val="20"/>
          <w:szCs w:val="20"/>
          <w:color w:val="auto"/>
        </w:rPr>
      </w:pPr>
    </w:p>
    <w:p>
      <w:pPr>
        <w:ind w:right="40" w:firstLine="325"/>
        <w:spacing w:after="0" w:line="274" w:lineRule="auto"/>
        <w:rPr>
          <w:sz w:val="20"/>
          <w:szCs w:val="20"/>
          <w:color w:val="auto"/>
        </w:rPr>
      </w:pPr>
      <w:r>
        <w:rPr>
          <w:rFonts w:ascii="Arial" w:cs="Arial" w:eastAsia="Arial" w:hAnsi="Arial"/>
          <w:sz w:val="13"/>
          <w:szCs w:val="13"/>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47" w:lineRule="exact"/>
        <w:rPr>
          <w:sz w:val="20"/>
          <w:szCs w:val="20"/>
          <w:color w:val="auto"/>
        </w:rPr>
      </w:pPr>
    </w:p>
    <w:p>
      <w:pPr>
        <w:ind w:firstLine="323"/>
        <w:spacing w:after="0" w:line="270" w:lineRule="auto"/>
        <w:tabs>
          <w:tab w:leader="none" w:pos="629" w:val="left"/>
        </w:tabs>
        <w:numPr>
          <w:ilvl w:val="0"/>
          <w:numId w:val="274"/>
        </w:numPr>
        <w:rPr>
          <w:rFonts w:ascii="Arial" w:cs="Arial" w:eastAsia="Arial" w:hAnsi="Arial"/>
          <w:sz w:val="14"/>
          <w:szCs w:val="14"/>
          <w:color w:val="auto"/>
        </w:rPr>
      </w:pPr>
      <w:r>
        <w:rPr>
          <w:rFonts w:ascii="Arial" w:cs="Arial" w:eastAsia="Arial" w:hAnsi="Arial"/>
          <w:sz w:val="14"/>
          <w:szCs w:val="14"/>
          <w:color w:val="auto"/>
        </w:rPr>
        <w:t>No fractional shares of Class A Common Stock shall be issued upon the conversion of Series H Preferred Stock. In lieu of fractional shares, holders shall be entitled to receive the cash value of such fractional shares based on the Common Stock Price.</w:t>
      </w:r>
    </w:p>
    <w:p>
      <w:pPr>
        <w:spacing w:after="0" w:line="47" w:lineRule="exact"/>
        <w:rPr>
          <w:rFonts w:ascii="Arial" w:cs="Arial" w:eastAsia="Arial" w:hAnsi="Arial"/>
          <w:sz w:val="14"/>
          <w:szCs w:val="14"/>
          <w:color w:val="auto"/>
        </w:rPr>
      </w:pPr>
    </w:p>
    <w:p>
      <w:pPr>
        <w:ind w:right="20" w:firstLine="323"/>
        <w:spacing w:after="0" w:line="247" w:lineRule="auto"/>
        <w:tabs>
          <w:tab w:leader="none" w:pos="619" w:val="left"/>
        </w:tabs>
        <w:numPr>
          <w:ilvl w:val="0"/>
          <w:numId w:val="274"/>
        </w:numPr>
        <w:rPr>
          <w:rFonts w:ascii="Arial" w:cs="Arial" w:eastAsia="Arial" w:hAnsi="Arial"/>
          <w:sz w:val="14"/>
          <w:szCs w:val="14"/>
          <w:color w:val="auto"/>
        </w:rPr>
      </w:pPr>
      <w:r>
        <w:rPr>
          <w:rFonts w:ascii="Arial" w:cs="Arial" w:eastAsia="Arial" w:hAnsi="Arial"/>
          <w:sz w:val="14"/>
          <w:szCs w:val="14"/>
          <w:color w:val="auto"/>
        </w:rPr>
        <w:t>Within 15 days following the occurrence of a Change of Control, the Corporation shall provide to holders of Series H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H Preferred Stock except as to the holder to whom notice was defective or not given. Each notice shall state the following: (i) the events constituting the Change of Control; (ii) the date of the Change of Control; (iii) the last date on which the holders of Series H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H Preferred Stock; (vii) the name and address of the paying agent and the conversion agent; and (viii) the procedures that the holders of Series H Preferred Stock must follow to exercise the Change of Control Conversion Right.</w:t>
      </w:r>
    </w:p>
    <w:p>
      <w:pPr>
        <w:spacing w:after="0" w:line="89"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H-11</w:t>
      </w:r>
    </w:p>
    <w:p>
      <w:pPr>
        <w:sectPr>
          <w:pgSz w:w="11900" w:h="16838" w:orient="portrait"/>
          <w:cols w:equalWidth="0" w:num="1">
            <w:col w:w="10640"/>
          </w:cols>
          <w:pgMar w:left="740" w:top="902" w:right="519" w:bottom="1440" w:gutter="0" w:footer="0" w:header="0"/>
        </w:sectPr>
      </w:pPr>
    </w:p>
    <w:bookmarkStart w:id="340" w:name="page341"/>
    <w:bookmarkEnd w:id="340"/>
    <w:p>
      <w:pPr>
        <w:ind w:right="140" w:firstLine="323"/>
        <w:spacing w:after="0" w:line="253" w:lineRule="auto"/>
        <w:tabs>
          <w:tab w:leader="none" w:pos="626" w:val="left"/>
        </w:tabs>
        <w:numPr>
          <w:ilvl w:val="0"/>
          <w:numId w:val="275"/>
        </w:numPr>
        <w:rPr>
          <w:rFonts w:ascii="Arial" w:cs="Arial" w:eastAsia="Arial" w:hAnsi="Arial"/>
          <w:sz w:val="14"/>
          <w:szCs w:val="14"/>
          <w:color w:val="auto"/>
        </w:rPr>
      </w:pPr>
      <w:r>
        <w:rPr>
          <w:rFonts w:ascii="Arial" w:cs="Arial" w:eastAsia="Arial" w:hAnsi="Arial"/>
          <w:sz w:val="14"/>
          <w:szCs w:val="14"/>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H Preferred Stock.</w:t>
      </w:r>
    </w:p>
    <w:p>
      <w:pPr>
        <w:spacing w:after="0" w:line="57" w:lineRule="exact"/>
        <w:rPr>
          <w:rFonts w:ascii="Arial" w:cs="Arial" w:eastAsia="Arial" w:hAnsi="Arial"/>
          <w:sz w:val="14"/>
          <w:szCs w:val="14"/>
          <w:color w:val="auto"/>
        </w:rPr>
      </w:pPr>
    </w:p>
    <w:p>
      <w:pPr>
        <w:ind w:firstLine="323"/>
        <w:spacing w:after="0" w:line="270" w:lineRule="auto"/>
        <w:tabs>
          <w:tab w:leader="none" w:pos="621" w:val="left"/>
        </w:tabs>
        <w:numPr>
          <w:ilvl w:val="0"/>
          <w:numId w:val="275"/>
        </w:numPr>
        <w:rPr>
          <w:rFonts w:ascii="Arial" w:cs="Arial" w:eastAsia="Arial" w:hAnsi="Arial"/>
          <w:sz w:val="13"/>
          <w:szCs w:val="13"/>
          <w:color w:val="auto"/>
        </w:rPr>
      </w:pPr>
      <w:r>
        <w:rPr>
          <w:rFonts w:ascii="Arial" w:cs="Arial" w:eastAsia="Arial" w:hAnsi="Arial"/>
          <w:sz w:val="13"/>
          <w:szCs w:val="13"/>
          <w:color w:val="auto"/>
        </w:rPr>
        <w:t>In order to exercise the Change of Control Conversion Right, a holder of Series H Preferred Stock shall be required to deliver, on or before the close of business on the Change of Control Conversion Date, the certificates (if any) evidencing the shares of Series H Preferred Stock to be converted, duly endorsed for transfer, together with a written conversion notice completed, to the transfer agent. Such conversion notice shall state: (i) the relevant Change of Control Conversion Date; (ii) the number of shares of Series H Preferred Stock to be converted; and (iii) that the shares of Series H Preferred Stock are to be converted pursuant to the applicable provisions of the Series H Preferred Stock. Notwithstanding the foregoing, if the shares of Series H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50" w:lineRule="exact"/>
        <w:rPr>
          <w:rFonts w:ascii="Arial" w:cs="Arial" w:eastAsia="Arial" w:hAnsi="Arial"/>
          <w:sz w:val="13"/>
          <w:szCs w:val="13"/>
          <w:color w:val="auto"/>
        </w:rPr>
      </w:pPr>
    </w:p>
    <w:p>
      <w:pPr>
        <w:ind w:right="80" w:firstLine="323"/>
        <w:spacing w:after="0" w:line="274" w:lineRule="auto"/>
        <w:tabs>
          <w:tab w:leader="none" w:pos="606" w:val="left"/>
        </w:tabs>
        <w:numPr>
          <w:ilvl w:val="0"/>
          <w:numId w:val="275"/>
        </w:numPr>
        <w:rPr>
          <w:rFonts w:ascii="Arial" w:cs="Arial" w:eastAsia="Arial" w:hAnsi="Arial"/>
          <w:sz w:val="13"/>
          <w:szCs w:val="13"/>
          <w:color w:val="auto"/>
        </w:rPr>
      </w:pPr>
      <w:r>
        <w:rPr>
          <w:rFonts w:ascii="Arial" w:cs="Arial" w:eastAsia="Arial" w:hAnsi="Arial"/>
          <w:sz w:val="13"/>
          <w:szCs w:val="13"/>
          <w:color w:val="auto"/>
        </w:rPr>
        <w:t>Holders of Series H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H Preferred Stock; (ii) if certificated shares of Series H Preferred Stock have been issued, the certificate numbers of the withdrawn shares of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DTC procedures.</w:t>
      </w:r>
    </w:p>
    <w:p>
      <w:pPr>
        <w:spacing w:after="0" w:line="47" w:lineRule="exact"/>
        <w:rPr>
          <w:rFonts w:ascii="Arial" w:cs="Arial" w:eastAsia="Arial" w:hAnsi="Arial"/>
          <w:sz w:val="13"/>
          <w:szCs w:val="13"/>
          <w:color w:val="auto"/>
        </w:rPr>
      </w:pPr>
    </w:p>
    <w:p>
      <w:pPr>
        <w:ind w:right="100" w:firstLine="323"/>
        <w:spacing w:after="0" w:line="310" w:lineRule="auto"/>
        <w:tabs>
          <w:tab w:leader="none" w:pos="629" w:val="left"/>
        </w:tabs>
        <w:numPr>
          <w:ilvl w:val="0"/>
          <w:numId w:val="275"/>
        </w:numPr>
        <w:rPr>
          <w:rFonts w:ascii="Arial" w:cs="Arial" w:eastAsia="Arial" w:hAnsi="Arial"/>
          <w:sz w:val="13"/>
          <w:szCs w:val="13"/>
          <w:color w:val="auto"/>
        </w:rPr>
      </w:pPr>
      <w:r>
        <w:rPr>
          <w:rFonts w:ascii="Arial" w:cs="Arial" w:eastAsia="Arial" w:hAnsi="Arial"/>
          <w:sz w:val="13"/>
          <w:szCs w:val="13"/>
          <w:color w:val="auto"/>
        </w:rPr>
        <w:t>Series H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151" w:lineRule="exact"/>
        <w:rPr>
          <w:rFonts w:ascii="Arial" w:cs="Arial" w:eastAsia="Arial" w:hAnsi="Arial"/>
          <w:sz w:val="13"/>
          <w:szCs w:val="13"/>
          <w:color w:val="auto"/>
        </w:rPr>
      </w:pPr>
    </w:p>
    <w:p>
      <w:pPr>
        <w:ind w:right="100" w:firstLine="323"/>
        <w:spacing w:after="0" w:line="250" w:lineRule="auto"/>
        <w:tabs>
          <w:tab w:leader="none" w:pos="629" w:val="left"/>
        </w:tabs>
        <w:numPr>
          <w:ilvl w:val="0"/>
          <w:numId w:val="275"/>
        </w:numPr>
        <w:rPr>
          <w:rFonts w:ascii="Arial" w:cs="Arial" w:eastAsia="Arial" w:hAnsi="Arial"/>
          <w:sz w:val="14"/>
          <w:szCs w:val="14"/>
          <w:color w:val="auto"/>
        </w:rPr>
      </w:pPr>
      <w:r>
        <w:rPr>
          <w:rFonts w:ascii="Arial" w:cs="Arial" w:eastAsia="Arial" w:hAnsi="Arial"/>
          <w:sz w:val="14"/>
          <w:szCs w:val="14"/>
          <w:color w:val="auto"/>
        </w:rPr>
        <w:t>In connection with the exercise of any Change of Control Conversion Right, the Corporation will comply with all U.S. federal and state securities laws and stock exchange rules in connection with any conversion of Series H Preferred Stock into Class A Common Stock. Notwithstanding anything to the contrary contained herein, no holder of Series H Preferred Stock will be entitled to convert such Series H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85"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H-12</w:t>
      </w:r>
    </w:p>
    <w:p>
      <w:pPr>
        <w:sectPr>
          <w:pgSz w:w="11900" w:h="16838" w:orient="portrait"/>
          <w:cols w:equalWidth="0" w:num="1">
            <w:col w:w="10640"/>
          </w:cols>
          <w:pgMar w:left="740" w:top="821" w:right="519" w:bottom="1440" w:gutter="0" w:footer="0" w:header="0"/>
        </w:sectPr>
      </w:pPr>
    </w:p>
    <w:bookmarkStart w:id="341" w:name="page342"/>
    <w:bookmarkEnd w:id="341"/>
    <w:p>
      <w:pPr>
        <w:ind w:left="-240" w:firstLine="701"/>
        <w:spacing w:after="0" w:line="270" w:lineRule="auto"/>
        <w:tabs>
          <w:tab w:leader="none" w:pos="836" w:val="left"/>
        </w:tabs>
        <w:numPr>
          <w:ilvl w:val="0"/>
          <w:numId w:val="276"/>
        </w:numPr>
        <w:rPr>
          <w:rFonts w:ascii="Arial" w:cs="Arial" w:eastAsia="Arial" w:hAnsi="Arial"/>
          <w:sz w:val="14"/>
          <w:szCs w:val="14"/>
          <w:color w:val="auto"/>
        </w:rPr>
      </w:pPr>
      <w:r>
        <w:rPr>
          <w:rFonts w:ascii="Arial" w:cs="Arial" w:eastAsia="Arial" w:hAnsi="Arial"/>
          <w:sz w:val="14"/>
          <w:szCs w:val="14"/>
          <w:i w:val="1"/>
          <w:iCs w:val="1"/>
          <w:color w:val="auto"/>
        </w:rPr>
        <w:t>Record Holders</w:t>
      </w:r>
      <w:r>
        <w:rPr>
          <w:rFonts w:ascii="Arial" w:cs="Arial" w:eastAsia="Arial" w:hAnsi="Arial"/>
          <w:sz w:val="14"/>
          <w:szCs w:val="14"/>
          <w:color w:val="auto"/>
        </w:rPr>
        <w:t>. The Corporation and the transfer agent for the Series H Preferred Stock may deem and treat the record holder of any Series H Preferred Stock as the true and</w:t>
      </w:r>
      <w:r>
        <w:rPr>
          <w:rFonts w:ascii="Arial" w:cs="Arial" w:eastAsia="Arial" w:hAnsi="Arial"/>
          <w:sz w:val="14"/>
          <w:szCs w:val="14"/>
          <w:i w:val="1"/>
          <w:iCs w:val="1"/>
          <w:color w:val="auto"/>
        </w:rPr>
        <w:t xml:space="preserve"> </w:t>
      </w:r>
      <w:r>
        <w:rPr>
          <w:rFonts w:ascii="Arial" w:cs="Arial" w:eastAsia="Arial" w:hAnsi="Arial"/>
          <w:sz w:val="14"/>
          <w:szCs w:val="14"/>
          <w:color w:val="auto"/>
        </w:rPr>
        <w:t>lawful owner thereof for all purposes, and neither the Corporation nor the transfer agent shall be affected by any notice to the contrary.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H-13</w:t>
      </w:r>
    </w:p>
    <w:p>
      <w:pPr>
        <w:sectPr>
          <w:pgSz w:w="11900" w:h="16838" w:orient="portrait"/>
          <w:cols w:equalWidth="0" w:num="1">
            <w:col w:w="10600"/>
          </w:cols>
          <w:pgMar w:left="640" w:top="821" w:right="659" w:bottom="1440" w:gutter="0" w:footer="0" w:header="0"/>
        </w:sectPr>
      </w:pPr>
    </w:p>
    <w:bookmarkStart w:id="342" w:name="page343"/>
    <w:bookmarkEnd w:id="342"/>
    <w:p>
      <w:pPr>
        <w:jc w:val="right"/>
        <w:spacing w:after="0"/>
        <w:rPr>
          <w:sz w:val="20"/>
          <w:szCs w:val="20"/>
          <w:color w:val="auto"/>
        </w:rPr>
      </w:pPr>
      <w:r>
        <w:rPr>
          <w:rFonts w:ascii="Arial" w:cs="Arial" w:eastAsia="Arial" w:hAnsi="Arial"/>
          <w:sz w:val="16"/>
          <w:szCs w:val="16"/>
          <w:b w:val="1"/>
          <w:bCs w:val="1"/>
          <w:color w:val="auto"/>
        </w:rPr>
        <w:t>Exhibit 4.7</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DIGITALBRIDGE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 REGISTERED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12 OF THE SECURITIES EXCHANGE ACT OF 1934</w:t>
      </w:r>
    </w:p>
    <w:p>
      <w:pPr>
        <w:spacing w:after="0" w:line="202" w:lineRule="exact"/>
        <w:rPr>
          <w:sz w:val="20"/>
          <w:szCs w:val="20"/>
          <w:color w:val="auto"/>
        </w:rPr>
      </w:pPr>
    </w:p>
    <w:p>
      <w:pPr>
        <w:ind w:right="20" w:firstLine="561"/>
        <w:spacing w:after="0" w:line="293"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following description sets forth certain material terms and provisions of our securities registered under Section 12 of the Securities Exchange Act of 1934, as amended</w:t>
      </w:r>
      <w:r>
        <w:rPr>
          <w:rFonts w:ascii="Arial" w:cs="Arial" w:eastAsia="Arial" w:hAnsi="Arial"/>
          <w:sz w:val="14"/>
          <w:szCs w:val="14"/>
          <w:color w:val="auto"/>
        </w:rPr>
        <w:t xml:space="preserve"> </w:t>
      </w:r>
      <w:r>
        <w:rPr>
          <w:rFonts w:ascii="Arial" w:cs="Arial" w:eastAsia="Arial" w:hAnsi="Arial"/>
          <w:sz w:val="14"/>
          <w:szCs w:val="14"/>
          <w:i w:val="1"/>
          <w:iCs w:val="1"/>
          <w:color w:val="auto"/>
        </w:rPr>
        <w:t>(the “Exchange Act”). This description also summarizes relevant provisions of Maryland law and certain provisions of our Articles of Amendment and Restatement, as amended (the “Charter”), and our Amended and Restated Bylaws (the “Bylaws”). The following description does not purport to be complete and is subject to, and is qualified in its entirety by reference to, the applicable provisions of Maryland law and our Charter and Bylaws, each of which are incorporated by reference as exhibits to the Annual Report on Form 10-K of which this Exhibit 4.7 is a part. We encourage you to read the Charter, the Bylaws and the applicable provisions of Maryland law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w:t>
      </w:r>
    </w:p>
    <w:p>
      <w:pPr>
        <w:spacing w:after="0" w:line="19" w:lineRule="exact"/>
        <w:rPr>
          <w:sz w:val="20"/>
          <w:szCs w:val="20"/>
          <w:color w:val="auto"/>
        </w:rPr>
      </w:pPr>
    </w:p>
    <w:p>
      <w:pPr>
        <w:ind w:right="60" w:firstLine="561"/>
        <w:spacing w:after="0" w:line="297" w:lineRule="auto"/>
        <w:rPr>
          <w:sz w:val="20"/>
          <w:szCs w:val="20"/>
          <w:color w:val="auto"/>
        </w:rPr>
      </w:pPr>
      <w:r>
        <w:rPr>
          <w:rFonts w:ascii="Arial" w:cs="Arial" w:eastAsia="Arial" w:hAnsi="Arial"/>
          <w:sz w:val="14"/>
          <w:szCs w:val="14"/>
          <w:color w:val="auto"/>
        </w:rPr>
        <w:t>Our Charter provides that we are authorized to issue up to 1,250,000,000 shares of stock, consisting of 949,000,000 shares of Class A common stock (“Class A common stock”), 1,000,000 shares of Class B common stock (“Class B common stock”), 50,000,000 shares of Performance common stock (“Performance common stock”), and up to 250,000,000 shares of preferred stock, of which: (i) 11,500,000 shares are classified as Series H preferred stock (“Series H preferred stock”); (ii) 13,800,000 shares are classified as Series I preferred stock (“Series I preferred stock”); and (iii) 12,650,000 shares are classified as Series J preferred stock (“Series J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Voting Rights of Common Stock</w:t>
      </w:r>
    </w:p>
    <w:p>
      <w:pPr>
        <w:spacing w:after="0" w:line="214" w:lineRule="exact"/>
        <w:rPr>
          <w:sz w:val="20"/>
          <w:szCs w:val="20"/>
          <w:color w:val="auto"/>
        </w:rPr>
      </w:pPr>
    </w:p>
    <w:p>
      <w:pPr>
        <w:ind w:right="20" w:firstLine="561"/>
        <w:spacing w:after="0" w:line="285" w:lineRule="auto"/>
        <w:rPr>
          <w:sz w:val="20"/>
          <w:szCs w:val="20"/>
          <w:color w:val="auto"/>
        </w:rPr>
      </w:pPr>
      <w:r>
        <w:rPr>
          <w:rFonts w:ascii="Arial" w:cs="Arial" w:eastAsia="Arial" w:hAnsi="Arial"/>
          <w:sz w:val="14"/>
          <w:szCs w:val="14"/>
          <w:color w:val="auto"/>
        </w:rPr>
        <w:t>Subject to the provisions of our Charter regarding the restrictions on transfer and ownership of shares of our securities and except as may otherwise be specified in the terms of any class or series of shares of common stock or Performance common stock, each outstanding share of Class A common stock entitles the holder to one vote and each outstanding share of Class B common stock entitles the holder to 36.5 votes on all matters submitted to a vote of stockholders, including the election of directors, and, except as provided with respect to any other class or series of shares of stock, the holders of such shares of Class A common stock and Class B common stock will possess the exclusive voting power and will vote as a single class. There will be no cumulative voting in the election of directors. A nominee for director shall be elected as a director only if such nominee receives the affirmative vote of a majority of the total votes cast for and against such nominee, unless there is a contested election, in which case directors shall be elected by a plurality of votes cast at a meeting. Holders of shares of Performance common stock are not entitled to vote, except that the consent of the holders of a majority of the shares of Performance common stock, voting as a separate class, is required for any amendment to our Charter that would increase or decrease the aggregate number of shares of Performance common stock, increase or decrease the par value of the shares of Performance common stock, or alter or change the powers, preferences or special rights of the Performance common stock so as to affect them adversely.</w:t>
      </w:r>
    </w:p>
    <w:p>
      <w:pPr>
        <w:spacing w:after="0" w:line="170" w:lineRule="exact"/>
        <w:rPr>
          <w:sz w:val="20"/>
          <w:szCs w:val="20"/>
          <w:color w:val="auto"/>
        </w:rPr>
      </w:pPr>
    </w:p>
    <w:p>
      <w:pPr>
        <w:ind w:right="40" w:firstLine="561"/>
        <w:spacing w:after="0" w:line="290" w:lineRule="auto"/>
        <w:rPr>
          <w:sz w:val="20"/>
          <w:szCs w:val="20"/>
          <w:color w:val="auto"/>
        </w:rPr>
      </w:pPr>
      <w:r>
        <w:rPr>
          <w:rFonts w:ascii="Arial" w:cs="Arial" w:eastAsia="Arial" w:hAnsi="Arial"/>
          <w:sz w:val="14"/>
          <w:szCs w:val="14"/>
          <w:color w:val="auto"/>
        </w:rPr>
        <w:t>Under the Maryland General Corporation Law, as amended (the “MGCL”), a Maryland corporation generally cannot dissolve, amend its charter, merge, convert into another form of entity, sell all or substantially all of its assets, engage in a share exchange or engage in similar transactions outside the ordinary course of business unless declared advisable by our board of directors and approved by the affirmative vote of stockholders holding at least two-thirds of the votes entitled to be cast on the matter unless a lesser percentage (but not less than a majority of all the votes entitled to be cast on the matter) is set forth in the corporation’s charter. Our Charter provides that these actions (other than amendments to the provisions of our Charter related to the restrictions on ownership and transfer of shares of our securities and related Charter amendments, which each require the affirmative vote of the stockholders entitled to cast not less than two-thirds of all the votes entitled to be cast on the matter) may be taken if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320" w:top="1266" w:right="319" w:bottom="1440" w:gutter="0" w:footer="0" w:header="0"/>
        </w:sectPr>
      </w:pPr>
    </w:p>
    <w:bookmarkStart w:id="343" w:name="page344"/>
    <w:bookmarkEnd w:id="343"/>
    <w:p>
      <w:pPr>
        <w:ind w:right="160"/>
        <w:spacing w:after="0" w:line="253" w:lineRule="auto"/>
        <w:rPr>
          <w:sz w:val="20"/>
          <w:szCs w:val="20"/>
          <w:color w:val="auto"/>
        </w:rPr>
      </w:pPr>
      <w:r>
        <w:rPr>
          <w:rFonts w:ascii="Arial" w:cs="Arial" w:eastAsia="Arial" w:hAnsi="Arial"/>
          <w:sz w:val="16"/>
          <w:szCs w:val="16"/>
          <w:color w:val="auto"/>
        </w:rPr>
        <w:t>declared advisable by our board of directors and approved by the vote of stockholders entitled to cast at least a majority of all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Dividends, Liquidation and Other Rights</w:t>
      </w:r>
    </w:p>
    <w:p>
      <w:pPr>
        <w:spacing w:after="0" w:line="214" w:lineRule="exact"/>
        <w:rPr>
          <w:sz w:val="20"/>
          <w:szCs w:val="20"/>
          <w:color w:val="auto"/>
        </w:rPr>
      </w:pPr>
    </w:p>
    <w:p>
      <w:pPr>
        <w:ind w:firstLine="561"/>
        <w:spacing w:after="0" w:line="285" w:lineRule="auto"/>
        <w:rPr>
          <w:sz w:val="20"/>
          <w:szCs w:val="20"/>
          <w:color w:val="auto"/>
        </w:rPr>
      </w:pPr>
      <w:r>
        <w:rPr>
          <w:rFonts w:ascii="Arial" w:cs="Arial" w:eastAsia="Arial" w:hAnsi="Arial"/>
          <w:sz w:val="14"/>
          <w:szCs w:val="14"/>
          <w:color w:val="auto"/>
        </w:rPr>
        <w:t>Subject to the preferential rights of any other class or series of stock of our company, including our preferred stock, described below, and subject to the provisions of our Charter regarding the restrictions on ownership and transfer of shares of our securities, holders of shares of common stock and Performance common stock are entitled to receive dividends on such shares of stock if, as and when authorized by our board, and declared by us out of assets or funds legally available therefor. Such holders are also entitled to share ratably in our assets legally available for distribution to our stockholders in the event of its liquidation, dissolution or winding up or any distribution of our assets after payment or establishment of reserves or other adequate provision for all debts and liabilities of our company and any class or series of stock with preferential rights related thereto, including preferred stock. Under Maryland law, stockholders generally are not liable for the corporation’s debts or obligations. If and when our board authorizes or declares a dividend or other distribution with respect to our Class A common stock, such authorization or declaration will constitute a simultaneous authorization or declaration of an equivalent dividend or other distribution with respect to each share of our Class B common stock and each share of our Performance common stock; provided, however, that dividends on shares of our Performance common stock may not exceed any dividends declared on shares of our Class A common stock at the time such dividend is made.</w:t>
      </w:r>
    </w:p>
    <w:p>
      <w:pPr>
        <w:spacing w:after="0" w:line="174" w:lineRule="exact"/>
        <w:rPr>
          <w:sz w:val="20"/>
          <w:szCs w:val="20"/>
          <w:color w:val="auto"/>
        </w:rPr>
      </w:pPr>
    </w:p>
    <w:p>
      <w:pPr>
        <w:ind w:right="140" w:firstLine="561"/>
        <w:spacing w:after="0" w:line="250" w:lineRule="auto"/>
        <w:rPr>
          <w:sz w:val="20"/>
          <w:szCs w:val="20"/>
          <w:color w:val="auto"/>
        </w:rPr>
      </w:pPr>
      <w:r>
        <w:rPr>
          <w:rFonts w:ascii="Arial" w:cs="Arial" w:eastAsia="Arial" w:hAnsi="Arial"/>
          <w:sz w:val="16"/>
          <w:szCs w:val="16"/>
          <w:color w:val="auto"/>
        </w:rPr>
        <w:t>Holders of shares of our common stock and Performance common stock have no preference, conversion (other than as described below with respect to our Class B common stock and Performance common stock), exchange, sinking fund or redemption rights, have no preemptive rights to subscribe for any of our securities and have appraisal rights as described below. Subject to the provisions of our Charter regarding the restrictions on ownership and transfer of shares of our securities, shares of our common stock and Performance common stock will have equal dividend, liquidation and other rights.</w:t>
      </w:r>
    </w:p>
    <w:p>
      <w:pPr>
        <w:spacing w:after="0" w:line="192" w:lineRule="exact"/>
        <w:rPr>
          <w:sz w:val="20"/>
          <w:szCs w:val="20"/>
          <w:color w:val="auto"/>
        </w:rPr>
      </w:pPr>
    </w:p>
    <w:p>
      <w:pPr>
        <w:ind w:right="40" w:firstLine="561"/>
        <w:spacing w:after="0" w:line="253" w:lineRule="auto"/>
        <w:rPr>
          <w:sz w:val="20"/>
          <w:szCs w:val="20"/>
          <w:color w:val="auto"/>
        </w:rPr>
      </w:pPr>
      <w:r>
        <w:rPr>
          <w:rFonts w:ascii="Arial" w:cs="Arial" w:eastAsia="Arial" w:hAnsi="Arial"/>
          <w:sz w:val="16"/>
          <w:szCs w:val="16"/>
          <w:color w:val="auto"/>
        </w:rPr>
        <w:t>In the event of any liquidation, dissolution or winding up of our company or any distribution of the assets of our company, each holder of common stock will be entitled to participate, together with any other class of stock not having a preference over our common stock, in the distribution of any remaining assets after payment of our debts and liabilities and distributions to holders of shares having a preference over our common stock.</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Power to Reclassify Our Unissued Shares of Our Securities</w:t>
      </w:r>
    </w:p>
    <w:p>
      <w:pPr>
        <w:spacing w:after="0" w:line="214" w:lineRule="exact"/>
        <w:rPr>
          <w:sz w:val="20"/>
          <w:szCs w:val="20"/>
          <w:color w:val="auto"/>
        </w:rPr>
      </w:pPr>
    </w:p>
    <w:p>
      <w:pPr>
        <w:ind w:right="100" w:firstLine="561"/>
        <w:spacing w:after="0" w:line="290" w:lineRule="auto"/>
        <w:rPr>
          <w:sz w:val="20"/>
          <w:szCs w:val="20"/>
          <w:color w:val="auto"/>
        </w:rPr>
      </w:pPr>
      <w:r>
        <w:rPr>
          <w:rFonts w:ascii="Arial" w:cs="Arial" w:eastAsia="Arial" w:hAnsi="Arial"/>
          <w:sz w:val="14"/>
          <w:szCs w:val="14"/>
          <w:color w:val="auto"/>
        </w:rPr>
        <w:t>Our Charter authorizes our board to classify and reclassify any unissued shares of our common stock or preferred stock into other classes or series of shares of our common stock or preferred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 As a result, subject to any preferences on the preferred stock, our board could authorize the issuance of a new series or class of shares of preferred stock that have priority over the common stock with respect to dividends, distributions and rights upon liquidation and with other terms and conditions that could have the effect of delaying, deterring or preventing a transaction or a change in control that might involve a premium price for holders of shares of our common stock or otherwise might be in their best interest.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Power to Issue Additional Shares of Our Securities</w:t>
      </w:r>
    </w:p>
    <w:p>
      <w:pPr>
        <w:spacing w:after="0" w:line="214" w:lineRule="exact"/>
        <w:rPr>
          <w:sz w:val="20"/>
          <w:szCs w:val="20"/>
          <w:color w:val="auto"/>
        </w:rPr>
      </w:pPr>
    </w:p>
    <w:p>
      <w:pPr>
        <w:ind w:right="20" w:firstLine="561"/>
        <w:spacing w:after="0" w:line="250" w:lineRule="auto"/>
        <w:rPr>
          <w:sz w:val="20"/>
          <w:szCs w:val="20"/>
          <w:color w:val="auto"/>
        </w:rPr>
      </w:pPr>
      <w:r>
        <w:rPr>
          <w:rFonts w:ascii="Arial" w:cs="Arial" w:eastAsia="Arial" w:hAnsi="Arial"/>
          <w:sz w:val="16"/>
          <w:szCs w:val="16"/>
          <w:color w:val="auto"/>
        </w:rPr>
        <w:t>We believe that the power of our board to issue additional authorized but unissued shares of our securities and to classify or reclassify unissued shares of our securities and thereafter to cause the issuance of such classified or reclassified shares of our securities will provide us with increased flexibility in structuring possible future financings and acquisitions and in meeting other needs that might arise. The additional classes or series will be available for issuance without further action by our stockholders, unless such action is required by applicable law or the rules of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49" w:right="339" w:bottom="1440" w:gutter="0" w:footer="0" w:header="0"/>
        </w:sectPr>
      </w:pPr>
    </w:p>
    <w:bookmarkStart w:id="344" w:name="page345"/>
    <w:bookmarkEnd w:id="344"/>
    <w:p>
      <w:pPr>
        <w:ind w:right="80"/>
        <w:spacing w:after="0" w:line="307" w:lineRule="auto"/>
        <w:rPr>
          <w:sz w:val="20"/>
          <w:szCs w:val="20"/>
          <w:color w:val="auto"/>
        </w:rPr>
      </w:pPr>
      <w:r>
        <w:rPr>
          <w:rFonts w:ascii="Arial" w:cs="Arial" w:eastAsia="Arial" w:hAnsi="Arial"/>
          <w:sz w:val="14"/>
          <w:szCs w:val="14"/>
          <w:color w:val="auto"/>
        </w:rPr>
        <w:t>any stock exchange or automated quotation system on which our securities may be listed or traded. Although our board does not intend to do so, it could authorize us to issue a class or series that could, depending upon the terms of the particular class or series, delay, defer or prevent a transaction or a change in control of our company that might involve a premium price for holders of our securities or that our stockholders might not view as being in the best interest of our stockholders.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Dissenters’ Rights</w:t>
      </w:r>
    </w:p>
    <w:p>
      <w:pPr>
        <w:spacing w:after="0" w:line="214" w:lineRule="exact"/>
        <w:rPr>
          <w:sz w:val="20"/>
          <w:szCs w:val="20"/>
          <w:color w:val="auto"/>
        </w:rPr>
      </w:pPr>
    </w:p>
    <w:p>
      <w:pPr>
        <w:ind w:right="20" w:firstLine="561"/>
        <w:spacing w:after="0" w:line="288" w:lineRule="auto"/>
        <w:rPr>
          <w:sz w:val="20"/>
          <w:szCs w:val="20"/>
          <w:color w:val="auto"/>
        </w:rPr>
      </w:pPr>
      <w:r>
        <w:rPr>
          <w:rFonts w:ascii="Arial" w:cs="Arial" w:eastAsia="Arial" w:hAnsi="Arial"/>
          <w:sz w:val="14"/>
          <w:szCs w:val="14"/>
          <w:color w:val="auto"/>
        </w:rPr>
        <w:t>Our Charter establishes certain dissenters’ rights in addition to those available to stockholders of a Maryland corporation with stock listed on a national securities exchange. The MGCL provides that a dissenting or objecting stockholder has the right to demand and receive payment of the fair value of the stockholder’s stock from a successor corporation if: (i) the corporation consolidates or merges with another corporation; (ii) the corporation’s stock is to be acquired in a share exchange; (iii) the corporation transfers all or substantially all of its assets in a transaction requiring approval of the corporation’s stockholders; (iv) the corporation amends its charter in a way which alters the contract rights, as expressly set forth in the charter, of any outstanding stock and substantially adversely affects the stockholder’s rights, unless the right to do so is reserved in the charter of the corporation (which right is so reserved in our Charter); (v) the transaction is subject to certain provisions of the Maryland Business Combination Act; or (vi) the corporation is being converted to another entity form.</w:t>
      </w:r>
    </w:p>
    <w:p>
      <w:pPr>
        <w:spacing w:after="0" w:line="168" w:lineRule="exact"/>
        <w:rPr>
          <w:sz w:val="20"/>
          <w:szCs w:val="20"/>
          <w:color w:val="auto"/>
        </w:rPr>
      </w:pPr>
    </w:p>
    <w:p>
      <w:pPr>
        <w:ind w:firstLine="561"/>
        <w:spacing w:after="0" w:line="288" w:lineRule="auto"/>
        <w:rPr>
          <w:sz w:val="20"/>
          <w:szCs w:val="20"/>
          <w:color w:val="auto"/>
        </w:rPr>
      </w:pPr>
      <w:r>
        <w:rPr>
          <w:rFonts w:ascii="Arial" w:cs="Arial" w:eastAsia="Arial" w:hAnsi="Arial"/>
          <w:sz w:val="14"/>
          <w:szCs w:val="14"/>
          <w:color w:val="auto"/>
        </w:rPr>
        <w:t>The MGCL provides that, subject to a limited exception, a stockholder may not demand the fair value of the stockholder’s stock and is bound by the terms of the transaction if, among other things, the stock is listed on a national securities exchange on the record date for determining stockholders entitled to vote on the matter. Holders of shares of our Class A and Class B common stock shall be entitled to exercise the rights of an objecting stockholder provided for under Title 3, Subtitle 2 of the MGCL or any successor statute. In addition to the statutory rights of objecting stockholders and notwithstanding the limitations on exercising the rights of an objecting stockholder when the stock is listed on a national securities exchange, a holder of shares of our Class A common stock or Class B common stock shall have the additional right, pursuant to our Charter, to demand and receive payment of the fair value of such stockholder’s shares of common stock in any merger, consolidation or statutory share exchange if the holder is required by the terms of an agreement or plan of merger, consolidation or statutory share exchange to accept for such shares anything except:</w:t>
      </w:r>
    </w:p>
    <w:p>
      <w:pPr>
        <w:spacing w:after="0" w:line="238" w:lineRule="exact"/>
        <w:rPr>
          <w:sz w:val="20"/>
          <w:szCs w:val="20"/>
          <w:color w:val="auto"/>
        </w:rPr>
      </w:pPr>
    </w:p>
    <w:p>
      <w:pPr>
        <w:ind w:left="860" w:hanging="851"/>
        <w:spacing w:after="0"/>
        <w:tabs>
          <w:tab w:leader="none" w:pos="86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shares of stock of the corporation surviving or resulting from such merger, consolidation, or statutory share exchange, or depository receipts in respect thereof;</w:t>
      </w:r>
    </w:p>
    <w:p>
      <w:pPr>
        <w:spacing w:after="0" w:line="200" w:lineRule="exact"/>
        <w:rPr>
          <w:rFonts w:ascii="Arial" w:cs="Arial" w:eastAsia="Arial" w:hAnsi="Arial"/>
          <w:sz w:val="14"/>
          <w:szCs w:val="14"/>
          <w:color w:val="auto"/>
        </w:rPr>
      </w:pPr>
    </w:p>
    <w:p>
      <w:pPr>
        <w:spacing w:after="0" w:line="305" w:lineRule="exact"/>
        <w:rPr>
          <w:rFonts w:ascii="Arial" w:cs="Arial" w:eastAsia="Arial" w:hAnsi="Arial"/>
          <w:sz w:val="14"/>
          <w:szCs w:val="14"/>
          <w:color w:val="auto"/>
        </w:rPr>
      </w:pPr>
    </w:p>
    <w:p>
      <w:pPr>
        <w:jc w:val="both"/>
        <w:ind w:left="860" w:right="480" w:hanging="851"/>
        <w:spacing w:after="0" w:line="335" w:lineRule="auto"/>
        <w:tabs>
          <w:tab w:leader="none" w:pos="86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392" w:lineRule="exact"/>
        <w:rPr>
          <w:rFonts w:ascii="Arial" w:cs="Arial" w:eastAsia="Arial" w:hAnsi="Arial"/>
          <w:sz w:val="14"/>
          <w:szCs w:val="14"/>
          <w:color w:val="auto"/>
        </w:rPr>
      </w:pPr>
    </w:p>
    <w:p>
      <w:pPr>
        <w:ind w:left="860" w:hanging="851"/>
        <w:spacing w:after="0"/>
        <w:tabs>
          <w:tab w:leader="none" w:pos="8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clauses; or</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860" w:hanging="851"/>
        <w:spacing w:after="0"/>
        <w:tabs>
          <w:tab w:leader="none" w:pos="86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any combination of the shares of stock, depository receipts and cash in lieu of fractional shares or fractional depository receipts described in the foregoing clauses.</w:t>
      </w:r>
    </w:p>
    <w:p>
      <w:pPr>
        <w:spacing w:after="0" w:line="200" w:lineRule="exact"/>
        <w:rPr>
          <w:sz w:val="20"/>
          <w:szCs w:val="20"/>
          <w:color w:val="auto"/>
        </w:rPr>
      </w:pPr>
    </w:p>
    <w:p>
      <w:pPr>
        <w:spacing w:after="0" w:line="235" w:lineRule="exact"/>
        <w:rPr>
          <w:sz w:val="20"/>
          <w:szCs w:val="20"/>
          <w:color w:val="auto"/>
        </w:rPr>
      </w:pPr>
    </w:p>
    <w:p>
      <w:pPr>
        <w:ind w:right="140" w:firstLine="561"/>
        <w:spacing w:after="0" w:line="263" w:lineRule="auto"/>
        <w:rPr>
          <w:sz w:val="20"/>
          <w:szCs w:val="20"/>
          <w:color w:val="auto"/>
        </w:rPr>
      </w:pPr>
      <w:r>
        <w:rPr>
          <w:rFonts w:ascii="Arial" w:cs="Arial" w:eastAsia="Arial" w:hAnsi="Arial"/>
          <w:sz w:val="16"/>
          <w:szCs w:val="16"/>
          <w:color w:val="auto"/>
        </w:rPr>
        <w:t>Holders of shares of our Class A common stock or Class B common stock exercising the rights of an objecting stockholder provided in our Charter must comply with the requirements to properly exercise such rights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320" w:top="1249" w:right="319" w:bottom="1440" w:gutter="0" w:footer="0" w:header="0"/>
        </w:sectPr>
      </w:pPr>
    </w:p>
    <w:bookmarkStart w:id="345" w:name="page346"/>
    <w:bookmarkEnd w:id="345"/>
    <w:p>
      <w:pPr>
        <w:ind w:right="100"/>
        <w:spacing w:after="0" w:line="263" w:lineRule="auto"/>
        <w:rPr>
          <w:sz w:val="20"/>
          <w:szCs w:val="20"/>
          <w:color w:val="auto"/>
        </w:rPr>
      </w:pPr>
      <w:r>
        <w:rPr>
          <w:rFonts w:ascii="Arial" w:cs="Arial" w:eastAsia="Arial" w:hAnsi="Arial"/>
          <w:sz w:val="16"/>
          <w:szCs w:val="16"/>
          <w:color w:val="auto"/>
        </w:rPr>
        <w:t>set forth in Title 3, Subtitle 2 of the MGCL to the same extent as if they were exercising the rights of objecting stockholders provided for in Title 3, Subtitle 2 of the MGCL or any successor statute.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Conversion of Our Class B Common Stock</w:t>
      </w:r>
    </w:p>
    <w:p>
      <w:pPr>
        <w:spacing w:after="0" w:line="15" w:lineRule="exact"/>
        <w:rPr>
          <w:sz w:val="20"/>
          <w:szCs w:val="20"/>
          <w:color w:val="auto"/>
        </w:rPr>
      </w:pPr>
    </w:p>
    <w:p>
      <w:pPr>
        <w:ind w:right="160" w:firstLine="561"/>
        <w:spacing w:after="0" w:line="248" w:lineRule="auto"/>
        <w:rPr>
          <w:sz w:val="20"/>
          <w:szCs w:val="20"/>
          <w:color w:val="auto"/>
        </w:rPr>
      </w:pPr>
      <w:r>
        <w:rPr>
          <w:rFonts w:ascii="Arial" w:cs="Arial" w:eastAsia="Arial" w:hAnsi="Arial"/>
          <w:sz w:val="16"/>
          <w:szCs w:val="16"/>
          <w:color w:val="auto"/>
        </w:rPr>
        <w:t>Subject to the provisions of our Charter regarding the restrictions on transfer and ownership of shares of our securities, each share of Class B common stock will convert automatically.</w:t>
      </w:r>
    </w:p>
    <w:p>
      <w:pPr>
        <w:spacing w:after="0" w:line="239" w:lineRule="exact"/>
        <w:rPr>
          <w:sz w:val="20"/>
          <w:szCs w:val="20"/>
          <w:color w:val="auto"/>
        </w:rPr>
      </w:pPr>
    </w:p>
    <w:p>
      <w:pPr>
        <w:ind w:left="860" w:right="300" w:hanging="851"/>
        <w:spacing w:after="0" w:line="307" w:lineRule="auto"/>
        <w:tabs>
          <w:tab w:leader="none" w:pos="86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into one fully paid and non-assessable share of Class A common stock, if Thomas J. Barrack, Jr., our Chief Executive Officer, Executive Chairman and a member of our board of directors, or any of his family members (or trusts for the benefit of his family members) directly or indirectly transfers beneficial ownership of Class B common stock other than among each other, for each share of Class B common stock so transferred; and</w:t>
      </w:r>
    </w:p>
    <w:p>
      <w:pPr>
        <w:spacing w:after="0" w:line="200" w:lineRule="exact"/>
        <w:rPr>
          <w:rFonts w:ascii="Arial" w:cs="Arial" w:eastAsia="Arial" w:hAnsi="Arial"/>
          <w:sz w:val="14"/>
          <w:szCs w:val="14"/>
          <w:color w:val="auto"/>
        </w:rPr>
      </w:pPr>
    </w:p>
    <w:p>
      <w:pPr>
        <w:spacing w:after="0" w:line="234" w:lineRule="exact"/>
        <w:rPr>
          <w:rFonts w:ascii="Arial" w:cs="Arial" w:eastAsia="Arial" w:hAnsi="Arial"/>
          <w:sz w:val="14"/>
          <w:szCs w:val="14"/>
          <w:color w:val="auto"/>
        </w:rPr>
      </w:pPr>
    </w:p>
    <w:p>
      <w:pPr>
        <w:ind w:left="860" w:right="420" w:hanging="851"/>
        <w:spacing w:after="0" w:line="325" w:lineRule="auto"/>
        <w:tabs>
          <w:tab w:leader="none" w:pos="86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into one fully paid and non-assessable share of Class A common stock for every 35.5 DigitalBridge OP units (as defined below) involved in such transfer or cessation if Mr. Barrack directly or indirectly transfers beneficial ownership of any membership units in our Operating Partnership, which we refer to as “DigitalBridge OP units,” directly or indirectly held by him, other than to a “Qualified Transferee” (as defined below), any Qualified Transferee directly or indirectly transfers beneficial ownership of OP units directly or indirectly held by it other than to Mr. Barrack or to another Qualified Transferee, or a Qualified Transferee that beneficially owns OP units ceases at any time to continue to be a “Qualified Transferee” (including, without limitation, the failure of a Qualified Transferee that is an executive of our company to be employed by our company or as the result of a divorce or annulment).</w:t>
      </w:r>
    </w:p>
    <w:p>
      <w:pPr>
        <w:spacing w:after="0" w:line="341" w:lineRule="exact"/>
        <w:rPr>
          <w:sz w:val="20"/>
          <w:szCs w:val="20"/>
          <w:color w:val="auto"/>
        </w:rPr>
      </w:pPr>
    </w:p>
    <w:p>
      <w:pPr>
        <w:ind w:firstLine="561"/>
        <w:spacing w:after="0" w:line="288" w:lineRule="auto"/>
        <w:rPr>
          <w:sz w:val="20"/>
          <w:szCs w:val="20"/>
          <w:color w:val="auto"/>
        </w:rPr>
      </w:pPr>
      <w:r>
        <w:rPr>
          <w:rFonts w:ascii="Arial" w:cs="Arial" w:eastAsia="Arial" w:hAnsi="Arial"/>
          <w:sz w:val="14"/>
          <w:szCs w:val="14"/>
          <w:color w:val="auto"/>
        </w:rPr>
        <w:t>“Qualified Transferee” means Colony Capital, LLC and Colony Capital Holdings, LLC and any member or interest holder of CCH Management Partners I, LLC, CCH Management Partners II, LLC, Colony Capital, LLC or Colony Capital Holdings, LLC for so long as any such person remains employed by our company or our affiliates, any family member or affiliate of such persons or any person controlled by any combination of one or more of such persons or their family members. None of our company, our operating partnership, or a charitable trustee to whom shares are transferred pursuant to the ownership and transfer restrictions under our Charter will be a Qualified Transferee. The purpose of this automatic conversion feature is to ensure that the holders of our Class B common stock do not at any time have votes in excess of the number of DigitalBridge OP units then held by them (or the other permitted holders described above); to the extent that a share of Class B common stock or any group of 35.5 DigitalBridge OP units is transferred or ceases to be held by a permitted holder, a share of Class B common stock will convert into one share of Class A common stock, thereafter carrying only one vote.</w:t>
      </w:r>
    </w:p>
    <w:p>
      <w:pPr>
        <w:spacing w:after="0" w:line="168" w:lineRule="exact"/>
        <w:rPr>
          <w:sz w:val="20"/>
          <w:szCs w:val="20"/>
          <w:color w:val="auto"/>
        </w:rPr>
      </w:pPr>
    </w:p>
    <w:p>
      <w:pPr>
        <w:ind w:right="60" w:firstLine="561"/>
        <w:spacing w:after="0" w:line="250" w:lineRule="auto"/>
        <w:rPr>
          <w:sz w:val="20"/>
          <w:szCs w:val="20"/>
          <w:color w:val="auto"/>
        </w:rPr>
      </w:pPr>
      <w:r>
        <w:rPr>
          <w:rFonts w:ascii="Arial" w:cs="Arial" w:eastAsia="Arial" w:hAnsi="Arial"/>
          <w:sz w:val="16"/>
          <w:szCs w:val="16"/>
          <w:color w:val="auto"/>
        </w:rPr>
        <w:t>Each holder of Class B common stock will have the right, at the holder’s option at any time and from time to time, to convert all or a portion of such holder’s Class B common stock into an equal number of fully paid and nonassessable shares of Class A common stock by delivering the certificates (if any) representing the shares of Class B common stock to be converted, duly endorsed for transfer, together with a written conversion notice to the transfer agent for Class B common stock (or if there is no transfer agent, to us).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Conversion of Our Performance Common Stock</w:t>
      </w:r>
    </w:p>
    <w:p>
      <w:pPr>
        <w:spacing w:after="0" w:line="214" w:lineRule="exact"/>
        <w:rPr>
          <w:sz w:val="20"/>
          <w:szCs w:val="20"/>
          <w:color w:val="auto"/>
        </w:rPr>
      </w:pPr>
    </w:p>
    <w:p>
      <w:pPr>
        <w:ind w:right="180" w:firstLine="561"/>
        <w:spacing w:after="0" w:line="253" w:lineRule="auto"/>
        <w:rPr>
          <w:sz w:val="20"/>
          <w:szCs w:val="20"/>
          <w:color w:val="auto"/>
        </w:rPr>
      </w:pPr>
      <w:r>
        <w:rPr>
          <w:rFonts w:ascii="Arial" w:cs="Arial" w:eastAsia="Arial" w:hAnsi="Arial"/>
          <w:sz w:val="16"/>
          <w:szCs w:val="16"/>
          <w:color w:val="auto"/>
        </w:rPr>
        <w:t>As all outstanding shares of our Performance common stock converted automatically to Class A common stock in connection with the tri-party merger (the “Merger”) among Colony Capital, Inc., NorthStar Asset Management Group Inc. and NorthStar Realty Finance Corp., which closed on January 10, 2017, we have no shares of Performance common stock outstanding. We do not intend to issue any Performance common stock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50" w:right="339" w:bottom="1440" w:gutter="0" w:footer="0" w:header="0"/>
        </w:sectPr>
      </w:pPr>
    </w:p>
    <w:bookmarkStart w:id="346" w:name="page347"/>
    <w:bookmarkEnd w:id="346"/>
    <w:p>
      <w:pPr>
        <w:ind w:left="560"/>
        <w:spacing w:after="0"/>
        <w:rPr>
          <w:sz w:val="20"/>
          <w:szCs w:val="20"/>
          <w:color w:val="auto"/>
        </w:rPr>
      </w:pPr>
      <w:r>
        <w:rPr>
          <w:rFonts w:ascii="Arial" w:cs="Arial" w:eastAsia="Arial" w:hAnsi="Arial"/>
          <w:sz w:val="16"/>
          <w:szCs w:val="16"/>
          <w:b w:val="1"/>
          <w:bCs w:val="1"/>
          <w:i w:val="1"/>
          <w:iCs w:val="1"/>
          <w:color w:val="auto"/>
        </w:rPr>
        <w:t>Transfer Agent and Registrar</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Listing</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Class A common stock is listed for trading on the NYSE. It is listed under the symbol “DBRG.”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Certain Provisions of Maryland Law and Our Charter and Bylaws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Board of Directors</w:t>
      </w:r>
    </w:p>
    <w:p>
      <w:pPr>
        <w:spacing w:after="0" w:line="214" w:lineRule="exact"/>
        <w:rPr>
          <w:sz w:val="20"/>
          <w:szCs w:val="20"/>
          <w:color w:val="auto"/>
        </w:rPr>
      </w:pPr>
    </w:p>
    <w:p>
      <w:pPr>
        <w:ind w:right="100" w:firstLine="561"/>
        <w:spacing w:after="0" w:line="290" w:lineRule="auto"/>
        <w:rPr>
          <w:sz w:val="20"/>
          <w:szCs w:val="20"/>
          <w:color w:val="auto"/>
        </w:rPr>
      </w:pPr>
      <w:r>
        <w:rPr>
          <w:rFonts w:ascii="Arial" w:cs="Arial" w:eastAsia="Arial" w:hAnsi="Arial"/>
          <w:sz w:val="14"/>
          <w:szCs w:val="14"/>
          <w:color w:val="auto"/>
        </w:rPr>
        <w:t>Our Charter and Bylaws provide that, subject to the rights of holders of one or more classes or series of preferred stock, the number of directors of our company may be established by our board but may not be fewer than the minimum required by the MGCL (which is currently one) nor more than 15. Our Charter provides that vacancies on our board may be filled in the manner provided in our Bylaws, which provide that vacancies on our board may be filled by a majority of the remaining directors in office, even if the remaining directors do not constitute a quorum, or by the stockholders to the extent that such vacancy results from the removal of a director by the stockholders. Under Maryland law, stockholders may fill a vacancy on our board that is caused by the removal of a director. Any director elected to fill a vacancy will serve until the next annual meeting of stockholders and until his or her successor is duly elected and qualified.</w:t>
      </w:r>
    </w:p>
    <w:p>
      <w:pPr>
        <w:spacing w:after="0" w:line="166" w:lineRule="exact"/>
        <w:rPr>
          <w:sz w:val="20"/>
          <w:szCs w:val="20"/>
          <w:color w:val="auto"/>
        </w:rPr>
      </w:pPr>
    </w:p>
    <w:p>
      <w:pPr>
        <w:ind w:right="40" w:firstLine="561"/>
        <w:spacing w:after="0" w:line="288" w:lineRule="auto"/>
        <w:rPr>
          <w:sz w:val="20"/>
          <w:szCs w:val="20"/>
          <w:color w:val="auto"/>
        </w:rPr>
      </w:pPr>
      <w:r>
        <w:rPr>
          <w:rFonts w:ascii="Arial" w:cs="Arial" w:eastAsia="Arial" w:hAnsi="Arial"/>
          <w:sz w:val="14"/>
          <w:szCs w:val="14"/>
          <w:color w:val="auto"/>
        </w:rPr>
        <w:t>There will be no cumulative voting in the election of directors. A nominee for director shall be elected as a director if such nominee receives the affirmative vote of a majority of the total votes cast for and against such nominee at a meeting of stockholders duly called and at which a quorum is present. However, directors shall be elected by a plurality of the votes cast at a meeting of stockholders duly called and at which a quorum is present for which (i) our secretary receives notice that a stockholder has nominated an individual for election as a director in compliance with the advance notice requirements set forth in our Bylaws; and (ii) such nomination has not been withdrawn by such stockholder on or before the close of business on the 10th day before the date of filing of our definitive proxy statement with the SEC, and, as a result of which, the number of nominees is greater than the number of directors to be elected at the meeting. We adopted a resignation policy in our Corporate Governance Guidelines that requires an incumbent director who fails to receive the required vote for re-election to offer to resign from our board.</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214" w:lineRule="exact"/>
        <w:rPr>
          <w:sz w:val="20"/>
          <w:szCs w:val="20"/>
          <w:color w:val="auto"/>
        </w:rPr>
      </w:pPr>
    </w:p>
    <w:p>
      <w:pPr>
        <w:ind w:right="160" w:firstLine="561"/>
        <w:spacing w:after="0" w:line="335" w:lineRule="auto"/>
        <w:rPr>
          <w:sz w:val="20"/>
          <w:szCs w:val="20"/>
          <w:color w:val="auto"/>
        </w:rPr>
      </w:pPr>
      <w:r>
        <w:rPr>
          <w:rFonts w:ascii="Arial" w:cs="Arial" w:eastAsia="Arial" w:hAnsi="Arial"/>
          <w:sz w:val="14"/>
          <w:szCs w:val="14"/>
          <w:color w:val="auto"/>
        </w:rPr>
        <w:t>Our Charter provides that, subject to the rights of holders of one or more classes or series of preferred stock, a director may be removed from office at any time, with or without cause, by the affirmative vote of the holders of shares entitled to cast a majority of the votes entitled to be cast generally in the election of directors.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Action by Written Consent</w:t>
      </w:r>
    </w:p>
    <w:p>
      <w:pPr>
        <w:spacing w:after="0" w:line="214" w:lineRule="exact"/>
        <w:rPr>
          <w:sz w:val="20"/>
          <w:szCs w:val="20"/>
          <w:color w:val="auto"/>
        </w:rPr>
      </w:pPr>
    </w:p>
    <w:p>
      <w:pPr>
        <w:jc w:val="both"/>
        <w:ind w:right="380" w:firstLine="561"/>
        <w:spacing w:after="0" w:line="253" w:lineRule="auto"/>
        <w:rPr>
          <w:sz w:val="20"/>
          <w:szCs w:val="20"/>
          <w:color w:val="auto"/>
        </w:rPr>
      </w:pPr>
      <w:r>
        <w:rPr>
          <w:rFonts w:ascii="Arial" w:cs="Arial" w:eastAsia="Arial" w:hAnsi="Arial"/>
          <w:sz w:val="16"/>
          <w:szCs w:val="16"/>
          <w:color w:val="auto"/>
        </w:rPr>
        <w:t>Our Charter and Bylaws, taken together, provide that stockholders may act by unanimous written consent, or, if the action is first declared advisable by our board of directors, if authorized by the written consent of stockholders entitled to cast not less than the minimum number of votes that would be necessary to authorize the action at a meeting of stockholders.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14" w:lineRule="exact"/>
        <w:rPr>
          <w:sz w:val="20"/>
          <w:szCs w:val="20"/>
          <w:color w:val="auto"/>
        </w:rPr>
      </w:pPr>
    </w:p>
    <w:p>
      <w:pPr>
        <w:ind w:firstLine="561"/>
        <w:spacing w:after="0" w:line="335"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320" w:top="1250" w:right="419" w:bottom="1440" w:gutter="0" w:footer="0" w:header="0"/>
        </w:sectPr>
      </w:pPr>
    </w:p>
    <w:bookmarkStart w:id="347" w:name="page348"/>
    <w:bookmarkEnd w:id="347"/>
    <w:p>
      <w:pPr>
        <w:ind w:right="140"/>
        <w:spacing w:after="0" w:line="263" w:lineRule="auto"/>
        <w:rPr>
          <w:sz w:val="20"/>
          <w:szCs w:val="20"/>
          <w:color w:val="auto"/>
        </w:rPr>
      </w:pPr>
      <w:r>
        <w:rPr>
          <w:rFonts w:ascii="Arial" w:cs="Arial" w:eastAsia="Arial" w:hAnsi="Arial"/>
          <w:sz w:val="16"/>
          <w:szCs w:val="16"/>
          <w:color w:val="auto"/>
        </w:rPr>
        <w:t>consolidation, share exchange or, in circumstances specified in the statute, an asset transfer or issuance or reclassification of equity securities. An interested stockholder is defined as:</w:t>
      </w:r>
    </w:p>
    <w:p>
      <w:pPr>
        <w:spacing w:after="0" w:line="252" w:lineRule="exact"/>
        <w:rPr>
          <w:sz w:val="20"/>
          <w:szCs w:val="20"/>
          <w:color w:val="auto"/>
        </w:rPr>
      </w:pPr>
    </w:p>
    <w:p>
      <w:pPr>
        <w:ind w:left="860" w:hanging="851"/>
        <w:spacing w:after="0"/>
        <w:tabs>
          <w:tab w:leader="none" w:pos="8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person who beneficially owns 10% or more of the voting power of the corporation’s outstanding voting stock; or</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860" w:right="440" w:hanging="851"/>
        <w:spacing w:after="0" w:line="263" w:lineRule="auto"/>
        <w:tabs>
          <w:tab w:leader="none" w:pos="8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369" w:lineRule="exact"/>
        <w:rPr>
          <w:sz w:val="20"/>
          <w:szCs w:val="20"/>
          <w:color w:val="auto"/>
        </w:rPr>
      </w:pPr>
    </w:p>
    <w:p>
      <w:pPr>
        <w:ind w:right="20" w:firstLine="561"/>
        <w:spacing w:after="0" w:line="253" w:lineRule="auto"/>
        <w:rPr>
          <w:sz w:val="20"/>
          <w:szCs w:val="20"/>
          <w:color w:val="auto"/>
        </w:rPr>
      </w:pPr>
      <w:r>
        <w:rPr>
          <w:rFonts w:ascii="Arial" w:cs="Arial" w:eastAsia="Arial" w:hAnsi="Arial"/>
          <w:sz w:val="16"/>
          <w:szCs w:val="16"/>
          <w:color w:val="auto"/>
        </w:rPr>
        <w:t>A person is not an interested stockholder under the statute if the board of directors of the corporation approved in advance the transaction by which the person otherwise would have become an interested stockholder. In approving a transaction, our board may provide that its approval is subject to compliance, at or after the time of approval, with any terms and conditions determined by our board.</w:t>
      </w:r>
    </w:p>
    <w:p>
      <w:pPr>
        <w:spacing w:after="0" w:line="190" w:lineRule="exact"/>
        <w:rPr>
          <w:sz w:val="20"/>
          <w:szCs w:val="20"/>
          <w:color w:val="auto"/>
        </w:rPr>
      </w:pPr>
    </w:p>
    <w:p>
      <w:pPr>
        <w:ind w:firstLine="561"/>
        <w:spacing w:after="0" w:line="263" w:lineRule="auto"/>
        <w:rPr>
          <w:sz w:val="20"/>
          <w:szCs w:val="20"/>
          <w:color w:val="auto"/>
        </w:rPr>
      </w:pPr>
      <w:r>
        <w:rPr>
          <w:rFonts w:ascii="Arial" w:cs="Arial" w:eastAsia="Arial" w:hAnsi="Arial"/>
          <w:sz w:val="16"/>
          <w:szCs w:val="16"/>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252" w:lineRule="exact"/>
        <w:rPr>
          <w:sz w:val="20"/>
          <w:szCs w:val="20"/>
          <w:color w:val="auto"/>
        </w:rPr>
      </w:pPr>
    </w:p>
    <w:p>
      <w:pPr>
        <w:ind w:left="860" w:hanging="851"/>
        <w:spacing w:after="0"/>
        <w:tabs>
          <w:tab w:leader="none" w:pos="8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80% of the votes entitled to be cast by holders of outstanding shares of voting stock of the corporation;</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860" w:right="300" w:hanging="851"/>
        <w:spacing w:after="0" w:line="263" w:lineRule="auto"/>
        <w:tabs>
          <w:tab w:leader="none" w:pos="8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and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380" w:lineRule="exact"/>
        <w:rPr>
          <w:sz w:val="20"/>
          <w:szCs w:val="20"/>
          <w:color w:val="auto"/>
        </w:rPr>
      </w:pPr>
    </w:p>
    <w:p>
      <w:pPr>
        <w:ind w:right="20" w:firstLine="561"/>
        <w:spacing w:after="0" w:line="263"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81" w:lineRule="exact"/>
        <w:rPr>
          <w:sz w:val="20"/>
          <w:szCs w:val="20"/>
          <w:color w:val="auto"/>
        </w:rPr>
      </w:pPr>
    </w:p>
    <w:p>
      <w:pPr>
        <w:ind w:right="80" w:firstLine="561"/>
        <w:spacing w:after="0" w:line="290" w:lineRule="auto"/>
        <w:rPr>
          <w:sz w:val="20"/>
          <w:szCs w:val="20"/>
          <w:color w:val="auto"/>
        </w:rPr>
      </w:pPr>
      <w:r>
        <w:rPr>
          <w:rFonts w:ascii="Arial" w:cs="Arial" w:eastAsia="Arial" w:hAnsi="Arial"/>
          <w:sz w:val="14"/>
          <w:szCs w:val="14"/>
          <w:color w:val="auto"/>
        </w:rPr>
        <w:t>The statute provides various exemptions from its provisions, including for business combinations that are exempted by the board of directors before the time that the interested stockholder becomes an interested stockholder. Pursuant to the statute, our board, through a board resolution, has exempted any business combinations between us and any person, provided that any such business combination is first approved by our board (including a majority of the directors of our company who are not affiliates or associates of such person). Consequently, the five-year prohibition and the supermajority vote requirements will not apply to business combinations between us and any interested stockholders (or their affiliates) that are first approved by our board of directors. As a result, such parties may be able to enter into business combinations with us that may not be in the best interest of the stockholders of our company, without compliance with the supermajority vote requirements and the other provisions of the statute.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business combination statute may discourage others from trying to acquire control of our company and increase the difficulty of consummating any offer.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Control Share Acquisitions</w:t>
      </w:r>
    </w:p>
    <w:p>
      <w:pPr>
        <w:spacing w:after="0" w:line="214" w:lineRule="exact"/>
        <w:rPr>
          <w:sz w:val="20"/>
          <w:szCs w:val="20"/>
          <w:color w:val="auto"/>
        </w:rPr>
      </w:pPr>
    </w:p>
    <w:p>
      <w:pPr>
        <w:ind w:right="200" w:firstLine="561"/>
        <w:spacing w:after="0" w:line="335" w:lineRule="auto"/>
        <w:rPr>
          <w:sz w:val="20"/>
          <w:szCs w:val="20"/>
          <w:color w:val="auto"/>
        </w:rPr>
      </w:pPr>
      <w:r>
        <w:rPr>
          <w:rFonts w:ascii="Arial" w:cs="Arial" w:eastAsia="Arial" w:hAnsi="Arial"/>
          <w:sz w:val="14"/>
          <w:szCs w:val="14"/>
          <w:color w:val="auto"/>
        </w:rPr>
        <w:t>Maryland law provides that control shares (as defined below) of a Maryland corporation acquired in a control share acquisition (as defined below) have no voting rights except to the extent approved by the affirmative vote of the holders entitled to cast two-thirds of the votes entitled to be cast on the matter. Shares owned by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249" w:right="339" w:bottom="1440" w:gutter="0" w:footer="0" w:header="0"/>
        </w:sectPr>
      </w:pPr>
    </w:p>
    <w:bookmarkStart w:id="348" w:name="page349"/>
    <w:bookmarkEnd w:id="348"/>
    <w:p>
      <w:pPr>
        <w:jc w:val="both"/>
        <w:ind w:right="20"/>
        <w:spacing w:after="0" w:line="307" w:lineRule="auto"/>
        <w:rPr>
          <w:sz w:val="20"/>
          <w:szCs w:val="20"/>
          <w:color w:val="auto"/>
        </w:rPr>
      </w:pPr>
      <w:r>
        <w:rPr>
          <w:rFonts w:ascii="Arial" w:cs="Arial" w:eastAsia="Arial" w:hAnsi="Arial"/>
          <w:sz w:val="14"/>
          <w:szCs w:val="14"/>
          <w:color w:val="auto"/>
        </w:rPr>
        <w:t>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224" w:lineRule="exact"/>
        <w:rPr>
          <w:sz w:val="20"/>
          <w:szCs w:val="20"/>
          <w:color w:val="auto"/>
        </w:rPr>
      </w:pPr>
    </w:p>
    <w:p>
      <w:pPr>
        <w:ind w:left="860" w:hanging="851"/>
        <w:spacing w:after="0"/>
        <w:tabs>
          <w:tab w:leader="none" w:pos="8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one-tenth or more but less than one-third;</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860" w:hanging="851"/>
        <w:spacing w:after="0"/>
        <w:tabs>
          <w:tab w:leader="none" w:pos="8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one-third or more but less than a majority; or</w:t>
      </w: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left="860" w:hanging="851"/>
        <w:spacing w:after="0"/>
        <w:tabs>
          <w:tab w:leader="none" w:pos="8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majority or more of all voting power</w:t>
      </w:r>
    </w:p>
    <w:p>
      <w:pPr>
        <w:spacing w:after="0" w:line="200" w:lineRule="exact"/>
        <w:rPr>
          <w:sz w:val="20"/>
          <w:szCs w:val="20"/>
          <w:color w:val="auto"/>
        </w:rPr>
      </w:pPr>
    </w:p>
    <w:p>
      <w:pPr>
        <w:spacing w:after="0" w:line="212" w:lineRule="exact"/>
        <w:rPr>
          <w:sz w:val="20"/>
          <w:szCs w:val="20"/>
          <w:color w:val="auto"/>
        </w:rPr>
      </w:pPr>
    </w:p>
    <w:p>
      <w:pPr>
        <w:ind w:right="340" w:firstLine="561"/>
        <w:spacing w:after="0" w:line="335" w:lineRule="auto"/>
        <w:rPr>
          <w:sz w:val="20"/>
          <w:szCs w:val="20"/>
          <w:color w:val="auto"/>
        </w:rPr>
      </w:pPr>
      <w:r>
        <w:rPr>
          <w:rFonts w:ascii="Arial" w:cs="Arial" w:eastAsia="Arial" w:hAnsi="Arial"/>
          <w:sz w:val="14"/>
          <w:szCs w:val="14"/>
          <w:color w:val="auto"/>
        </w:rPr>
        <w:t>Control shares do not include shares that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35" w:lineRule="exact"/>
        <w:rPr>
          <w:sz w:val="20"/>
          <w:szCs w:val="20"/>
          <w:color w:val="auto"/>
        </w:rPr>
      </w:pPr>
    </w:p>
    <w:p>
      <w:pPr>
        <w:ind w:firstLine="561"/>
        <w:spacing w:after="0" w:line="307"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54" w:lineRule="exact"/>
        <w:rPr>
          <w:sz w:val="20"/>
          <w:szCs w:val="20"/>
          <w:color w:val="auto"/>
        </w:rPr>
      </w:pPr>
    </w:p>
    <w:p>
      <w:pPr>
        <w:ind w:right="120" w:firstLine="561"/>
        <w:spacing w:after="0" w:line="288" w:lineRule="auto"/>
        <w:rPr>
          <w:sz w:val="20"/>
          <w:szCs w:val="20"/>
          <w:color w:val="auto"/>
        </w:rPr>
      </w:pPr>
      <w:r>
        <w:rPr>
          <w:rFonts w:ascii="Arial" w:cs="Arial" w:eastAsia="Arial" w:hAnsi="Arial"/>
          <w:sz w:val="14"/>
          <w:szCs w:val="14"/>
          <w:color w:val="auto"/>
        </w:rPr>
        <w:t>If voting rights of the control shares acquired in a control share acquisition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acquiror or, if a meeting of stockholders is held at which the voting rights of the shares are considered and not approved, as of the date of the meeting.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68" w:lineRule="exact"/>
        <w:rPr>
          <w:sz w:val="20"/>
          <w:szCs w:val="20"/>
          <w:color w:val="auto"/>
        </w:rPr>
      </w:pPr>
    </w:p>
    <w:p>
      <w:pPr>
        <w:ind w:right="220" w:firstLine="561"/>
        <w:spacing w:after="0" w:line="263" w:lineRule="auto"/>
        <w:rPr>
          <w:sz w:val="20"/>
          <w:szCs w:val="20"/>
          <w:color w:val="auto"/>
        </w:rPr>
      </w:pPr>
      <w:r>
        <w:rPr>
          <w:rFonts w:ascii="Arial" w:cs="Arial" w:eastAsia="Arial" w:hAnsi="Arial"/>
          <w:sz w:val="16"/>
          <w:szCs w:val="16"/>
          <w:color w:val="auto"/>
        </w:rPr>
        <w:t>The control share acquisition statute does not apply: (i) to shares acquired in a merger, consolidation or share exchange if the corporation is a party to the transaction; or (ii) to acquisitions approved or exempted by the charter or bylaws of the corporation.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Bylaws contain a provision exempting us from the control share acquisition statute. This provision may be amended or eliminated at any time in the future.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Subtitle 8</w:t>
      </w:r>
    </w:p>
    <w:p>
      <w:pPr>
        <w:spacing w:after="0" w:line="214" w:lineRule="exact"/>
        <w:rPr>
          <w:sz w:val="20"/>
          <w:szCs w:val="20"/>
          <w:color w:val="auto"/>
        </w:rPr>
      </w:pPr>
    </w:p>
    <w:p>
      <w:pPr>
        <w:ind w:right="60" w:firstLine="561"/>
        <w:spacing w:after="0" w:line="335" w:lineRule="auto"/>
        <w:rPr>
          <w:sz w:val="20"/>
          <w:szCs w:val="20"/>
          <w:color w:val="auto"/>
        </w:rPr>
      </w:pPr>
      <w:r>
        <w:rPr>
          <w:rFonts w:ascii="Arial" w:cs="Arial" w:eastAsia="Arial" w:hAnsi="Arial"/>
          <w:sz w:val="14"/>
          <w:szCs w:val="14"/>
          <w:color w:val="auto"/>
        </w:rPr>
        <w:t>Subtitle 8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spacing w:after="0" w:line="205" w:lineRule="exact"/>
        <w:rPr>
          <w:sz w:val="20"/>
          <w:szCs w:val="20"/>
          <w:color w:val="auto"/>
        </w:rPr>
      </w:pPr>
    </w:p>
    <w:p>
      <w:pPr>
        <w:ind w:left="860" w:hanging="851"/>
        <w:spacing w:after="0"/>
        <w:tabs>
          <w:tab w:leader="none" w:pos="8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 classified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320" w:top="1249" w:right="319" w:bottom="1440" w:gutter="0" w:footer="0" w:header="0"/>
        </w:sectPr>
      </w:pPr>
    </w:p>
    <w:bookmarkStart w:id="349" w:name="page350"/>
    <w:bookmarkEnd w:id="349"/>
    <w:p>
      <w:pPr>
        <w:spacing w:after="0" w:line="91" w:lineRule="exact"/>
        <w:rPr>
          <w:sz w:val="20"/>
          <w:szCs w:val="20"/>
          <w:color w:val="auto"/>
        </w:rPr>
      </w:pPr>
    </w:p>
    <w:p>
      <w:pPr>
        <w:ind w:left="860" w:hanging="851"/>
        <w:spacing w:after="0"/>
        <w:tabs>
          <w:tab w:leader="none" w:pos="8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two-thirds vote requirement for removing a director;</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860" w:hanging="851"/>
        <w:spacing w:after="0"/>
        <w:tabs>
          <w:tab w:leader="none" w:pos="8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requirement that the number of directors be fixed only by vote of the directors;</w:t>
      </w: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left="860" w:right="560" w:hanging="851"/>
        <w:spacing w:after="0" w:line="263" w:lineRule="auto"/>
        <w:tabs>
          <w:tab w:leader="none" w:pos="8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requirement that a vacancy on the board be filled only by the remaining directors and for the remainder of the full term of the class of directors in which the vacancy occurred; and</w:t>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860" w:hanging="851"/>
        <w:spacing w:after="0"/>
        <w:tabs>
          <w:tab w:leader="none" w:pos="8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majority requirement for the calling of a special meeting of stockholders.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Charter provides that we may not elect to be subject to any of the provisions of Subtitle 8.</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Amendments to Our Charter</w:t>
      </w:r>
    </w:p>
    <w:p>
      <w:pPr>
        <w:spacing w:after="0" w:line="214" w:lineRule="exact"/>
        <w:rPr>
          <w:sz w:val="20"/>
          <w:szCs w:val="20"/>
          <w:color w:val="auto"/>
        </w:rPr>
      </w:pPr>
    </w:p>
    <w:p>
      <w:pPr>
        <w:ind w:right="80" w:firstLine="561"/>
        <w:spacing w:after="0" w:line="297" w:lineRule="auto"/>
        <w:rPr>
          <w:sz w:val="20"/>
          <w:szCs w:val="20"/>
          <w:color w:val="auto"/>
        </w:rPr>
      </w:pPr>
      <w:r>
        <w:rPr>
          <w:rFonts w:ascii="Arial" w:cs="Arial" w:eastAsia="Arial" w:hAnsi="Arial"/>
          <w:sz w:val="14"/>
          <w:szCs w:val="14"/>
          <w:color w:val="auto"/>
        </w:rPr>
        <w:t>Subject to the rights of any shares of preferred stock outstanding from time to time and except for its provisions relating to the restrictions on ownership and transfer of shares of our securities and related Charter amendments (which each require the affirmative vote of the stockholders entitled to cast not less than two-thirds of all the votes entitled to be cast on the matter), our Charter may be amended only if declared advisable by our board and, except in limited circumstances where stockholder approval is not required by the MGCL, approved by the affirmative vote of the holders of not less than a majority of all of the votes entitled to be cast on the matter.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Amendments to Our Bylaws</w:t>
      </w:r>
    </w:p>
    <w:p>
      <w:pPr>
        <w:spacing w:after="0" w:line="214"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Our Bylaws may be amended, altered, repealed, or rescinded by our board of directors or by stockholders by the affirmative vote of a majority of all the votes entitled to be cast in the election of directors. Any amendment of our Bylaws approved by our stockholders may not thereafter be amended by our board of directors without the affirmative vote of a majority of all the votes entitled to be cast in the election of directors.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Dissolution</w:t>
      </w:r>
    </w:p>
    <w:p>
      <w:pPr>
        <w:spacing w:after="0" w:line="214" w:lineRule="exact"/>
        <w:rPr>
          <w:sz w:val="20"/>
          <w:szCs w:val="20"/>
          <w:color w:val="auto"/>
        </w:rPr>
      </w:pPr>
    </w:p>
    <w:p>
      <w:pPr>
        <w:ind w:right="180" w:firstLine="561"/>
        <w:spacing w:after="0" w:line="263" w:lineRule="auto"/>
        <w:rPr>
          <w:sz w:val="20"/>
          <w:szCs w:val="20"/>
          <w:color w:val="auto"/>
        </w:rPr>
      </w:pPr>
      <w:r>
        <w:rPr>
          <w:rFonts w:ascii="Arial" w:cs="Arial" w:eastAsia="Arial" w:hAnsi="Arial"/>
          <w:sz w:val="16"/>
          <w:szCs w:val="16"/>
          <w:color w:val="auto"/>
        </w:rPr>
        <w:t>The dissolution of or company must be declared advisable by our board and approved by the affirmative vote of the holders of not less than a majority of all of the votes entitled to be cast on the matter.</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Special Meetings of Stockholders</w:t>
      </w:r>
    </w:p>
    <w:p>
      <w:pPr>
        <w:spacing w:after="0" w:line="214" w:lineRule="exact"/>
        <w:rPr>
          <w:sz w:val="20"/>
          <w:szCs w:val="20"/>
          <w:color w:val="auto"/>
        </w:rPr>
      </w:pPr>
    </w:p>
    <w:p>
      <w:pPr>
        <w:ind w:right="340" w:firstLine="561"/>
        <w:spacing w:after="0" w:line="307" w:lineRule="auto"/>
        <w:rPr>
          <w:sz w:val="20"/>
          <w:szCs w:val="20"/>
          <w:color w:val="auto"/>
        </w:rPr>
      </w:pPr>
      <w:r>
        <w:rPr>
          <w:rFonts w:ascii="Arial" w:cs="Arial" w:eastAsia="Arial" w:hAnsi="Arial"/>
          <w:sz w:val="14"/>
          <w:szCs w:val="14"/>
          <w:color w:val="auto"/>
        </w:rPr>
        <w:t>The Chairman of our board, Vice Chairman of our board, our Chief Executive Officer, our President and our board may call special meetings of our stockholders. A special meeting of our stockholders to act on any matter that may properly be considered at a meeting of our stockholders must also be called by our secretary upon the written request of stockholders entitled to cast 25% of all the votes entitled to be cast on such matter at the meeting and containing the information required by our Bylaws.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Advance Notice of Director Nominations and New Business</w:t>
      </w:r>
    </w:p>
    <w:p>
      <w:pPr>
        <w:spacing w:after="0" w:line="214" w:lineRule="exact"/>
        <w:rPr>
          <w:sz w:val="20"/>
          <w:szCs w:val="20"/>
          <w:color w:val="auto"/>
        </w:rPr>
      </w:pPr>
    </w:p>
    <w:p>
      <w:pPr>
        <w:jc w:val="both"/>
        <w:ind w:right="40" w:firstLine="561"/>
        <w:spacing w:after="0" w:line="253"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our board and the proposal of business to be considered by stockholders may be made only: (i) pursuant to notice of the meeting; (ii) by or at the direction of our board; or (iii) by a stockholder of record at the time of giving notice, at the record date set by our board for the purpose of determining stockholders entitled to vote at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440" w:right="339" w:bottom="1440" w:gutter="0" w:footer="0" w:header="0"/>
        </w:sectPr>
      </w:pPr>
    </w:p>
    <w:bookmarkStart w:id="350" w:name="page351"/>
    <w:bookmarkEnd w:id="350"/>
    <w:p>
      <w:pPr>
        <w:ind w:right="40"/>
        <w:spacing w:after="0" w:line="290" w:lineRule="auto"/>
        <w:rPr>
          <w:sz w:val="20"/>
          <w:szCs w:val="20"/>
          <w:color w:val="auto"/>
        </w:rPr>
      </w:pPr>
      <w:r>
        <w:rPr>
          <w:rFonts w:ascii="Arial" w:cs="Arial" w:eastAsia="Arial" w:hAnsi="Arial"/>
          <w:sz w:val="14"/>
          <w:szCs w:val="14"/>
          <w:color w:val="auto"/>
        </w:rPr>
        <w:t>annual meeting and at the time of the annual meeting, who is entitled to vote at the meeting in the election of directors and who has complied with the advance notice procedures of our Bylaws. Stockholders generally must provide notice to our secretary not before the 150th day or after the 120th day before the first anniversary of the date of our proxy statement for the solicitation of proxies for the election of directors at the preceding year’s annual meeting; provided, however, that in the event that the date of the annual meeting is advanced or delayed by more than 30 days from the first anniversary of the preceding year’s annual meeting, in order for notice by the stockholder to be timely, such notice must be so delivered not earlier than the 150th day prior to the date of such annual meeting and not later than 5:00 p.m. (Eastern Time) on the later of the 120th day prior to the date of such annual meeting, as originally convened, or the 10th day following the day on which public announcement of the date of such meeting is first made.</w:t>
      </w:r>
    </w:p>
    <w:p>
      <w:pPr>
        <w:spacing w:after="0" w:line="166" w:lineRule="exact"/>
        <w:rPr>
          <w:sz w:val="20"/>
          <w:szCs w:val="20"/>
          <w:color w:val="auto"/>
        </w:rPr>
      </w:pPr>
    </w:p>
    <w:p>
      <w:pPr>
        <w:ind w:firstLine="561"/>
        <w:spacing w:after="0" w:line="293" w:lineRule="auto"/>
        <w:rPr>
          <w:sz w:val="20"/>
          <w:szCs w:val="20"/>
          <w:color w:val="auto"/>
        </w:rPr>
      </w:pPr>
      <w:r>
        <w:rPr>
          <w:rFonts w:ascii="Arial" w:cs="Arial" w:eastAsia="Arial" w:hAnsi="Arial"/>
          <w:sz w:val="14"/>
          <w:szCs w:val="14"/>
          <w:color w:val="auto"/>
        </w:rPr>
        <w:t>With respect to special meetings of stockholders, only the business specified in the notice of the meeting may be brought before the meeting. Nominations of persons for election to the board at a special meeting may be made only: (i) by the board; or (ii) by a stockholder at a special meeting that has been called in accordance with our Bylaws for the purpose of electing directors, provided that such stockholder is a stockholder of record at the record date set by our board for the special meeting and has complied with the advance notice provisions of our Bylaws. Stockholders generally must provide notice to our secretary no earlier than the 120th day before such special meeting and no later than the later of the 90th day before the special meeting or the 10th day after public announcement of the date of the special meeting and the nominees of our board to be elected at the meeting.</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Anti-Takeover Effect of Certain Provisions of Maryland Law and of Our Charter and Bylaws</w:t>
      </w:r>
    </w:p>
    <w:p>
      <w:pPr>
        <w:spacing w:after="0" w:line="214" w:lineRule="exact"/>
        <w:rPr>
          <w:sz w:val="20"/>
          <w:szCs w:val="20"/>
          <w:color w:val="auto"/>
        </w:rPr>
      </w:pPr>
    </w:p>
    <w:p>
      <w:pPr>
        <w:ind w:right="140" w:firstLine="561"/>
        <w:spacing w:after="0" w:line="307" w:lineRule="auto"/>
        <w:rPr>
          <w:sz w:val="20"/>
          <w:szCs w:val="20"/>
          <w:color w:val="auto"/>
        </w:rPr>
      </w:pPr>
      <w:r>
        <w:rPr>
          <w:rFonts w:ascii="Arial" w:cs="Arial" w:eastAsia="Arial" w:hAnsi="Arial"/>
          <w:sz w:val="14"/>
          <w:szCs w:val="14"/>
          <w:color w:val="auto"/>
        </w:rPr>
        <w:t>The business combination provisions and the control share acquisition provisions of Maryland law (if later we decide to be bound by such provisions), the restrictions on ownership and transfer of shares of our securities and the advance notice provisions of our Bylaws could delay, defer or prevent a transaction or a change in the control of our company that might involve a premium price for holders of our common stock or otherwise be in their best interest.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Exculpation and Indemnification of Our Directors and Officers</w:t>
      </w:r>
    </w:p>
    <w:p>
      <w:pPr>
        <w:spacing w:after="0" w:line="214" w:lineRule="exact"/>
        <w:rPr>
          <w:sz w:val="20"/>
          <w:szCs w:val="20"/>
          <w:color w:val="auto"/>
        </w:rPr>
      </w:pPr>
    </w:p>
    <w:p>
      <w:pPr>
        <w:ind w:right="20" w:firstLine="561"/>
        <w:spacing w:after="0" w:line="250"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(i) actual receipt of an improper benefit or profit in money, property or services; or (ii) active and deliberate dishonesty that is established by a final judgment and is material to the cause of action. Our Charter contains such a provision which eliminates liability of our directors and officers to the maximum extent permitted by Maryland law.</w:t>
      </w:r>
    </w:p>
    <w:p>
      <w:pPr>
        <w:spacing w:after="0" w:line="192" w:lineRule="exact"/>
        <w:rPr>
          <w:sz w:val="20"/>
          <w:szCs w:val="20"/>
          <w:color w:val="auto"/>
        </w:rPr>
      </w:pPr>
    </w:p>
    <w:p>
      <w:pPr>
        <w:ind w:right="20" w:firstLine="561"/>
        <w:spacing w:after="0" w:line="290" w:lineRule="auto"/>
        <w:rPr>
          <w:sz w:val="20"/>
          <w:szCs w:val="20"/>
          <w:color w:val="auto"/>
        </w:rPr>
      </w:pPr>
      <w:r>
        <w:rPr>
          <w:rFonts w:ascii="Arial" w:cs="Arial" w:eastAsia="Arial" w:hAnsi="Arial"/>
          <w:sz w:val="14"/>
          <w:szCs w:val="14"/>
          <w:color w:val="auto"/>
        </w:rPr>
        <w:t>Our Charter and Bylaws obligate our company, to the maximum extent permitted by Maryland law, to indemnify any present or former director or officer or any individual who, while a director of our company and at our request, serves or has served another corporation, real estate investment trust, limited liability company, partnership, joint venture, trust, employee benefit plan or other enterprise as a director, officer, trustee, member, manager, employee, partner or agent, from and against any claim or liability to which that person may become subject or which that person may incur by reason of his or her service in such capacity and to pay or reimburse their reasonable expenses in advance of final disposition of a proceeding. Our Charter and Bylaws also require us to indemnify and advance expenses to any person who served a predecessor of our company in any of the capacities described above and any employee or agent of our company or a predecessor of our company.</w:t>
      </w:r>
    </w:p>
    <w:p>
      <w:pPr>
        <w:spacing w:after="0" w:line="166" w:lineRule="exact"/>
        <w:rPr>
          <w:sz w:val="20"/>
          <w:szCs w:val="20"/>
          <w:color w:val="auto"/>
        </w:rPr>
      </w:pPr>
    </w:p>
    <w:p>
      <w:pPr>
        <w:jc w:val="both"/>
        <w:ind w:right="120" w:firstLine="561"/>
        <w:spacing w:after="0" w:line="297" w:lineRule="auto"/>
        <w:rPr>
          <w:sz w:val="20"/>
          <w:szCs w:val="20"/>
          <w:color w:val="auto"/>
        </w:rPr>
      </w:pPr>
      <w:r>
        <w:rPr>
          <w:rFonts w:ascii="Arial" w:cs="Arial" w:eastAsia="Arial" w:hAnsi="Arial"/>
          <w:sz w:val="14"/>
          <w:szCs w:val="14"/>
          <w:color w:val="auto"/>
        </w:rPr>
        <w:t>Maryland law requires a corporation (unless its charter provides otherwise, which our Charter does not) to indemnify a director or officer who has been successful in the defense of any proceeding to which he or she is made a party to, or witness in,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to, or witness in, by reason of their service in those or other capacities unless it is established that: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49" w:right="339" w:bottom="1440" w:gutter="0" w:footer="0" w:header="0"/>
        </w:sectPr>
      </w:pPr>
    </w:p>
    <w:bookmarkStart w:id="351" w:name="page352"/>
    <w:bookmarkEnd w:id="351"/>
    <w:p>
      <w:pPr>
        <w:spacing w:after="0" w:line="91" w:lineRule="exact"/>
        <w:rPr>
          <w:sz w:val="20"/>
          <w:szCs w:val="20"/>
          <w:color w:val="auto"/>
        </w:rPr>
      </w:pPr>
    </w:p>
    <w:p>
      <w:pPr>
        <w:ind w:left="860" w:right="520" w:hanging="851"/>
        <w:spacing w:after="0" w:line="263" w:lineRule="auto"/>
        <w:tabs>
          <w:tab w:leader="none" w:pos="8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act or omission of the director or officer was material to the matter giving rise to the proceeding and (i) was committed in bad faith or (ii) was the result of active and deliberate dishonesty;</w:t>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860" w:hanging="851"/>
        <w:spacing w:after="0"/>
        <w:tabs>
          <w:tab w:leader="none" w:pos="8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director or officer actually received an improper personal benefit in money, property or services; or</w:t>
      </w: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left="860" w:hanging="851"/>
        <w:spacing w:after="0"/>
        <w:tabs>
          <w:tab w:leader="none" w:pos="8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in the case of any criminal proceeding, the director or officer had reasonable cause to believe that the act or omission was unlawful.</w:t>
      </w:r>
    </w:p>
    <w:p>
      <w:pPr>
        <w:spacing w:after="0" w:line="200" w:lineRule="exact"/>
        <w:rPr>
          <w:sz w:val="20"/>
          <w:szCs w:val="20"/>
          <w:color w:val="auto"/>
        </w:rPr>
      </w:pPr>
    </w:p>
    <w:p>
      <w:pPr>
        <w:spacing w:after="0" w:line="212" w:lineRule="exact"/>
        <w:rPr>
          <w:sz w:val="20"/>
          <w:szCs w:val="20"/>
          <w:color w:val="auto"/>
        </w:rPr>
      </w:pPr>
    </w:p>
    <w:p>
      <w:pPr>
        <w:ind w:right="80" w:firstLine="561"/>
        <w:spacing w:after="0" w:line="286" w:lineRule="auto"/>
        <w:rPr>
          <w:sz w:val="20"/>
          <w:szCs w:val="20"/>
          <w:color w:val="auto"/>
        </w:rPr>
      </w:pPr>
      <w:r>
        <w:rPr>
          <w:rFonts w:ascii="Arial" w:cs="Arial" w:eastAsia="Arial" w:hAnsi="Arial"/>
          <w:sz w:val="14"/>
          <w:szCs w:val="14"/>
          <w:color w:val="auto"/>
        </w:rPr>
        <w:t>A Maryland corporation may not indemnify a director or officer with respect to a proceeding by or in the right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is limited to expenses for an adverse judgment in a suit by or in the right of the corporation, or for a judgment of liability on the basis that personal benefit was improperly received. In addition, Maryland law permits a corporation, and our Charter requires us, to advance reasonable expenses to a director or officer upon the corporation’s receipt of: (i) a written affirmation by the director or officer of his or her good faith belief that he or she has met the standard of conduct necessary for indemnification by the corporation; and (ii) a written undertaking by him or her or on his or her behalf to repay the amount paid or reimbursed by the corporation if it is ultimately determined that the standard of conduct was not met.</w:t>
      </w:r>
    </w:p>
    <w:p>
      <w:pPr>
        <w:spacing w:after="0" w:line="360" w:lineRule="exact"/>
        <w:rPr>
          <w:sz w:val="20"/>
          <w:szCs w:val="20"/>
          <w:color w:val="auto"/>
        </w:rPr>
      </w:pPr>
    </w:p>
    <w:p>
      <w:pPr>
        <w:ind w:right="380" w:firstLine="561"/>
        <w:spacing w:after="0" w:line="253" w:lineRule="auto"/>
        <w:rPr>
          <w:sz w:val="20"/>
          <w:szCs w:val="20"/>
          <w:color w:val="auto"/>
        </w:rPr>
      </w:pPr>
      <w:r>
        <w:rPr>
          <w:rFonts w:ascii="Arial" w:cs="Arial" w:eastAsia="Arial" w:hAnsi="Arial"/>
          <w:sz w:val="16"/>
          <w:szCs w:val="16"/>
          <w:color w:val="auto"/>
        </w:rPr>
        <w:t>We have entered into indemnification agreements with each of our directors and executive officers which require that we indemnify such directors and officers to the maximum extent permitted by Maryland law and that we pay such persons’ expenses in defending any civil or criminal proceeding in advance of final disposition of such proceeding.</w:t>
      </w:r>
    </w:p>
    <w:p>
      <w:pPr>
        <w:spacing w:after="0" w:line="190" w:lineRule="exact"/>
        <w:rPr>
          <w:sz w:val="20"/>
          <w:szCs w:val="20"/>
          <w:color w:val="auto"/>
        </w:rPr>
      </w:pPr>
    </w:p>
    <w:p>
      <w:pPr>
        <w:ind w:right="20" w:firstLine="561"/>
        <w:spacing w:after="0" w:line="253" w:lineRule="auto"/>
        <w:rPr>
          <w:sz w:val="20"/>
          <w:szCs w:val="20"/>
          <w:color w:val="auto"/>
        </w:rPr>
      </w:pPr>
      <w:r>
        <w:rPr>
          <w:rFonts w:ascii="Arial" w:cs="Arial" w:eastAsia="Arial" w:hAnsi="Arial"/>
          <w:sz w:val="16"/>
          <w:szCs w:val="16"/>
          <w:color w:val="auto"/>
        </w:rPr>
        <w:t>Insofar as indemnification for liabilities arising under the Securities Act may be provided to directors, officers or persons controlling the registrant pursuant to the foregoing provisions, in the opinion of the Securities and Exchange Commission (the “SEC”) such indemnification is against public policy as expressed in the Securities Act and is therefore unenforceable.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Exclusive Forum</w:t>
      </w:r>
    </w:p>
    <w:p>
      <w:pPr>
        <w:spacing w:after="0" w:line="214" w:lineRule="exact"/>
        <w:rPr>
          <w:sz w:val="20"/>
          <w:szCs w:val="20"/>
          <w:color w:val="auto"/>
        </w:rPr>
      </w:pPr>
    </w:p>
    <w:p>
      <w:pPr>
        <w:ind w:right="40" w:firstLine="561"/>
        <w:spacing w:after="0" w:line="247"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U.S. District Court for the District of Maryland, Baltimore Division, shall be the sole and exclusive forum for: (i) any derivative action or proceeding brought on behalf of our company; (ii) any action asserting a claim of breach of any duty owed by any director or officer or other employee of our company to our company or to the stockholders of our company; (iii) any action asserting a claim against our company or any director or officer or other employee of our company arising pursuant to any provision of the MGCL or our Charter or Bylaws; or (iv) any action asserting a claim against us or any director or officer or other employee of our company that is governed by the internal affairs doctrine.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Restrictions on Ownership and Transfer</w:t>
      </w:r>
    </w:p>
    <w:p>
      <w:pPr>
        <w:spacing w:after="0" w:line="218" w:lineRule="exact"/>
        <w:rPr>
          <w:sz w:val="20"/>
          <w:szCs w:val="20"/>
          <w:color w:val="auto"/>
        </w:rPr>
      </w:pPr>
    </w:p>
    <w:p>
      <w:pPr>
        <w:ind w:firstLine="561"/>
        <w:spacing w:after="0" w:line="335" w:lineRule="auto"/>
        <w:rPr>
          <w:sz w:val="20"/>
          <w:szCs w:val="20"/>
          <w:color w:val="auto"/>
        </w:rPr>
      </w:pPr>
      <w:r>
        <w:rPr>
          <w:rFonts w:ascii="Arial" w:cs="Arial" w:eastAsia="Arial" w:hAnsi="Arial"/>
          <w:sz w:val="14"/>
          <w:szCs w:val="14"/>
          <w:color w:val="auto"/>
        </w:rPr>
        <w:t>In order for us to qualify as a real estate investment trust (a “REIT”) under the Internal Revenue Code (the “Code”), shares of our stock must be beneficially owned by 100 or more persons during at least 335 days of a taxable year of 12 months (other than the first year for which an election to be a REIT has been made) or during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20"/>
          </w:cols>
          <w:pgMar w:left="320" w:top="1440" w:right="359" w:bottom="1440" w:gutter="0" w:footer="0" w:header="0"/>
        </w:sectPr>
      </w:pPr>
    </w:p>
    <w:bookmarkStart w:id="352" w:name="page353"/>
    <w:bookmarkEnd w:id="352"/>
    <w:p>
      <w:pPr>
        <w:jc w:val="both"/>
        <w:ind w:right="120"/>
        <w:spacing w:after="0" w:line="253" w:lineRule="auto"/>
        <w:rPr>
          <w:sz w:val="20"/>
          <w:szCs w:val="20"/>
          <w:color w:val="auto"/>
        </w:rPr>
      </w:pPr>
      <w:r>
        <w:rPr>
          <w:rFonts w:ascii="Arial" w:cs="Arial" w:eastAsia="Arial" w:hAnsi="Arial"/>
          <w:sz w:val="16"/>
          <w:szCs w:val="16"/>
          <w:color w:val="auto"/>
        </w:rPr>
        <w:t>proportionate part of a shorter taxable year. Also, not more than 50% of the value of the outstanding shares of stock (after taking into account options to acquire shares of common stock) may be owned, directly, indirectly or through attribution, by five or fewer individuals (as defined in the Code to include certain entities) at any time during the last half of a taxable year (other than the first year for which an election to be a REIT has been made).</w:t>
      </w:r>
    </w:p>
    <w:p>
      <w:pPr>
        <w:spacing w:after="0" w:line="190" w:lineRule="exact"/>
        <w:rPr>
          <w:sz w:val="20"/>
          <w:szCs w:val="20"/>
          <w:color w:val="auto"/>
        </w:rPr>
      </w:pPr>
    </w:p>
    <w:p>
      <w:pPr>
        <w:ind w:right="180" w:firstLine="561"/>
        <w:spacing w:after="0" w:line="297" w:lineRule="auto"/>
        <w:rPr>
          <w:sz w:val="20"/>
          <w:szCs w:val="20"/>
          <w:color w:val="auto"/>
        </w:rPr>
      </w:pPr>
      <w:r>
        <w:rPr>
          <w:rFonts w:ascii="Arial" w:cs="Arial" w:eastAsia="Arial" w:hAnsi="Arial"/>
          <w:sz w:val="14"/>
          <w:szCs w:val="14"/>
          <w:color w:val="auto"/>
        </w:rPr>
        <w:t>In order to assist us in complying with the limitations on the concentration of ownership of REIT stock imposed by the Code, our Charter generally prohibits any person (other than a person who has been granted an exception) from actually or constructively owning more than 9.8% of the aggregate of the outstanding shares of our capital stock by value, or 9.8% of the aggregate of the outstanding shares of our common stock by value or by number of shares, whichever is more restrictive. However, our Charter permits exceptions to be made for stockholders provided our board of directors determines such exceptions will not jeopardize our qualification as a REIT.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Our Charter also prohibits any person from (1) beneficially or constructively owning shares of our capital stock that would result in our being “closely held” under</w:t>
      </w:r>
    </w:p>
    <w:p>
      <w:pPr>
        <w:spacing w:after="0" w:line="38"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Section 856(h) of the Code (without regard to whether the ownership interest is held during the last half of a taxable year), (2) transferring shares of our capital stock if such transfer would result in our being beneficially owned by fewer than 100 persons (determined without reference to any rules of attribution), (3) beneficially or constructively owning shares of our capital stock that would result in our owning (directly or indirectly) an interest in a tenant that is described in Section 856(d)(2)(B) of the Code if income derived by us (either directly or indirectly through one or more partnerships or limited liability companies) from such tenant during which such determination is being made would reasonably be expected to equal or exceed the lesser of (a) 1% of our gross income (as determined for purposes of Section 856(c) of the Code), or (b) an amount that would cause us to fail to satisfy any of the gross income requirements of Section 856(c) of the Code, and (4) beneficially or constructively owning shares of our capital stock that would cause us otherwise to fail to qualify as a REIT. Any person who acquires or attempts or intends to acquire beneficial ownership of shares of our capital stock that will or may violate any of the foregoing restrictions on transferability and ownership is required to give notice immediately to us and provide us with such other information as we may request in order to determine the effect of such transfers on our qualification as a REIT. The foregoing restrictions on transferability and ownership will not apply if our board of directors determines that it is no longer in our best interest to attempt to qualify, or to qualify, or to continue to qualify, as a REIT. In addition, our board of directors may determine that compliance with the foregoing restrictions is no longer required for our qualification as a REIT.</w:t>
      </w:r>
    </w:p>
    <w:p>
      <w:pPr>
        <w:spacing w:after="0" w:line="176" w:lineRule="exact"/>
        <w:rPr>
          <w:sz w:val="20"/>
          <w:szCs w:val="20"/>
          <w:color w:val="auto"/>
        </w:rPr>
      </w:pPr>
    </w:p>
    <w:p>
      <w:pPr>
        <w:ind w:right="40" w:firstLine="561"/>
        <w:spacing w:after="0" w:line="293" w:lineRule="auto"/>
        <w:rPr>
          <w:sz w:val="20"/>
          <w:szCs w:val="20"/>
          <w:color w:val="auto"/>
        </w:rPr>
      </w:pPr>
      <w:r>
        <w:rPr>
          <w:rFonts w:ascii="Arial" w:cs="Arial" w:eastAsia="Arial" w:hAnsi="Arial"/>
          <w:sz w:val="14"/>
          <w:szCs w:val="14"/>
          <w:color w:val="auto"/>
        </w:rPr>
        <w:t>Our board of directors, in its sole discretion, may exempt a person, prospectively or retroactively, from the aggregate stock ownership limit or the common stock ownership limit (together, the “ownership limits”) described above. However, our board of directors may not grant an exemption to any person unless our board of directors obtains such representations, covenants and understandings as our board of directors may deem appropriate in order to determine that granting the exemption would not result in our losing our qualification as a REIT. As a condition of granting the exemption, our board of directors may require a ruling from the IRS or an opinion of counsel in either case in form and substance satisfactory to our board of directors, in its sole discretion in order to determine or ensure our qualification as a REIT.</w:t>
      </w:r>
    </w:p>
    <w:p>
      <w:pPr>
        <w:spacing w:after="0" w:line="163" w:lineRule="exact"/>
        <w:rPr>
          <w:sz w:val="20"/>
          <w:szCs w:val="20"/>
          <w:color w:val="auto"/>
        </w:rPr>
      </w:pPr>
    </w:p>
    <w:p>
      <w:pPr>
        <w:ind w:right="260" w:firstLine="561"/>
        <w:spacing w:after="0" w:line="335" w:lineRule="auto"/>
        <w:rPr>
          <w:sz w:val="20"/>
          <w:szCs w:val="20"/>
          <w:color w:val="auto"/>
        </w:rPr>
      </w:pPr>
      <w:r>
        <w:rPr>
          <w:rFonts w:ascii="Arial" w:cs="Arial" w:eastAsia="Arial" w:hAnsi="Arial"/>
          <w:sz w:val="14"/>
          <w:szCs w:val="14"/>
          <w:color w:val="auto"/>
        </w:rPr>
        <w:t>In addition, our board of directors from time to time may increase or decrease the ownership limits. However, the ownership limits may not be increased if, after giving effect to such increase, five or fewer individuals could own or constructively own in the aggregate, more than 49.9% in value of the shares then outstanding.</w:t>
      </w:r>
    </w:p>
    <w:p>
      <w:pPr>
        <w:spacing w:after="0" w:line="135" w:lineRule="exact"/>
        <w:rPr>
          <w:sz w:val="20"/>
          <w:szCs w:val="20"/>
          <w:color w:val="auto"/>
        </w:rPr>
      </w:pPr>
    </w:p>
    <w:p>
      <w:pPr>
        <w:ind w:right="60" w:firstLine="561"/>
        <w:spacing w:after="0" w:line="248" w:lineRule="auto"/>
        <w:rPr>
          <w:sz w:val="20"/>
          <w:szCs w:val="20"/>
          <w:color w:val="auto"/>
        </w:rPr>
      </w:pPr>
      <w:r>
        <w:rPr>
          <w:rFonts w:ascii="Arial" w:cs="Arial" w:eastAsia="Arial" w:hAnsi="Arial"/>
          <w:sz w:val="16"/>
          <w:szCs w:val="16"/>
          <w:color w:val="auto"/>
        </w:rPr>
        <w:t>If any transfer of our shares of stock occurs which, if effective, would result in any person beneficially or constructively owning shares of stock in excess, or in violation, of the above transfer or ownership limits, such person known as a prohibited owner, then that number of shares of stock, the beneficial or constructive ownership of which otherwise would cause such person to violate the transfer or ownership limitations (rounded up to the nearest whole share), will be automatically transferred to a charitable trust for the exclusive benefit of a charitable beneficiary, and the prohibited owner will not acquire any rights in such shares. This automatic transfer will be considered effective as of the close of business on the business day before the violative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60"/>
          </w:cols>
          <w:pgMar w:left="320" w:top="1249" w:right="319" w:bottom="1440" w:gutter="0" w:footer="0" w:header="0"/>
        </w:sectPr>
      </w:pPr>
    </w:p>
    <w:bookmarkStart w:id="353" w:name="page354"/>
    <w:bookmarkEnd w:id="353"/>
    <w:p>
      <w:pPr>
        <w:ind w:firstLine="561"/>
        <w:spacing w:after="0" w:line="285" w:lineRule="auto"/>
        <w:rPr>
          <w:sz w:val="20"/>
          <w:szCs w:val="20"/>
          <w:color w:val="auto"/>
        </w:rPr>
      </w:pPr>
      <w:r>
        <w:rPr>
          <w:rFonts w:ascii="Arial" w:cs="Arial" w:eastAsia="Arial" w:hAnsi="Arial"/>
          <w:sz w:val="14"/>
          <w:szCs w:val="14"/>
          <w:color w:val="auto"/>
        </w:rPr>
        <w:t>If the transfer to the charitable trust would not be effective for any reason to prevent the violation of the above transfer or ownership limits, then the transfer of that number of shares of stock that otherwise would cause any person to violate the above limitations will be void. Shares of stock held in the charitable trust will continue to constitute issued and outstanding shares of our stock. The prohibited owner will not benefit economically from ownership of any shares of stock held in the charitable trust, will have no rights to dividends or other distributions and will not possess any rights to vote or other rights attributable to the shares of stock held in the charitable trust. The trustee of the charitable trust will be designated by us and must be unaffiliated with us or any prohibited owner and will have all voting rights and rights to dividends or other distributions with respect to shares of stock held in the charitable trust, and these rights will be exercised for the exclusive benefit of the trust’s charitable beneficiary. Any dividend or other distribution paid before our discovery that shares of stock have been transferred to the trustee will be paid by the recipient of such dividend or distribution to the trustee upon demand, and any dividend or other distribution authorized but unpaid will be paid when due to the trustee. Any dividend or distribution so paid to the trustee will be held in trust for the trust’s charitable beneficiary. Subject to Maryland law, effective as of the date that such shares of stock have been transferred to the charitable trust, the trustee, in its sole discretion, will have the authority to:</w:t>
      </w:r>
    </w:p>
    <w:p>
      <w:pPr>
        <w:spacing w:after="0" w:line="200" w:lineRule="exact"/>
        <w:rPr>
          <w:sz w:val="20"/>
          <w:szCs w:val="20"/>
          <w:color w:val="auto"/>
        </w:rPr>
      </w:pPr>
    </w:p>
    <w:p>
      <w:pPr>
        <w:spacing w:after="0" w:line="231" w:lineRule="exact"/>
        <w:rPr>
          <w:sz w:val="20"/>
          <w:szCs w:val="20"/>
          <w:color w:val="auto"/>
        </w:rPr>
      </w:pPr>
    </w:p>
    <w:p>
      <w:pPr>
        <w:ind w:left="860" w:hanging="851"/>
        <w:spacing w:after="0"/>
        <w:tabs>
          <w:tab w:leader="none" w:pos="8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rescind as void any vote cast by a prohibited owner prior to our discovery that such shares have been transferred to the charitable trust; and</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860" w:hanging="851"/>
        <w:spacing w:after="0"/>
        <w:tabs>
          <w:tab w:leader="none" w:pos="8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recast such vote in accordance with the desires of the trustee acting for the benefit of the trust’s charitable beneficiary.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However, if we have already taken irreversible corporate action, then the trustee will not have the authority to rescind and recast such vote.</w:t>
      </w:r>
    </w:p>
    <w:p>
      <w:pPr>
        <w:spacing w:after="0" w:line="214" w:lineRule="exact"/>
        <w:rPr>
          <w:sz w:val="20"/>
          <w:szCs w:val="20"/>
          <w:color w:val="auto"/>
        </w:rPr>
      </w:pPr>
    </w:p>
    <w:p>
      <w:pPr>
        <w:ind w:right="80" w:firstLine="561"/>
        <w:spacing w:after="0" w:line="250" w:lineRule="auto"/>
        <w:rPr>
          <w:sz w:val="20"/>
          <w:szCs w:val="20"/>
          <w:color w:val="auto"/>
        </w:rPr>
      </w:pPr>
      <w:r>
        <w:rPr>
          <w:rFonts w:ascii="Arial" w:cs="Arial" w:eastAsia="Arial" w:hAnsi="Arial"/>
          <w:sz w:val="16"/>
          <w:szCs w:val="16"/>
          <w:color w:val="auto"/>
        </w:rPr>
        <w:t>Within 20 days of receiving notice from us that shares of stock have been transferred to the charitable trust, and unless we buy the shares first as described below, the trustee will sell the shares of stock held in the charitable trust to a person, designated by the trustee, whose ownership of the shares will not violate the ownership limitations in our Charter. Upon the sale, the interest of the charitable beneficiary in the shares sold will terminate and the trustee will distribute the net proceeds of the sale to the prohibited owner and to the charitable beneficiary. The prohibited owner will receive the lesser of:</w:t>
      </w:r>
    </w:p>
    <w:p>
      <w:pPr>
        <w:spacing w:after="0" w:line="262" w:lineRule="exact"/>
        <w:rPr>
          <w:sz w:val="20"/>
          <w:szCs w:val="20"/>
          <w:color w:val="auto"/>
        </w:rPr>
      </w:pPr>
    </w:p>
    <w:p>
      <w:pPr>
        <w:ind w:left="860" w:right="280" w:hanging="851"/>
        <w:spacing w:after="0" w:line="253" w:lineRule="auto"/>
        <w:tabs>
          <w:tab w:leader="none" w:pos="8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price paid by the prohibited owner for the shares or, if the prohibited owner did not give value for the shares in connection with the event causing the shares to be held in the charitable trust (for example, in the case of a gift or devise), the market price of the shares on the day of the event causing the shares to be held in the charitable trust; and</w:t>
      </w:r>
    </w:p>
    <w:p>
      <w:pPr>
        <w:spacing w:after="0" w:line="26" w:lineRule="exact"/>
        <w:rPr>
          <w:rFonts w:ascii="Arial" w:cs="Arial" w:eastAsia="Arial" w:hAnsi="Arial"/>
          <w:sz w:val="16"/>
          <w:szCs w:val="16"/>
          <w:color w:val="auto"/>
        </w:rPr>
      </w:pPr>
    </w:p>
    <w:p>
      <w:pPr>
        <w:ind w:left="860" w:right="320" w:hanging="851"/>
        <w:spacing w:after="0" w:line="263" w:lineRule="auto"/>
        <w:tabs>
          <w:tab w:leader="none" w:pos="8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price per share received by the trustee from the sale or other disposition of the shares held in the charitable trust (less any commission and other expenses of a sale).</w:t>
      </w:r>
    </w:p>
    <w:p>
      <w:pPr>
        <w:spacing w:after="0" w:line="170" w:lineRule="exact"/>
        <w:rPr>
          <w:sz w:val="20"/>
          <w:szCs w:val="20"/>
          <w:color w:val="auto"/>
        </w:rPr>
      </w:pPr>
    </w:p>
    <w:p>
      <w:pPr>
        <w:jc w:val="both"/>
        <w:ind w:right="100" w:firstLine="561"/>
        <w:spacing w:after="0" w:line="307" w:lineRule="auto"/>
        <w:rPr>
          <w:sz w:val="20"/>
          <w:szCs w:val="20"/>
          <w:color w:val="auto"/>
        </w:rPr>
      </w:pPr>
      <w:r>
        <w:rPr>
          <w:rFonts w:ascii="Arial" w:cs="Arial" w:eastAsia="Arial" w:hAnsi="Arial"/>
          <w:sz w:val="14"/>
          <w:szCs w:val="14"/>
          <w:color w:val="auto"/>
        </w:rPr>
        <w:t>The trustee may reduce the amount payable to the prohibited owner by the amount of dividends and distributions paid to the prohibited owner and owed by the prohibited owner to the trustee. Any net sale proceeds in excess of the amount payable to the prohibited owner will be paid immediately to the charitable beneficiary. If, before our discovery that shares of stock have been transferred to the charitable trust, such shares are sold by a prohibited owner, then:</w:t>
      </w:r>
    </w:p>
    <w:p>
      <w:pPr>
        <w:spacing w:after="0" w:line="224" w:lineRule="exact"/>
        <w:rPr>
          <w:sz w:val="20"/>
          <w:szCs w:val="20"/>
          <w:color w:val="auto"/>
        </w:rPr>
      </w:pPr>
    </w:p>
    <w:p>
      <w:pPr>
        <w:ind w:left="880" w:hanging="871"/>
        <w:spacing w:after="0"/>
        <w:tabs>
          <w:tab w:leader="none" w:pos="8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such shares will be deemed to have been sold on behalf of the charitable trust;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7"/>
          <w:szCs w:val="17"/>
          <w:color w:val="auto"/>
        </w:rPr>
        <w:t>12</w:t>
      </w:r>
    </w:p>
    <w:p>
      <w:pPr>
        <w:sectPr>
          <w:pgSz w:w="11900" w:h="16838" w:orient="portrait"/>
          <w:cols w:equalWidth="0" w:num="1">
            <w:col w:w="11240"/>
          </w:cols>
          <w:pgMar w:left="320" w:top="1249" w:right="339" w:bottom="1440" w:gutter="0" w:footer="0" w:header="0"/>
        </w:sectPr>
      </w:pPr>
    </w:p>
    <w:bookmarkStart w:id="354" w:name="page355"/>
    <w:bookmarkEnd w:id="354"/>
    <w:p>
      <w:pPr>
        <w:spacing w:after="0" w:line="90" w:lineRule="exact"/>
        <w:rPr>
          <w:sz w:val="20"/>
          <w:szCs w:val="20"/>
          <w:color w:val="auto"/>
        </w:rPr>
      </w:pPr>
    </w:p>
    <w:p>
      <w:pPr>
        <w:ind w:left="860" w:right="380" w:hanging="851"/>
        <w:spacing w:after="0" w:line="263" w:lineRule="auto"/>
        <w:tabs>
          <w:tab w:leader="none" w:pos="8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the extent that the prohibited owner received an amount for such shares that exceeds the amount that the prohibited owner was entitled to receive as described above, the excess must be paid to the trustee upon demand.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addition, shares of stock held in the charitable trust will be deemed to have been offered for sale to us, or our designee, at a price per share equal to the lesser of:</w:t>
      </w:r>
    </w:p>
    <w:p>
      <w:pPr>
        <w:spacing w:after="0" w:line="307" w:lineRule="exact"/>
        <w:rPr>
          <w:sz w:val="20"/>
          <w:szCs w:val="20"/>
          <w:color w:val="auto"/>
        </w:rPr>
      </w:pPr>
    </w:p>
    <w:p>
      <w:pPr>
        <w:ind w:left="860" w:right="260" w:hanging="851"/>
        <w:spacing w:after="0" w:line="263" w:lineRule="auto"/>
        <w:tabs>
          <w:tab w:leader="none" w:pos="8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price per share in the transaction that resulted in such transfer to the charitable trust (or, in the case of a gift or devise, the market price at the time of the gift or devise); and</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880" w:hanging="871"/>
        <w:spacing w:after="0"/>
        <w:tabs>
          <w:tab w:leader="none" w:pos="8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market price on the date we, or our designee, accept such offer.</w:t>
      </w:r>
    </w:p>
    <w:p>
      <w:pPr>
        <w:spacing w:after="0" w:line="200" w:lineRule="exact"/>
        <w:rPr>
          <w:sz w:val="20"/>
          <w:szCs w:val="20"/>
          <w:color w:val="auto"/>
        </w:rPr>
      </w:pPr>
    </w:p>
    <w:p>
      <w:pPr>
        <w:spacing w:after="0" w:line="212" w:lineRule="exact"/>
        <w:rPr>
          <w:sz w:val="20"/>
          <w:szCs w:val="20"/>
          <w:color w:val="auto"/>
        </w:rPr>
      </w:pPr>
    </w:p>
    <w:p>
      <w:pPr>
        <w:ind w:firstLine="561"/>
        <w:spacing w:after="0" w:line="297" w:lineRule="auto"/>
        <w:rPr>
          <w:sz w:val="20"/>
          <w:szCs w:val="20"/>
          <w:color w:val="auto"/>
        </w:rPr>
      </w:pPr>
      <w:r>
        <w:rPr>
          <w:rFonts w:ascii="Arial" w:cs="Arial" w:eastAsia="Arial" w:hAnsi="Arial"/>
          <w:sz w:val="14"/>
          <w:szCs w:val="14"/>
          <w:color w:val="auto"/>
        </w:rPr>
        <w:t>We may reduce the amount payable to the prohibited owner by the amount of dividends and distributions paid to the prohibited owner and owed by the prohibited owner to the trustee. We may pay the amount of such reduction to the trustee for the benefit of the charitable beneficiary. We will have the right to accept the offer until the trustee has sold the shares of stock held in the charitable trust. Upon such a sale to us, the interest of the charitable beneficiary in the shares sold will terminate and the trustee will distribute the net proceeds of the sale to the prohibited owner and any dividends or other distributions held by the trustee will be paid to the charitable beneficiary.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certificates representing shares of our capital stock bear a legend referring to the restrictions described above.</w:t>
      </w:r>
    </w:p>
    <w:p>
      <w:pPr>
        <w:spacing w:after="0" w:line="214" w:lineRule="exact"/>
        <w:rPr>
          <w:sz w:val="20"/>
          <w:szCs w:val="20"/>
          <w:color w:val="auto"/>
        </w:rPr>
      </w:pPr>
    </w:p>
    <w:p>
      <w:pPr>
        <w:ind w:right="20" w:firstLine="561"/>
        <w:spacing w:after="0" w:line="290" w:lineRule="auto"/>
        <w:rPr>
          <w:sz w:val="20"/>
          <w:szCs w:val="20"/>
          <w:color w:val="auto"/>
        </w:rPr>
      </w:pPr>
      <w:r>
        <w:rPr>
          <w:rFonts w:ascii="Arial" w:cs="Arial" w:eastAsia="Arial" w:hAnsi="Arial"/>
          <w:sz w:val="14"/>
          <w:szCs w:val="14"/>
          <w:color w:val="auto"/>
        </w:rPr>
        <w:t>Every owner of more than 5% (or such lower percentage as required by the Code or the regulations promulgated thereunder) in value of the outstanding shares of our capital stock within 30 days after the end of each taxable year, will be required to give written notice to us stating the name and address of such owner, the number of shares of each class and series of shares of our stock that the owner beneficially owns and a description of the manner in which the shares are held. Each owner shall provide to us such additional information as we may request in order to determine the effect, if any, of the owner’s beneficial ownership on our qualification as a REIT and to ensure compliance with the aggregate stock ownership limit. In addition, each stockholder shall upon demand be required to provide to us such information as we may request in order to determine our qualification as a REIT and to comply with the requirements of any taxing authority or governmental authority or to determine such compliance.</w:t>
      </w:r>
    </w:p>
    <w:p>
      <w:pPr>
        <w:spacing w:after="0" w:line="166" w:lineRule="exact"/>
        <w:rPr>
          <w:sz w:val="20"/>
          <w:szCs w:val="20"/>
          <w:color w:val="auto"/>
        </w:rPr>
      </w:pPr>
    </w:p>
    <w:p>
      <w:pPr>
        <w:ind w:right="160" w:firstLine="561"/>
        <w:spacing w:after="0" w:line="263" w:lineRule="auto"/>
        <w:rPr>
          <w:sz w:val="20"/>
          <w:szCs w:val="20"/>
          <w:color w:val="auto"/>
        </w:rPr>
      </w:pPr>
      <w:r>
        <w:rPr>
          <w:rFonts w:ascii="Arial" w:cs="Arial" w:eastAsia="Arial" w:hAnsi="Arial"/>
          <w:sz w:val="16"/>
          <w:szCs w:val="16"/>
          <w:color w:val="auto"/>
        </w:rPr>
        <w:t>Our ownership limitations could delay, defer or prevent a transaction or a change in control of us that might involve a premium price for holders of our common stock or might otherwise be in the best interest of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General</w:t>
      </w:r>
    </w:p>
    <w:p>
      <w:pPr>
        <w:spacing w:after="0" w:line="214" w:lineRule="exact"/>
        <w:rPr>
          <w:sz w:val="20"/>
          <w:szCs w:val="20"/>
          <w:color w:val="auto"/>
        </w:rPr>
      </w:pPr>
    </w:p>
    <w:p>
      <w:pPr>
        <w:ind w:firstLine="561"/>
        <w:spacing w:after="0" w:line="297" w:lineRule="auto"/>
        <w:rPr>
          <w:sz w:val="20"/>
          <w:szCs w:val="20"/>
          <w:color w:val="auto"/>
        </w:rPr>
      </w:pPr>
      <w:r>
        <w:rPr>
          <w:rFonts w:ascii="Arial" w:cs="Arial" w:eastAsia="Arial" w:hAnsi="Arial"/>
          <w:sz w:val="14"/>
          <w:szCs w:val="14"/>
          <w:color w:val="auto"/>
        </w:rPr>
        <w:t>Our Charter authorizes our board of directors, without the approval of our stockholders, to classify any unissued shares of preferred stock and to reclassify any previously classified but unissued shares of preferred stock of any series. Prior to the issuance of shares of any series, our board of directors is required by the MGCL and our Charter to set, subject to the provisions of our Charter regarding restrictions on transfer of our stock, the terms, preferences, conversion or other rights, voting powers, restrictions, limitations as to dividends or other distributions, qualifications or terms or conditions of redemption for each such series, all of which are set forth in articles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40" w:right="339" w:bottom="1440" w:gutter="0" w:footer="0" w:header="0"/>
        </w:sectPr>
      </w:pPr>
    </w:p>
    <w:bookmarkStart w:id="355" w:name="page356"/>
    <w:bookmarkEnd w:id="355"/>
    <w:p>
      <w:pPr>
        <w:jc w:val="both"/>
        <w:spacing w:after="0" w:line="307" w:lineRule="auto"/>
        <w:rPr>
          <w:sz w:val="20"/>
          <w:szCs w:val="20"/>
          <w:color w:val="auto"/>
        </w:rPr>
      </w:pPr>
      <w:r>
        <w:rPr>
          <w:rFonts w:ascii="Arial" w:cs="Arial" w:eastAsia="Arial" w:hAnsi="Arial"/>
          <w:sz w:val="14"/>
          <w:szCs w:val="14"/>
          <w:color w:val="auto"/>
        </w:rPr>
        <w:t>supplementary to our Charter adopted for that purpose by our board of directors or a duly authorized special committee thereof (or will be, with respect to future series of preferred stock). Using this authority, our board of directors could authorize the issuance of shares of preferred stock with terms and conditions that could delay, defer or prevent a transaction or a change in control that might involve a premium price for holders of our common stock or for other reasons be desired by them.</w:t>
      </w:r>
    </w:p>
    <w:p>
      <w:pPr>
        <w:spacing w:after="0" w:line="154" w:lineRule="exact"/>
        <w:rPr>
          <w:sz w:val="20"/>
          <w:szCs w:val="20"/>
          <w:color w:val="auto"/>
        </w:rPr>
      </w:pPr>
    </w:p>
    <w:p>
      <w:pPr>
        <w:ind w:right="180" w:firstLine="561"/>
        <w:spacing w:after="0" w:line="335" w:lineRule="auto"/>
        <w:rPr>
          <w:sz w:val="20"/>
          <w:szCs w:val="20"/>
          <w:color w:val="auto"/>
        </w:rPr>
      </w:pPr>
      <w:r>
        <w:rPr>
          <w:rFonts w:ascii="Arial" w:cs="Arial" w:eastAsia="Arial" w:hAnsi="Arial"/>
          <w:sz w:val="14"/>
          <w:szCs w:val="14"/>
          <w:color w:val="auto"/>
        </w:rPr>
        <w:t>Upon issuance against full payment of the purchase price therefor, shares of preferred stock are fully paid and nonassessable. The description of preferred stock set forth below does not purport to be complete and is qualified in its entirety by reference to the articles supplementary relating to the applicable class or series of preferred stock.</w:t>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Rank</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outstanding preferred stock, with respect to dividend rights and rights upon our liquidation, dissolution or winding up, ranks:</w:t>
      </w:r>
    </w:p>
    <w:p>
      <w:pPr>
        <w:spacing w:after="0" w:line="284" w:lineRule="exact"/>
        <w:rPr>
          <w:sz w:val="20"/>
          <w:szCs w:val="20"/>
          <w:color w:val="auto"/>
        </w:rPr>
      </w:pPr>
    </w:p>
    <w:p>
      <w:pPr>
        <w:ind w:left="860" w:right="400" w:hanging="851"/>
        <w:spacing w:after="0" w:line="263" w:lineRule="auto"/>
        <w:tabs>
          <w:tab w:leader="none" w:pos="860" w:val="left"/>
        </w:tabs>
        <w:numPr>
          <w:ilvl w:val="0"/>
          <w:numId w:val="290"/>
        </w:numPr>
        <w:rPr>
          <w:rFonts w:ascii="Arial" w:cs="Arial" w:eastAsia="Arial" w:hAnsi="Arial"/>
          <w:sz w:val="16"/>
          <w:szCs w:val="16"/>
          <w:i w:val="1"/>
          <w:iCs w:val="1"/>
          <w:color w:val="auto"/>
        </w:rPr>
      </w:pPr>
      <w:r>
        <w:rPr>
          <w:rFonts w:ascii="Arial" w:cs="Arial" w:eastAsia="Arial" w:hAnsi="Arial"/>
          <w:sz w:val="16"/>
          <w:szCs w:val="16"/>
          <w:color w:val="auto"/>
        </w:rPr>
        <w:t>senior to all classes or series of our common stock, and to all our equity securities ranking junior to such preferred stock with respect to dividend rights or rights upon our liquidation, dissolution or winding up;</w:t>
      </w:r>
    </w:p>
    <w:p>
      <w:pPr>
        <w:spacing w:after="0" w:line="200" w:lineRule="exact"/>
        <w:rPr>
          <w:rFonts w:ascii="Arial" w:cs="Arial" w:eastAsia="Arial" w:hAnsi="Arial"/>
          <w:sz w:val="16"/>
          <w:szCs w:val="16"/>
          <w:i w:val="1"/>
          <w:iCs w:val="1"/>
          <w:color w:val="auto"/>
        </w:rPr>
      </w:pPr>
    </w:p>
    <w:p>
      <w:pPr>
        <w:spacing w:after="0" w:line="250" w:lineRule="exact"/>
        <w:rPr>
          <w:rFonts w:ascii="Arial" w:cs="Arial" w:eastAsia="Arial" w:hAnsi="Arial"/>
          <w:sz w:val="16"/>
          <w:szCs w:val="16"/>
          <w:i w:val="1"/>
          <w:iCs w:val="1"/>
          <w:color w:val="auto"/>
        </w:rPr>
      </w:pPr>
    </w:p>
    <w:p>
      <w:pPr>
        <w:ind w:left="860" w:right="480" w:hanging="851"/>
        <w:spacing w:after="0" w:line="263" w:lineRule="auto"/>
        <w:tabs>
          <w:tab w:leader="none" w:pos="860" w:val="left"/>
        </w:tabs>
        <w:numPr>
          <w:ilvl w:val="0"/>
          <w:numId w:val="290"/>
        </w:numPr>
        <w:rPr>
          <w:rFonts w:ascii="Arial" w:cs="Arial" w:eastAsia="Arial" w:hAnsi="Arial"/>
          <w:sz w:val="16"/>
          <w:szCs w:val="16"/>
          <w:i w:val="1"/>
          <w:iCs w:val="1"/>
          <w:color w:val="auto"/>
        </w:rPr>
      </w:pPr>
      <w:r>
        <w:rPr>
          <w:rFonts w:ascii="Arial" w:cs="Arial" w:eastAsia="Arial" w:hAnsi="Arial"/>
          <w:sz w:val="16"/>
          <w:szCs w:val="16"/>
          <w:color w:val="auto"/>
        </w:rPr>
        <w:t>on a parity with all equity securities authorized or designated by us, the terms of which specifically provide that such equity securities rank on a parity with the preferred stock with respect to dividend rights or rights upon our liquidation, dissolution or winding up; and</w:t>
      </w:r>
    </w:p>
    <w:p>
      <w:pPr>
        <w:spacing w:after="0" w:line="200" w:lineRule="exact"/>
        <w:rPr>
          <w:rFonts w:ascii="Arial" w:cs="Arial" w:eastAsia="Arial" w:hAnsi="Arial"/>
          <w:sz w:val="16"/>
          <w:szCs w:val="16"/>
          <w:i w:val="1"/>
          <w:iCs w:val="1"/>
          <w:color w:val="auto"/>
        </w:rPr>
      </w:pPr>
    </w:p>
    <w:p>
      <w:pPr>
        <w:spacing w:after="0" w:line="250" w:lineRule="exact"/>
        <w:rPr>
          <w:rFonts w:ascii="Arial" w:cs="Arial" w:eastAsia="Arial" w:hAnsi="Arial"/>
          <w:sz w:val="16"/>
          <w:szCs w:val="16"/>
          <w:i w:val="1"/>
          <w:iCs w:val="1"/>
          <w:color w:val="auto"/>
        </w:rPr>
      </w:pPr>
    </w:p>
    <w:p>
      <w:pPr>
        <w:jc w:val="both"/>
        <w:ind w:left="860" w:right="600" w:hanging="851"/>
        <w:spacing w:after="0" w:line="335" w:lineRule="auto"/>
        <w:tabs>
          <w:tab w:leader="none" w:pos="860" w:val="left"/>
        </w:tabs>
        <w:numPr>
          <w:ilvl w:val="0"/>
          <w:numId w:val="290"/>
        </w:numPr>
        <w:rPr>
          <w:rFonts w:ascii="Arial" w:cs="Arial" w:eastAsia="Arial" w:hAnsi="Arial"/>
          <w:sz w:val="14"/>
          <w:szCs w:val="14"/>
          <w:i w:val="1"/>
          <w:iCs w:val="1"/>
          <w:color w:val="auto"/>
        </w:rPr>
      </w:pPr>
      <w:r>
        <w:rPr>
          <w:rFonts w:ascii="Arial" w:cs="Arial" w:eastAsia="Arial" w:hAnsi="Arial"/>
          <w:sz w:val="14"/>
          <w:szCs w:val="14"/>
          <w:color w:val="auto"/>
        </w:rPr>
        <w:t>junior to all our existing and future indebtedness and to any class or series of equity securities authorized or designated by us, the terms of which specifically provide that such equity securities rank senior to the preferred stock with respect to dividend rights or rights upon our liquidation, dissolution or winding up.</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Outstanding Preferred Stock</w:t>
      </w:r>
    </w:p>
    <w:p>
      <w:pPr>
        <w:spacing w:after="0" w:line="214" w:lineRule="exact"/>
        <w:rPr>
          <w:sz w:val="20"/>
          <w:szCs w:val="20"/>
          <w:color w:val="auto"/>
        </w:rPr>
      </w:pPr>
    </w:p>
    <w:p>
      <w:pPr>
        <w:ind w:right="20" w:firstLine="561"/>
        <w:spacing w:after="0" w:line="297" w:lineRule="auto"/>
        <w:rPr>
          <w:sz w:val="20"/>
          <w:szCs w:val="20"/>
          <w:color w:val="auto"/>
        </w:rPr>
      </w:pPr>
      <w:r>
        <w:rPr>
          <w:rFonts w:ascii="Arial" w:cs="Arial" w:eastAsia="Arial" w:hAnsi="Arial"/>
          <w:sz w:val="14"/>
          <w:szCs w:val="14"/>
          <w:color w:val="auto"/>
        </w:rPr>
        <w:t>Holders of our preferred stock are entitled to receive, when, as and if authorized by our board of directors, and declared by them out of assets legally available for payment, cumulative cash dividends at the applicable stated rate. The stated rate for the Series H preferred stock is 7.125% of the $25 liquidation preference per share, or $1.78125 per share, per annum; the stated rate for the Series I preferred stock is 7.15% of the $25 liquidation preference per share, or $1.7875 per share, per annum; and the stated rate for the Series J preferred stock is 7.125% of the $25 liquidation preference per share, or $1.78125 per share, per annum.</w:t>
      </w:r>
    </w:p>
    <w:p>
      <w:pPr>
        <w:spacing w:after="0" w:line="162" w:lineRule="exact"/>
        <w:rPr>
          <w:sz w:val="20"/>
          <w:szCs w:val="20"/>
          <w:color w:val="auto"/>
        </w:rPr>
      </w:pPr>
    </w:p>
    <w:p>
      <w:pPr>
        <w:ind w:right="20" w:firstLine="561"/>
        <w:spacing w:after="0" w:line="247" w:lineRule="auto"/>
        <w:rPr>
          <w:sz w:val="20"/>
          <w:szCs w:val="20"/>
          <w:color w:val="auto"/>
        </w:rPr>
      </w:pPr>
      <w:r>
        <w:rPr>
          <w:rFonts w:ascii="Arial" w:cs="Arial" w:eastAsia="Arial" w:hAnsi="Arial"/>
          <w:sz w:val="16"/>
          <w:szCs w:val="16"/>
          <w:color w:val="auto"/>
        </w:rPr>
        <w:t>We may not redeem the preferred stock prior to five years from the date of the original issuance of the applicable series of preferred stock, which, for the Series H preferred stock, such five year period ended on April 13, 2020; for the Series I preferred stock, such five year period will end on June 5, 2022; and for the Series J preferred stock, such five year period will end on September 22, 2022, except in certain circumstances relating to the ownership limitation necessary to preserve our qualification as a REIT or pursuant to certain special optional redemption rights. On or after five years from the date of the original issuance of the applicable series of preferred stock described in this paragraph, we may, at our option, upon the notice periods set forth in the applicable Articles Supplementary creating the series of preferred stock, redeem the preferred stock, in whole or in part, at any time or from time to time, for cash at a redemption price of $25.00 per share, plus all accrued and unpaid dividends thereon to the date fixed for redemption, without interest.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249" w:right="339" w:bottom="1440" w:gutter="0" w:footer="0" w:header="0"/>
        </w:sectPr>
      </w:pPr>
    </w:p>
    <w:bookmarkStart w:id="356" w:name="page357"/>
    <w:bookmarkEnd w:id="356"/>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outstanding series of our preferred stock is subject to certain conversion and optional redemption rights upon a change of control.</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foregoing summaries of our Series H preferred stock is qualified in their entirety by reference to the description of our Series H preferred stock included in</w:t>
      </w:r>
    </w:p>
    <w:p>
      <w:pPr>
        <w:spacing w:after="0" w:line="38" w:lineRule="exact"/>
        <w:rPr>
          <w:sz w:val="20"/>
          <w:szCs w:val="20"/>
          <w:color w:val="auto"/>
        </w:rPr>
      </w:pPr>
    </w:p>
    <w:p>
      <w:pPr>
        <w:spacing w:after="0" w:line="288" w:lineRule="auto"/>
        <w:rPr>
          <w:rFonts w:ascii="Arial" w:cs="Arial" w:eastAsia="Arial" w:hAnsi="Arial"/>
          <w:sz w:val="14"/>
          <w:szCs w:val="14"/>
          <w:color w:val="auto"/>
        </w:rPr>
      </w:pPr>
      <w:r>
        <w:rPr>
          <w:rFonts w:ascii="Arial" w:cs="Arial" w:eastAsia="Arial" w:hAnsi="Arial"/>
          <w:sz w:val="14"/>
          <w:szCs w:val="14"/>
          <w:color w:val="auto"/>
        </w:rPr>
        <w:t xml:space="preserve">our </w:t>
      </w:r>
      <w:hyperlink r:id="rId287">
        <w:r>
          <w:rPr>
            <w:rFonts w:ascii="Arial" w:cs="Arial" w:eastAsia="Arial" w:hAnsi="Arial"/>
            <w:sz w:val="14"/>
            <w:szCs w:val="14"/>
            <w:u w:val="single" w:color="auto"/>
            <w:color w:val="0000FF"/>
          </w:rPr>
          <w:t>Charter</w:t>
        </w:r>
      </w:hyperlink>
      <w:r>
        <w:rPr>
          <w:rFonts w:ascii="Arial" w:cs="Arial" w:eastAsia="Arial" w:hAnsi="Arial"/>
          <w:sz w:val="14"/>
          <w:szCs w:val="14"/>
          <w:color w:val="auto"/>
        </w:rPr>
        <w:t xml:space="preserve">, a copy of which is incorporated by reference into the Annual Report on Form 10-K of which this Exhibit 4.7 is a part. The foregoing summary of our Series I preferred stock is qualified in its entirety by reference to the description of our Series I preferred stock included in the </w:t>
      </w:r>
      <w:hyperlink r:id="rId209">
        <w:r>
          <w:rPr>
            <w:rFonts w:ascii="Arial" w:cs="Arial" w:eastAsia="Arial" w:hAnsi="Arial"/>
            <w:sz w:val="14"/>
            <w:szCs w:val="14"/>
            <w:u w:val="single" w:color="auto"/>
            <w:color w:val="0000FF"/>
          </w:rPr>
          <w:t>articles supplementary designating the Series I preferred stock</w:t>
        </w:r>
      </w:hyperlink>
      <w:r>
        <w:rPr>
          <w:rFonts w:ascii="Arial" w:cs="Arial" w:eastAsia="Arial" w:hAnsi="Arial"/>
          <w:sz w:val="14"/>
          <w:szCs w:val="14"/>
          <w:color w:val="auto"/>
        </w:rPr>
        <w:t xml:space="preserve">, a copy of which is incorporated by reference into the Annual Report on Form 10-K of which this Exhibit 4.7 is a part. The foregoing summary of our Series J preferred stock is qualified in its entirety by reference to the description of our Series J preferred stock included in the </w:t>
      </w:r>
      <w:hyperlink r:id="rId211">
        <w:r>
          <w:rPr>
            <w:rFonts w:ascii="Arial" w:cs="Arial" w:eastAsia="Arial" w:hAnsi="Arial"/>
            <w:sz w:val="14"/>
            <w:szCs w:val="14"/>
            <w:u w:val="single" w:color="auto"/>
            <w:color w:val="0000FF"/>
          </w:rPr>
          <w:t>articles supplementary designating the Series J preferred stock</w:t>
        </w:r>
      </w:hyperlink>
      <w:r>
        <w:rPr>
          <w:rFonts w:ascii="Arial" w:cs="Arial" w:eastAsia="Arial" w:hAnsi="Arial"/>
          <w:sz w:val="14"/>
          <w:szCs w:val="14"/>
          <w:color w:val="auto"/>
        </w:rPr>
        <w:t>, a copy of which is incorporated by reference into the Annual Report on Form 10-K of which this Exhibit 4.7 is a part.</w:t>
      </w:r>
    </w:p>
    <w:p>
      <w:pPr>
        <w:spacing w:after="0" w:line="168" w:lineRule="exact"/>
        <w:rPr>
          <w:rFonts w:ascii="Arial" w:cs="Arial" w:eastAsia="Arial" w:hAnsi="Arial"/>
          <w:sz w:val="14"/>
          <w:szCs w:val="14"/>
          <w:color w:val="auto"/>
        </w:rPr>
      </w:pPr>
    </w:p>
    <w:p>
      <w:pPr>
        <w:ind w:left="560"/>
        <w:spacing w:after="0"/>
        <w:rPr>
          <w:sz w:val="20"/>
          <w:szCs w:val="20"/>
          <w:color w:val="auto"/>
        </w:rPr>
      </w:pPr>
      <w:r>
        <w:rPr>
          <w:rFonts w:ascii="Arial" w:cs="Arial" w:eastAsia="Arial" w:hAnsi="Arial"/>
          <w:sz w:val="16"/>
          <w:szCs w:val="16"/>
          <w:b w:val="1"/>
          <w:bCs w:val="1"/>
          <w:i w:val="1"/>
          <w:iCs w:val="1"/>
          <w:color w:val="auto"/>
        </w:rPr>
        <w:t>Transfer Agent and Registrar</w:t>
      </w:r>
    </w:p>
    <w:p>
      <w:pPr>
        <w:spacing w:after="0" w:line="214" w:lineRule="exact"/>
        <w:rPr>
          <w:rFonts w:ascii="Arial" w:cs="Arial" w:eastAsia="Arial" w:hAnsi="Arial"/>
          <w:sz w:val="14"/>
          <w:szCs w:val="14"/>
          <w:color w:val="auto"/>
        </w:rPr>
      </w:pPr>
    </w:p>
    <w:p>
      <w:pPr>
        <w:ind w:left="560"/>
        <w:spacing w:after="0"/>
        <w:rPr>
          <w:sz w:val="20"/>
          <w:szCs w:val="20"/>
          <w:color w:val="auto"/>
        </w:rPr>
      </w:pPr>
      <w:r>
        <w:rPr>
          <w:rFonts w:ascii="Arial" w:cs="Arial" w:eastAsia="Arial" w:hAnsi="Arial"/>
          <w:sz w:val="16"/>
          <w:szCs w:val="16"/>
          <w:color w:val="auto"/>
        </w:rPr>
        <w:t>The transfer agent and registrar for preferred stock is American Stock Transfer &amp; Trust Company, LLC.</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40" w:right="3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6"/>
          <w:szCs w:val="16"/>
          <w:b w:val="1"/>
          <w:bCs w:val="1"/>
          <w:color w:val="auto"/>
        </w:rPr>
        <w:t>Exhibit 10.7</w:t>
      </w:r>
    </w:p>
    <w:p>
      <w:pPr>
        <w:spacing w:after="0" w:line="23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DIGITALBRIDGE GROUP, INC.</w:t>
      </w:r>
      <w:r>
        <w:rPr>
          <w:rFonts w:ascii="Arial" w:cs="Arial" w:eastAsia="Arial" w:hAnsi="Arial"/>
          <w:sz w:val="24"/>
          <w:szCs w:val="24"/>
          <w:color w:val="auto"/>
          <w:vertAlign w:val="superscript"/>
        </w:rPr>
        <w:t>1</w:t>
      </w:r>
    </w:p>
    <w:p>
      <w:pPr>
        <w:spacing w:after="0" w:line="13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2014 OMNIBUS STOCK INCENTIVE PLAN</w:t>
      </w:r>
      <w:r>
        <w:rPr>
          <w:rFonts w:ascii="Arial" w:cs="Arial" w:eastAsia="Arial" w:hAnsi="Arial"/>
          <w:sz w:val="24"/>
          <w:szCs w:val="24"/>
          <w:color w:val="auto"/>
          <w:vertAlign w:val="superscript"/>
        </w:rPr>
        <w:t>2</w:t>
      </w:r>
    </w:p>
    <w:p>
      <w:pPr>
        <w:spacing w:after="0" w:line="135" w:lineRule="exact"/>
        <w:rPr>
          <w:sz w:val="20"/>
          <w:szCs w:val="20"/>
          <w:color w:val="auto"/>
        </w:rPr>
      </w:pPr>
    </w:p>
    <w:p>
      <w:pPr>
        <w:ind w:left="6"/>
        <w:spacing w:after="0"/>
        <w:tabs>
          <w:tab w:leader="none" w:pos="926" w:val="left"/>
        </w:tabs>
        <w:rPr>
          <w:sz w:val="20"/>
          <w:szCs w:val="20"/>
          <w:color w:val="auto"/>
        </w:rPr>
      </w:pPr>
      <w:r>
        <w:rPr>
          <w:rFonts w:ascii="Arial" w:cs="Arial" w:eastAsia="Arial" w:hAnsi="Arial"/>
          <w:sz w:val="19"/>
          <w:szCs w:val="19"/>
          <w:b w:val="1"/>
          <w:bCs w:val="1"/>
          <w:color w:val="auto"/>
        </w:rPr>
        <w:t>Section 1.</w:t>
      </w:r>
      <w:r>
        <w:rPr>
          <w:sz w:val="20"/>
          <w:szCs w:val="20"/>
          <w:color w:val="auto"/>
        </w:rPr>
        <w:tab/>
      </w:r>
      <w:r>
        <w:rPr>
          <w:rFonts w:ascii="Arial" w:cs="Arial" w:eastAsia="Arial" w:hAnsi="Arial"/>
          <w:sz w:val="16"/>
          <w:szCs w:val="16"/>
          <w:b w:val="1"/>
          <w:bCs w:val="1"/>
          <w:color w:val="auto"/>
        </w:rPr>
        <w:t>General Purpose of Plan.</w:t>
      </w:r>
    </w:p>
    <w:p>
      <w:pPr>
        <w:spacing w:after="0" w:line="195" w:lineRule="exact"/>
        <w:rPr>
          <w:sz w:val="20"/>
          <w:szCs w:val="20"/>
          <w:color w:val="auto"/>
        </w:rPr>
      </w:pPr>
    </w:p>
    <w:p>
      <w:pPr>
        <w:ind w:left="6" w:right="100" w:firstLine="1123"/>
        <w:spacing w:after="0" w:line="248" w:lineRule="auto"/>
        <w:rPr>
          <w:sz w:val="20"/>
          <w:szCs w:val="20"/>
          <w:color w:val="auto"/>
        </w:rPr>
      </w:pPr>
      <w:r>
        <w:rPr>
          <w:rFonts w:ascii="Arial" w:cs="Arial" w:eastAsia="Arial" w:hAnsi="Arial"/>
          <w:sz w:val="19"/>
          <w:szCs w:val="19"/>
          <w:color w:val="auto"/>
        </w:rPr>
        <w:t>The name of this plan is the DigitalBridge Group, Inc. 2014 Omnibus Stock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The purpose of the Plan is to enable the Company to attract and retain highly qualified personnel who will contribute to the Company’s success and to provide incentives to Participants (hereinafter defined) that are linked directly to increases in stockholder value and will therefore inure to the benefit of all stockholders of the Company. To accomplish the foregoing, the Plan provides that the Company may grant awards of Stock, Incentive Stock Options, Non-Qualified Stock Options, Stock Appreciation Rights, Restricted Stock, Restricted Stock Units, Dividend Equivalent Rights, Cash-Based Awards and Other Awards (each as hereinafter defined).</w:t>
      </w:r>
    </w:p>
    <w:p>
      <w:pPr>
        <w:spacing w:after="0" w:line="162" w:lineRule="exact"/>
        <w:rPr>
          <w:sz w:val="20"/>
          <w:szCs w:val="20"/>
          <w:color w:val="auto"/>
        </w:rPr>
      </w:pPr>
    </w:p>
    <w:p>
      <w:pPr>
        <w:ind w:left="6"/>
        <w:spacing w:after="0"/>
        <w:tabs>
          <w:tab w:leader="none" w:pos="926" w:val="left"/>
        </w:tabs>
        <w:rPr>
          <w:sz w:val="20"/>
          <w:szCs w:val="20"/>
          <w:color w:val="auto"/>
        </w:rPr>
      </w:pPr>
      <w:r>
        <w:rPr>
          <w:rFonts w:ascii="Arial" w:cs="Arial" w:eastAsia="Arial" w:hAnsi="Arial"/>
          <w:sz w:val="19"/>
          <w:szCs w:val="19"/>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195" w:lineRule="exact"/>
        <w:rPr>
          <w:sz w:val="20"/>
          <w:szCs w:val="20"/>
          <w:color w:val="auto"/>
        </w:rPr>
      </w:pPr>
    </w:p>
    <w:p>
      <w:pPr>
        <w:ind w:left="1126"/>
        <w:spacing w:after="0"/>
        <w:rPr>
          <w:sz w:val="20"/>
          <w:szCs w:val="20"/>
          <w:color w:val="auto"/>
        </w:rPr>
      </w:pPr>
      <w:r>
        <w:rPr>
          <w:rFonts w:ascii="Arial" w:cs="Arial" w:eastAsia="Arial" w:hAnsi="Arial"/>
          <w:sz w:val="19"/>
          <w:szCs w:val="19"/>
          <w:color w:val="auto"/>
        </w:rPr>
        <w:t>For purposes of the Plan, the following terms shall be defined as set forth below:</w:t>
      </w:r>
    </w:p>
    <w:p>
      <w:pPr>
        <w:spacing w:after="0" w:line="191" w:lineRule="exact"/>
        <w:rPr>
          <w:sz w:val="20"/>
          <w:szCs w:val="20"/>
          <w:color w:val="auto"/>
        </w:rPr>
      </w:pPr>
    </w:p>
    <w:p>
      <w:pPr>
        <w:ind w:left="6" w:right="40" w:firstLine="1116"/>
        <w:spacing w:after="0" w:line="228" w:lineRule="exact"/>
        <w:tabs>
          <w:tab w:leader="none" w:pos="1687" w:val="left"/>
        </w:tabs>
        <w:numPr>
          <w:ilvl w:val="0"/>
          <w:numId w:val="2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except as provided in Section 3(a), the Board, or the compensation committee of the Board or a similar committee performing the functions of the compensation committee and which is comprised of not less than two Non</w:t>
      </w:r>
      <w:r>
        <w:rPr>
          <w:rFonts w:ascii="MS PGothic" w:cs="MS PGothic" w:eastAsia="MS PGothic" w:hAnsi="MS PGothic"/>
          <w:sz w:val="19"/>
          <w:szCs w:val="19"/>
          <w:color w:val="auto"/>
        </w:rPr>
        <w:t>‑</w:t>
      </w:r>
      <w:r>
        <w:rPr>
          <w:rFonts w:ascii="Arial" w:cs="Arial" w:eastAsia="Arial" w:hAnsi="Arial"/>
          <w:sz w:val="19"/>
          <w:szCs w:val="19"/>
          <w:color w:val="auto"/>
        </w:rPr>
        <w:t>Employee Directors who are independent.</w:t>
      </w:r>
    </w:p>
    <w:p>
      <w:pPr>
        <w:spacing w:after="0" w:line="170" w:lineRule="exact"/>
        <w:rPr>
          <w:rFonts w:ascii="Arial" w:cs="Arial" w:eastAsia="Arial" w:hAnsi="Arial"/>
          <w:sz w:val="19"/>
          <w:szCs w:val="19"/>
          <w:color w:val="auto"/>
        </w:rPr>
      </w:pPr>
    </w:p>
    <w:p>
      <w:pPr>
        <w:ind w:left="6" w:right="680" w:firstLine="1116"/>
        <w:spacing w:after="0" w:line="294" w:lineRule="auto"/>
        <w:tabs>
          <w:tab w:leader="none" w:pos="168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Stock, Incentive Stock Options, Non-Qualified Stock Options, Stock Appreciation Rights, Restricted Stock, Restricted Stock Units, Dividend Equivalent Rights, Cash-Based Award or Other Awards under the Plan.</w:t>
      </w:r>
    </w:p>
    <w:p>
      <w:pPr>
        <w:spacing w:after="0" w:line="124" w:lineRule="exact"/>
        <w:rPr>
          <w:rFonts w:ascii="Arial" w:cs="Arial" w:eastAsia="Arial" w:hAnsi="Arial"/>
          <w:sz w:val="18"/>
          <w:szCs w:val="18"/>
          <w:color w:val="auto"/>
        </w:rPr>
      </w:pPr>
    </w:p>
    <w:p>
      <w:pPr>
        <w:ind w:left="1686" w:hanging="564"/>
        <w:spacing w:after="0"/>
        <w:tabs>
          <w:tab w:leader="none" w:pos="1686" w:val="left"/>
        </w:tabs>
        <w:numPr>
          <w:ilvl w:val="0"/>
          <w:numId w:val="2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shall have the meaning set forth in Rule 13d-3 under the Exchange Act.</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9"/>
          <w:szCs w:val="19"/>
          <w:color w:val="auto"/>
        </w:rPr>
        <w:t>___________________________________</w:t>
      </w:r>
    </w:p>
    <w:p>
      <w:pPr>
        <w:ind w:left="86" w:hanging="86"/>
        <w:spacing w:after="0" w:line="221" w:lineRule="auto"/>
        <w:tabs>
          <w:tab w:leader="none" w:pos="86" w:val="left"/>
        </w:tabs>
        <w:numPr>
          <w:ilvl w:val="0"/>
          <w:numId w:val="292"/>
        </w:numPr>
        <w:rPr>
          <w:rFonts w:ascii="Arial" w:cs="Arial" w:eastAsia="Arial" w:hAnsi="Arial"/>
          <w:sz w:val="23"/>
          <w:szCs w:val="23"/>
          <w:color w:val="auto"/>
          <w:vertAlign w:val="superscript"/>
        </w:rPr>
      </w:pPr>
      <w:r>
        <w:rPr>
          <w:rFonts w:ascii="Arial" w:cs="Arial" w:eastAsia="Arial" w:hAnsi="Arial"/>
          <w:sz w:val="15"/>
          <w:szCs w:val="15"/>
          <w:color w:val="auto"/>
        </w:rPr>
        <w:t>Effective June 21, 2021, Colony Capital, Inc. (fka Colony NorthStar, Inc.) changed its name to “DigitalBridge Group, Inc.”</w:t>
      </w:r>
    </w:p>
    <w:p>
      <w:pPr>
        <w:spacing w:after="0" w:line="36" w:lineRule="exact"/>
        <w:rPr>
          <w:sz w:val="20"/>
          <w:szCs w:val="20"/>
          <w:color w:val="auto"/>
        </w:rPr>
      </w:pPr>
    </w:p>
    <w:p>
      <w:pPr>
        <w:ind w:left="6" w:right="60" w:hanging="6"/>
        <w:spacing w:after="0" w:line="241" w:lineRule="auto"/>
        <w:tabs>
          <w:tab w:leader="none" w:pos="97" w:val="left"/>
        </w:tabs>
        <w:numPr>
          <w:ilvl w:val="0"/>
          <w:numId w:val="293"/>
        </w:numPr>
        <w:rPr>
          <w:rFonts w:ascii="Arial" w:cs="Arial" w:eastAsia="Arial" w:hAnsi="Arial"/>
          <w:sz w:val="23"/>
          <w:szCs w:val="23"/>
          <w:color w:val="auto"/>
          <w:vertAlign w:val="superscript"/>
        </w:rPr>
      </w:pPr>
      <w:r>
        <w:rPr>
          <w:rFonts w:ascii="Arial" w:cs="Arial" w:eastAsia="Arial" w:hAnsi="Arial"/>
          <w:sz w:val="15"/>
          <w:szCs w:val="15"/>
          <w:color w:val="auto"/>
        </w:rPr>
        <w:t>As adjusted to reflect the series of merger and reorganization transactions (collectively, the “</w:t>
      </w:r>
      <w:r>
        <w:rPr>
          <w:rFonts w:ascii="Arial" w:cs="Arial" w:eastAsia="Arial" w:hAnsi="Arial"/>
          <w:sz w:val="15"/>
          <w:szCs w:val="15"/>
          <w:u w:val="single" w:color="auto"/>
          <w:color w:val="auto"/>
        </w:rPr>
        <w:t>CLNS Merger</w:t>
      </w:r>
      <w:r>
        <w:rPr>
          <w:rFonts w:ascii="Arial" w:cs="Arial" w:eastAsia="Arial" w:hAnsi="Arial"/>
          <w:sz w:val="15"/>
          <w:szCs w:val="15"/>
          <w:color w:val="auto"/>
        </w:rPr>
        <w:t>”) contemplated by that certain Agreement and Plans of Merger, dated as of June 2, 2016, by and among NorthStar Asset Management Group Inc. (“</w:t>
      </w:r>
      <w:r>
        <w:rPr>
          <w:rFonts w:ascii="Arial" w:cs="Arial" w:eastAsia="Arial" w:hAnsi="Arial"/>
          <w:sz w:val="15"/>
          <w:szCs w:val="15"/>
          <w:u w:val="single" w:color="auto"/>
          <w:color w:val="auto"/>
        </w:rPr>
        <w:t>NSAM</w:t>
      </w:r>
      <w:r>
        <w:rPr>
          <w:rFonts w:ascii="Arial" w:cs="Arial" w:eastAsia="Arial" w:hAnsi="Arial"/>
          <w:sz w:val="15"/>
          <w:szCs w:val="15"/>
          <w:color w:val="auto"/>
        </w:rPr>
        <w:t>”), Colony Capital, Inc., NorthStar Realty Finance Corp. and other signatories thereto, as amended from time to time, pursuant to which Colony Capital, Inc. (fka Colony NorthStar, Inc.) survived the CLNS Merger and succeeded to the obligations of NSAM under the NorthStar Asset Management Group Inc. 2014 Omnibus Stock Incentive Plan (the “</w:t>
      </w:r>
      <w:r>
        <w:rPr>
          <w:rFonts w:ascii="Arial" w:cs="Arial" w:eastAsia="Arial" w:hAnsi="Arial"/>
          <w:sz w:val="15"/>
          <w:szCs w:val="15"/>
          <w:u w:val="single" w:color="auto"/>
          <w:color w:val="auto"/>
        </w:rPr>
        <w:t>NSAM Plan</w:t>
      </w:r>
      <w:r>
        <w:rPr>
          <w:rFonts w:ascii="Arial" w:cs="Arial" w:eastAsia="Arial" w:hAnsi="Arial"/>
          <w:sz w:val="15"/>
          <w:szCs w:val="15"/>
          <w:color w:val="auto"/>
        </w:rPr>
        <w:t>”). The DigitalBridge Group, Inc. 2014 Omnibus Stock Incentive Plan, as adjusted, will govern future Awards to eligible recipients subsequent to the CLNS Merger. Awards granted under the NSAM Plan prior to the CLNS Merger will continue to be governed, to the extent applicable, by the terms of the NSAM Plan prior to the adjustments made herein.</w:t>
      </w:r>
    </w:p>
    <w:p>
      <w:pPr>
        <w:sectPr>
          <w:pgSz w:w="11900" w:h="16838" w:orient="portrait"/>
          <w:cols w:equalWidth="0" w:num="1">
            <w:col w:w="11266"/>
          </w:cols>
          <w:pgMar w:left="314" w:top="1266" w:right="319" w:bottom="1440" w:gutter="0" w:footer="0" w:header="0"/>
        </w:sectPr>
      </w:pPr>
    </w:p>
    <w:bookmarkStart w:id="358" w:name="page359"/>
    <w:bookmarkEnd w:id="358"/>
    <w:p>
      <w:pPr>
        <w:ind w:left="1680" w:hanging="564"/>
        <w:spacing w:after="0"/>
        <w:tabs>
          <w:tab w:leader="none" w:pos="168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307" w:lineRule="exact"/>
        <w:rPr>
          <w:rFonts w:ascii="Arial" w:cs="Arial" w:eastAsia="Arial" w:hAnsi="Arial"/>
          <w:sz w:val="19"/>
          <w:szCs w:val="19"/>
          <w:color w:val="auto"/>
        </w:rPr>
      </w:pPr>
    </w:p>
    <w:p>
      <w:pPr>
        <w:ind w:left="1680" w:hanging="564"/>
        <w:spacing w:after="0"/>
        <w:tabs>
          <w:tab w:leader="none" w:pos="168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Cash-Based Award</w:t>
      </w:r>
      <w:r>
        <w:rPr>
          <w:rFonts w:ascii="Arial" w:cs="Arial" w:eastAsia="Arial" w:hAnsi="Arial"/>
          <w:sz w:val="19"/>
          <w:szCs w:val="19"/>
          <w:color w:val="auto"/>
        </w:rPr>
        <w:t>” means an Award entitling the recipient to receive a cash-denominated payment.</w:t>
      </w:r>
    </w:p>
    <w:p>
      <w:pPr>
        <w:spacing w:after="0" w:line="190" w:lineRule="exact"/>
        <w:rPr>
          <w:rFonts w:ascii="Arial" w:cs="Arial" w:eastAsia="Arial" w:hAnsi="Arial"/>
          <w:sz w:val="19"/>
          <w:szCs w:val="19"/>
          <w:color w:val="auto"/>
        </w:rPr>
      </w:pPr>
    </w:p>
    <w:p>
      <w:pPr>
        <w:ind w:left="1680" w:hanging="564"/>
        <w:spacing w:after="0"/>
        <w:tabs>
          <w:tab w:leader="none" w:pos="168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w:t>
      </w:r>
    </w:p>
    <w:p>
      <w:pPr>
        <w:spacing w:after="0" w:line="190" w:lineRule="exact"/>
        <w:rPr>
          <w:rFonts w:ascii="Arial" w:cs="Arial" w:eastAsia="Arial" w:hAnsi="Arial"/>
          <w:sz w:val="19"/>
          <w:szCs w:val="19"/>
          <w:color w:val="auto"/>
        </w:rPr>
      </w:pPr>
    </w:p>
    <w:p>
      <w:pPr>
        <w:ind w:firstLine="1782"/>
        <w:spacing w:after="0" w:line="281" w:lineRule="auto"/>
        <w:tabs>
          <w:tab w:leader="none" w:pos="2245" w:val="left"/>
        </w:tabs>
        <w:numPr>
          <w:ilvl w:val="1"/>
          <w:numId w:val="294"/>
        </w:numPr>
        <w:rPr>
          <w:rFonts w:ascii="Arial" w:cs="Arial" w:eastAsia="Arial" w:hAnsi="Arial"/>
          <w:sz w:val="17"/>
          <w:szCs w:val="17"/>
          <w:color w:val="auto"/>
        </w:rPr>
      </w:pPr>
      <w:r>
        <w:rPr>
          <w:rFonts w:ascii="Arial" w:cs="Arial" w:eastAsia="Arial" w:hAnsi="Arial"/>
          <w:sz w:val="17"/>
          <w:szCs w:val="17"/>
          <w:color w:val="auto"/>
        </w:rPr>
        <w:t>The acquisition by any Person of beneficial ownership (within the meaning of Rule 13d-3 promulgated under the Exchange Act) of more than fifty percent (50%) of either (i) the then outstanding shares of Stock (the “</w:t>
      </w:r>
      <w:r>
        <w:rPr>
          <w:rFonts w:ascii="Arial" w:cs="Arial" w:eastAsia="Arial" w:hAnsi="Arial"/>
          <w:sz w:val="17"/>
          <w:szCs w:val="17"/>
          <w:u w:val="single" w:color="auto"/>
          <w:color w:val="auto"/>
        </w:rPr>
        <w:t>Outstanding Company Stock</w:t>
      </w:r>
      <w:r>
        <w:rPr>
          <w:rFonts w:ascii="Arial" w:cs="Arial" w:eastAsia="Arial" w:hAnsi="Arial"/>
          <w:sz w:val="17"/>
          <w:szCs w:val="17"/>
          <w:color w:val="auto"/>
        </w:rPr>
        <w:t>”) or (ii)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xml:space="preserve">”), each as determined on a fully diluted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subsection (i), the following acquisitions shall not constitute a Change in Control: (A) any acquisition by the Company; (B) any acquisition by any employee benefit plan (or related trust) sponsored or maintained by the Company or any corporation or trust controlled by the Company; and (C) any acquisition by any entity pursuant to a transaction which complies with clauses (A), (B), and (C) of subsection (iii) of this Section 2(f); or</w:t>
      </w:r>
    </w:p>
    <w:p>
      <w:pPr>
        <w:spacing w:after="0" w:line="140" w:lineRule="exact"/>
        <w:rPr>
          <w:rFonts w:ascii="Arial" w:cs="Arial" w:eastAsia="Arial" w:hAnsi="Arial"/>
          <w:sz w:val="17"/>
          <w:szCs w:val="17"/>
          <w:color w:val="auto"/>
        </w:rPr>
      </w:pPr>
    </w:p>
    <w:p>
      <w:pPr>
        <w:ind w:right="40" w:firstLine="1730"/>
        <w:spacing w:after="0" w:line="283" w:lineRule="auto"/>
        <w:tabs>
          <w:tab w:leader="none" w:pos="2245"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37" w:lineRule="exact"/>
        <w:rPr>
          <w:rFonts w:ascii="Arial" w:cs="Arial" w:eastAsia="Arial" w:hAnsi="Arial"/>
          <w:sz w:val="17"/>
          <w:szCs w:val="17"/>
          <w:color w:val="auto"/>
        </w:rPr>
      </w:pPr>
    </w:p>
    <w:p>
      <w:pPr>
        <w:ind w:firstLine="1678"/>
        <w:spacing w:after="0" w:line="261" w:lineRule="auto"/>
        <w:tabs>
          <w:tab w:leader="none" w:pos="229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each case unless, following such Business Combination, (A) all or substantially all of the individuals and entities who were the beneficial owners of the Outstanding Company Stock and Outstanding Company Voting Securities immediately prior to such Business Combination beneficially own, directly or indirectly, more than fifty percent (50%) of, respectively, the then outstanding shares and the combined voting power of the then outstanding voting securities entitled to vote generally in the election of Directors, as the case may be, of the entity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corporation or trust resulting from such Business Combination or any employee benefit plan (or related trust) of the Company or such corporation or trust resulting from such Business Combination) beneficially owns, directly or indirectly, thirty-five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255" w:right="339" w:bottom="1440" w:gutter="0" w:footer="0" w:header="0"/>
        </w:sectPr>
      </w:pPr>
    </w:p>
    <w:bookmarkStart w:id="359" w:name="page360"/>
    <w:bookmarkEnd w:id="359"/>
    <w:p>
      <w:pPr>
        <w:ind w:right="40"/>
        <w:spacing w:after="0" w:line="249" w:lineRule="auto"/>
        <w:rPr>
          <w:sz w:val="20"/>
          <w:szCs w:val="20"/>
          <w:color w:val="auto"/>
        </w:rPr>
      </w:pPr>
      <w:r>
        <w:rPr>
          <w:rFonts w:ascii="Arial" w:cs="Arial" w:eastAsia="Arial" w:hAnsi="Arial"/>
          <w:sz w:val="19"/>
          <w:szCs w:val="19"/>
          <w:color w:val="auto"/>
        </w:rPr>
        <w:t>(35%) or more of the then outstanding shares of the corporation or trust resulting from such Business Combination or the combined voting power of the then outstanding voting securities of such corporation or trust except to the extent that such ownership existed prior to the Business Combination; and (C) at least a majority of the members of the board of directors of the corporation or trust resulting from such Business Combination were members of the Incumbent Board at the time of the execution of the initial agreement, or of the action of the Board, providing for such Business Combination; or</w:t>
      </w:r>
    </w:p>
    <w:p>
      <w:pPr>
        <w:spacing w:after="0" w:line="165" w:lineRule="exact"/>
        <w:rPr>
          <w:sz w:val="20"/>
          <w:szCs w:val="20"/>
          <w:color w:val="auto"/>
        </w:rPr>
      </w:pPr>
    </w:p>
    <w:p>
      <w:pPr>
        <w:ind w:right="900" w:firstLine="1688"/>
        <w:spacing w:after="0" w:line="266" w:lineRule="auto"/>
        <w:tabs>
          <w:tab w:leader="none" w:pos="2292" w:val="left"/>
        </w:tabs>
        <w:numPr>
          <w:ilvl w:val="1"/>
          <w:numId w:val="295"/>
        </w:numPr>
        <w:rPr>
          <w:rFonts w:ascii="Arial" w:cs="Arial" w:eastAsia="Arial" w:hAnsi="Arial"/>
          <w:sz w:val="19"/>
          <w:szCs w:val="19"/>
          <w:color w:val="auto"/>
        </w:rPr>
      </w:pPr>
      <w:r>
        <w:rPr>
          <w:rFonts w:ascii="Arial" w:cs="Arial" w:eastAsia="Arial" w:hAnsi="Arial"/>
          <w:sz w:val="19"/>
          <w:szCs w:val="19"/>
          <w:color w:val="auto"/>
        </w:rPr>
        <w:t>Approval by the stockholders of the Company of a complete liquidation or dissolution of the Company and consummation of such transaction.</w:t>
      </w:r>
    </w:p>
    <w:p>
      <w:pPr>
        <w:spacing w:after="0" w:line="147" w:lineRule="exact"/>
        <w:rPr>
          <w:rFonts w:ascii="Arial" w:cs="Arial" w:eastAsia="Arial" w:hAnsi="Arial"/>
          <w:sz w:val="19"/>
          <w:szCs w:val="19"/>
          <w:color w:val="auto"/>
        </w:rPr>
      </w:pPr>
    </w:p>
    <w:p>
      <w:pPr>
        <w:ind w:right="40" w:firstLine="1116"/>
        <w:spacing w:after="0" w:line="325" w:lineRule="auto"/>
        <w:tabs>
          <w:tab w:leader="none" w:pos="16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CLNS Merger</w:t>
      </w:r>
      <w:r>
        <w:rPr>
          <w:rFonts w:ascii="Arial" w:cs="Arial" w:eastAsia="Arial" w:hAnsi="Arial"/>
          <w:sz w:val="16"/>
          <w:szCs w:val="16"/>
          <w:color w:val="auto"/>
        </w:rPr>
        <w:t>” means the series of merger and reorganization transactions contemplated by that certain Agreement and Plans of Merger, dated as of June 2, 2016, by and among NSAM, Colony Capital, Inc., NorthStar Realty Finance Corp. and other signatories thereto, as amended from time to time, pursuant to which the Company survived the CLNS Merger and succeeded to the obligations of NSAM under the Plan.</w:t>
      </w:r>
    </w:p>
    <w:p>
      <w:pPr>
        <w:spacing w:after="0" w:line="106" w:lineRule="exact"/>
        <w:rPr>
          <w:rFonts w:ascii="Arial" w:cs="Arial" w:eastAsia="Arial" w:hAnsi="Arial"/>
          <w:sz w:val="16"/>
          <w:szCs w:val="16"/>
          <w:color w:val="auto"/>
        </w:rPr>
      </w:pPr>
    </w:p>
    <w:p>
      <w:pPr>
        <w:ind w:left="1680" w:hanging="564"/>
        <w:spacing w:after="0"/>
        <w:tabs>
          <w:tab w:leader="none" w:pos="168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time-to-time, or any successor thereto.</w:t>
      </w:r>
    </w:p>
    <w:p>
      <w:pPr>
        <w:spacing w:after="0" w:line="190" w:lineRule="exact"/>
        <w:rPr>
          <w:rFonts w:ascii="Arial" w:cs="Arial" w:eastAsia="Arial" w:hAnsi="Arial"/>
          <w:sz w:val="19"/>
          <w:szCs w:val="19"/>
          <w:color w:val="auto"/>
        </w:rPr>
      </w:pPr>
    </w:p>
    <w:p>
      <w:pPr>
        <w:ind w:right="960" w:firstLine="1116"/>
        <w:spacing w:after="0" w:line="266" w:lineRule="auto"/>
        <w:tabs>
          <w:tab w:leader="none" w:pos="1673"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DigitalBridge Group, Inc. (fka Colony Capital, Inc.), a Maryland corporation (or any successor corporation), as successor in interest to NSAM.</w:t>
      </w:r>
    </w:p>
    <w:p>
      <w:pPr>
        <w:spacing w:after="0" w:line="147" w:lineRule="exact"/>
        <w:rPr>
          <w:rFonts w:ascii="Arial" w:cs="Arial" w:eastAsia="Arial" w:hAnsi="Arial"/>
          <w:sz w:val="19"/>
          <w:szCs w:val="19"/>
          <w:color w:val="auto"/>
        </w:rPr>
      </w:pPr>
    </w:p>
    <w:p>
      <w:pPr>
        <w:ind w:left="1660" w:hanging="544"/>
        <w:spacing w:after="0"/>
        <w:tabs>
          <w:tab w:leader="none" w:pos="16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an employee who is a “Covered Employee” within the meaning of Section 162(m) of the Code.</w:t>
      </w:r>
    </w:p>
    <w:p>
      <w:pPr>
        <w:spacing w:after="0" w:line="213" w:lineRule="exact"/>
        <w:rPr>
          <w:rFonts w:ascii="Arial" w:cs="Arial" w:eastAsia="Arial" w:hAnsi="Arial"/>
          <w:sz w:val="17"/>
          <w:szCs w:val="17"/>
          <w:color w:val="auto"/>
        </w:rPr>
      </w:pPr>
    </w:p>
    <w:p>
      <w:pPr>
        <w:ind w:firstLine="1116"/>
        <w:spacing w:after="0" w:line="255" w:lineRule="auto"/>
        <w:tabs>
          <w:tab w:leader="none" w:pos="168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 Equivalent Right</w:t>
      </w:r>
      <w:r>
        <w:rPr>
          <w:rFonts w:ascii="Arial" w:cs="Arial" w:eastAsia="Arial" w:hAnsi="Arial"/>
          <w:sz w:val="19"/>
          <w:szCs w:val="19"/>
          <w:color w:val="auto"/>
        </w:rPr>
        <w:t>” means an Award entitling the Participant to receive credits based on cash dividends that would have been paid on the shares of Stock specified in the Dividend Equivalent Right (or other award to which it relates) if such shares had been issued to and held by the Participant.</w:t>
      </w:r>
    </w:p>
    <w:p>
      <w:pPr>
        <w:spacing w:after="0" w:line="157" w:lineRule="exact"/>
        <w:rPr>
          <w:rFonts w:ascii="Arial" w:cs="Arial" w:eastAsia="Arial" w:hAnsi="Arial"/>
          <w:sz w:val="19"/>
          <w:szCs w:val="19"/>
          <w:color w:val="auto"/>
        </w:rPr>
      </w:pPr>
    </w:p>
    <w:p>
      <w:pPr>
        <w:ind w:left="1660" w:hanging="544"/>
        <w:spacing w:after="0"/>
        <w:tabs>
          <w:tab w:leader="none" w:pos="166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date on which the Plan was approved by stockholders as set forth in Section 18.</w:t>
      </w:r>
    </w:p>
    <w:p>
      <w:pPr>
        <w:spacing w:after="0" w:line="190" w:lineRule="exact"/>
        <w:rPr>
          <w:rFonts w:ascii="Arial" w:cs="Arial" w:eastAsia="Arial" w:hAnsi="Arial"/>
          <w:sz w:val="19"/>
          <w:szCs w:val="19"/>
          <w:color w:val="auto"/>
        </w:rPr>
      </w:pPr>
    </w:p>
    <w:p>
      <w:pPr>
        <w:ind w:right="240" w:firstLine="1116"/>
        <w:spacing w:after="0" w:line="266" w:lineRule="auto"/>
        <w:tabs>
          <w:tab w:leader="none" w:pos="1673"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Recipient</w:t>
      </w:r>
      <w:r>
        <w:rPr>
          <w:rFonts w:ascii="Arial" w:cs="Arial" w:eastAsia="Arial" w:hAnsi="Arial"/>
          <w:sz w:val="19"/>
          <w:szCs w:val="19"/>
          <w:color w:val="auto"/>
        </w:rPr>
        <w:t>” means an officer, director (including a Non-Employee Director), employee, co-employee, consultant or advisor of the Company or of any Parent or Subsidiary who provides services to the Company.</w:t>
      </w:r>
    </w:p>
    <w:p>
      <w:pPr>
        <w:spacing w:after="0" w:line="147" w:lineRule="exact"/>
        <w:rPr>
          <w:rFonts w:ascii="Arial" w:cs="Arial" w:eastAsia="Arial" w:hAnsi="Arial"/>
          <w:sz w:val="19"/>
          <w:szCs w:val="19"/>
          <w:color w:val="auto"/>
        </w:rPr>
      </w:pPr>
    </w:p>
    <w:p>
      <w:pPr>
        <w:ind w:left="1680" w:hanging="564"/>
        <w:spacing w:after="0"/>
        <w:tabs>
          <w:tab w:leader="none" w:pos="168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from time-to-time.</w:t>
      </w:r>
    </w:p>
    <w:p>
      <w:pPr>
        <w:spacing w:after="0" w:line="190" w:lineRule="exact"/>
        <w:rPr>
          <w:rFonts w:ascii="Arial" w:cs="Arial" w:eastAsia="Arial" w:hAnsi="Arial"/>
          <w:sz w:val="19"/>
          <w:szCs w:val="19"/>
          <w:color w:val="auto"/>
        </w:rPr>
      </w:pPr>
    </w:p>
    <w:p>
      <w:pPr>
        <w:ind w:right="80" w:firstLine="1116"/>
        <w:spacing w:after="0" w:line="251" w:lineRule="auto"/>
        <w:tabs>
          <w:tab w:leader="none" w:pos="168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as of any given date, the fair market value of a share of Stock as determined by the Administrator using any reasonable method and in good faith; provided that if shares of Stock are admitted to trading on a national securities exchange, the fair market value of a share of Stock on any date shall be the closing sale price reported for such share on the exchange on such date on which a sale was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00"/>
          </w:cols>
          <w:pgMar w:left="320" w:top="1255" w:right="379" w:bottom="1440" w:gutter="0" w:footer="0" w:header="0"/>
        </w:sectPr>
      </w:pPr>
    </w:p>
    <w:bookmarkStart w:id="360" w:name="page361"/>
    <w:bookmarkEnd w:id="360"/>
    <w:p>
      <w:pPr>
        <w:ind w:left="1680" w:hanging="564"/>
        <w:spacing w:after="0"/>
        <w:tabs>
          <w:tab w:leader="none" w:pos="16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Free Standing Rights</w:t>
      </w:r>
      <w:r>
        <w:rPr>
          <w:rFonts w:ascii="Arial" w:cs="Arial" w:eastAsia="Arial" w:hAnsi="Arial"/>
          <w:sz w:val="19"/>
          <w:szCs w:val="19"/>
          <w:color w:val="auto"/>
        </w:rPr>
        <w:t>” has the meaning set forth in Section 8 hereof.</w:t>
      </w:r>
    </w:p>
    <w:p>
      <w:pPr>
        <w:spacing w:after="0" w:line="190" w:lineRule="exact"/>
        <w:rPr>
          <w:rFonts w:ascii="Arial" w:cs="Arial" w:eastAsia="Arial" w:hAnsi="Arial"/>
          <w:sz w:val="19"/>
          <w:szCs w:val="19"/>
          <w:color w:val="auto"/>
        </w:rPr>
      </w:pPr>
    </w:p>
    <w:p>
      <w:pPr>
        <w:ind w:left="1680" w:hanging="564"/>
        <w:spacing w:after="0"/>
        <w:tabs>
          <w:tab w:leader="none" w:pos="16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Free Standing Stock Appreciation Rights</w:t>
      </w:r>
      <w:r>
        <w:rPr>
          <w:rFonts w:ascii="Arial" w:cs="Arial" w:eastAsia="Arial" w:hAnsi="Arial"/>
          <w:sz w:val="19"/>
          <w:szCs w:val="19"/>
          <w:color w:val="auto"/>
        </w:rPr>
        <w:t>” has the meaning set forth in Section 8 hereof.</w:t>
      </w:r>
    </w:p>
    <w:p>
      <w:pPr>
        <w:spacing w:after="0" w:line="190" w:lineRule="exact"/>
        <w:rPr>
          <w:rFonts w:ascii="Arial" w:cs="Arial" w:eastAsia="Arial" w:hAnsi="Arial"/>
          <w:sz w:val="19"/>
          <w:szCs w:val="19"/>
          <w:color w:val="auto"/>
        </w:rPr>
      </w:pPr>
    </w:p>
    <w:p>
      <w:pPr>
        <w:ind w:right="40" w:firstLine="1116"/>
        <w:spacing w:after="0" w:line="266" w:lineRule="auto"/>
        <w:tabs>
          <w:tab w:leader="none" w:pos="168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Stock Option</w:t>
      </w:r>
      <w:r>
        <w:rPr>
          <w:rFonts w:ascii="Arial" w:cs="Arial" w:eastAsia="Arial" w:hAnsi="Arial"/>
          <w:sz w:val="19"/>
          <w:szCs w:val="19"/>
          <w:color w:val="auto"/>
        </w:rPr>
        <w:t>” means any Stock Option intended to be designated as an “incentive stock option” within the meaning of Section 422 of the Code.</w:t>
      </w:r>
    </w:p>
    <w:p>
      <w:pPr>
        <w:spacing w:after="0" w:line="147" w:lineRule="exact"/>
        <w:rPr>
          <w:rFonts w:ascii="Arial" w:cs="Arial" w:eastAsia="Arial" w:hAnsi="Arial"/>
          <w:sz w:val="19"/>
          <w:szCs w:val="19"/>
          <w:color w:val="auto"/>
        </w:rPr>
      </w:pPr>
    </w:p>
    <w:p>
      <w:pPr>
        <w:ind w:right="40" w:firstLine="1116"/>
        <w:spacing w:after="0" w:line="266" w:lineRule="auto"/>
        <w:tabs>
          <w:tab w:leader="none" w:pos="1682"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NSAM</w:t>
      </w:r>
      <w:r>
        <w:rPr>
          <w:rFonts w:ascii="Arial" w:cs="Arial" w:eastAsia="Arial" w:hAnsi="Arial"/>
          <w:sz w:val="19"/>
          <w:szCs w:val="19"/>
          <w:color w:val="auto"/>
        </w:rPr>
        <w:t>” means NorthStar Asset Management Group Inc., a Delaware corporation and the predecessor of the Company, which merged with and into the Company in connection with the CLNS Merger.</w:t>
      </w:r>
    </w:p>
    <w:p>
      <w:pPr>
        <w:spacing w:after="0" w:line="147" w:lineRule="exact"/>
        <w:rPr>
          <w:rFonts w:ascii="Arial" w:cs="Arial" w:eastAsia="Arial" w:hAnsi="Arial"/>
          <w:sz w:val="19"/>
          <w:szCs w:val="19"/>
          <w:color w:val="auto"/>
        </w:rPr>
      </w:pPr>
    </w:p>
    <w:p>
      <w:pPr>
        <w:ind w:right="120" w:firstLine="1116"/>
        <w:spacing w:after="0" w:line="325" w:lineRule="auto"/>
        <w:tabs>
          <w:tab w:leader="none" w:pos="167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director of the Company who is not an employee of the Company who qualifies as a “non-employee director” as defined in Rule 16b-3 under the Exchange Act and as an “outside director” as defined in Section 162(m) of the Code.</w:t>
      </w:r>
    </w:p>
    <w:p>
      <w:pPr>
        <w:spacing w:after="0" w:line="102" w:lineRule="exact"/>
        <w:rPr>
          <w:rFonts w:ascii="Arial" w:cs="Arial" w:eastAsia="Arial" w:hAnsi="Arial"/>
          <w:sz w:val="17"/>
          <w:szCs w:val="17"/>
          <w:color w:val="auto"/>
        </w:rPr>
      </w:pPr>
    </w:p>
    <w:p>
      <w:pPr>
        <w:ind w:right="120" w:firstLine="1116"/>
        <w:spacing w:after="0" w:line="266" w:lineRule="auto"/>
        <w:tabs>
          <w:tab w:leader="none" w:pos="16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Non-Qualified Stock Option</w:t>
      </w:r>
      <w:r>
        <w:rPr>
          <w:rFonts w:ascii="Arial" w:cs="Arial" w:eastAsia="Arial" w:hAnsi="Arial"/>
          <w:sz w:val="19"/>
          <w:szCs w:val="19"/>
          <w:color w:val="auto"/>
        </w:rPr>
        <w:t>” means any Stock Option that is not an Incentive Stock Option, including any Stock Option that provides (as of the time such Stock Option is granted) that it will not be treated as an Incentive Stock Option.</w:t>
      </w:r>
    </w:p>
    <w:p>
      <w:pPr>
        <w:spacing w:after="0" w:line="147" w:lineRule="exact"/>
        <w:rPr>
          <w:rFonts w:ascii="Arial" w:cs="Arial" w:eastAsia="Arial" w:hAnsi="Arial"/>
          <w:sz w:val="19"/>
          <w:szCs w:val="19"/>
          <w:color w:val="auto"/>
        </w:rPr>
      </w:pPr>
    </w:p>
    <w:p>
      <w:pPr>
        <w:ind w:left="1680" w:hanging="564"/>
        <w:spacing w:after="0"/>
        <w:tabs>
          <w:tab w:leader="none" w:pos="16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Awards</w:t>
      </w:r>
      <w:r>
        <w:rPr>
          <w:rFonts w:ascii="Arial" w:cs="Arial" w:eastAsia="Arial" w:hAnsi="Arial"/>
          <w:sz w:val="19"/>
          <w:szCs w:val="19"/>
          <w:color w:val="auto"/>
        </w:rPr>
        <w:t>” means an award granted pursuant to Section 12 hereof.</w:t>
      </w:r>
    </w:p>
    <w:p>
      <w:pPr>
        <w:spacing w:after="0" w:line="190" w:lineRule="exact"/>
        <w:rPr>
          <w:rFonts w:ascii="Arial" w:cs="Arial" w:eastAsia="Arial" w:hAnsi="Arial"/>
          <w:sz w:val="19"/>
          <w:szCs w:val="19"/>
          <w:color w:val="auto"/>
        </w:rPr>
      </w:pPr>
    </w:p>
    <w:p>
      <w:pPr>
        <w:ind w:right="220" w:firstLine="1116"/>
        <w:spacing w:after="0" w:line="255" w:lineRule="auto"/>
        <w:tabs>
          <w:tab w:leader="none" w:pos="1675"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any corporation (other than the Company) in an unbroken chain of corporations ending with the Company, if each of the corporations in the chain (other than the Company) owns stock possessing 50% or more of the combined voting power of all classes of stock in one of the other corporations in the chain.</w:t>
      </w:r>
    </w:p>
    <w:p>
      <w:pPr>
        <w:spacing w:after="0" w:line="157" w:lineRule="exact"/>
        <w:rPr>
          <w:rFonts w:ascii="Arial" w:cs="Arial" w:eastAsia="Arial" w:hAnsi="Arial"/>
          <w:sz w:val="19"/>
          <w:szCs w:val="19"/>
          <w:color w:val="auto"/>
        </w:rPr>
      </w:pPr>
    </w:p>
    <w:p>
      <w:pPr>
        <w:ind w:firstLine="1116"/>
        <w:spacing w:after="0" w:line="266" w:lineRule="auto"/>
        <w:tabs>
          <w:tab w:leader="none" w:pos="16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any Eligible Recipient selected by the Administrator, pursuant to the Administrator’s authority in Section 3 below, to receive an Award.</w:t>
      </w:r>
    </w:p>
    <w:p>
      <w:pPr>
        <w:spacing w:after="0" w:line="147" w:lineRule="exact"/>
        <w:rPr>
          <w:rFonts w:ascii="Arial" w:cs="Arial" w:eastAsia="Arial" w:hAnsi="Arial"/>
          <w:sz w:val="19"/>
          <w:szCs w:val="19"/>
          <w:color w:val="auto"/>
        </w:rPr>
      </w:pPr>
    </w:p>
    <w:p>
      <w:pPr>
        <w:ind w:firstLine="1116"/>
        <w:spacing w:after="0" w:line="255" w:lineRule="auto"/>
        <w:tabs>
          <w:tab w:leader="none" w:pos="16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Performance-Based Award</w:t>
      </w:r>
      <w:r>
        <w:rPr>
          <w:rFonts w:ascii="Arial" w:cs="Arial" w:eastAsia="Arial" w:hAnsi="Arial"/>
          <w:sz w:val="19"/>
          <w:szCs w:val="19"/>
          <w:color w:val="auto"/>
        </w:rPr>
        <w:t>” means any Award of Restricted Stock, Restricted Stock Units, Cash-Based Award or Other Award granted to a Covered Employee that is intended to qualify as “performance-based compensation” under Section 162(m) of the Code and the regulations promulgated thereunder.</w:t>
      </w:r>
    </w:p>
    <w:p>
      <w:pPr>
        <w:spacing w:after="0" w:line="157" w:lineRule="exact"/>
        <w:rPr>
          <w:rFonts w:ascii="Arial" w:cs="Arial" w:eastAsia="Arial" w:hAnsi="Arial"/>
          <w:sz w:val="19"/>
          <w:szCs w:val="19"/>
          <w:color w:val="auto"/>
        </w:rPr>
      </w:pPr>
    </w:p>
    <w:p>
      <w:pPr>
        <w:ind w:firstLine="1116"/>
        <w:spacing w:after="0" w:line="247" w:lineRule="auto"/>
        <w:tabs>
          <w:tab w:leader="none" w:pos="1681"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means the criteria that the Administrator selects for purposes of establishing the Performance Goal or Performance Goals for an individual for a Performance Cycle. The Performance Criteria (which shall be applicable to the organizational level or entity specified by the Administrator, including, but not limited to, the Company’s Parent, the Company or a unit, division, group, or Subsidiary of the Company or any entity managed by the Company or its Subsidiary and/or any combination of the foregoing) that will be used to establish Performance Goals are limited to the following: total shareholder return; cash available for distribution; earnings before interest, taxes, depreciation and amortization; net income (loss) (either before or after interest, taxes, depreciation and/or amortization or any other adjustment); changes in the market price of the Stock or stock of any entity managed by the Company or its subsidiary; economic value-added; funds from operations or similar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254" w:right="339" w:bottom="1440" w:gutter="0" w:footer="0" w:header="0"/>
        </w:sectPr>
      </w:pPr>
    </w:p>
    <w:bookmarkStart w:id="361" w:name="page362"/>
    <w:bookmarkEnd w:id="361"/>
    <w:p>
      <w:pPr>
        <w:spacing w:after="0" w:line="277" w:lineRule="auto"/>
        <w:rPr>
          <w:sz w:val="20"/>
          <w:szCs w:val="20"/>
          <w:color w:val="auto"/>
        </w:rPr>
      </w:pPr>
      <w:r>
        <w:rPr>
          <w:rFonts w:ascii="Arial" w:cs="Arial" w:eastAsia="Arial" w:hAnsi="Arial"/>
          <w:sz w:val="17"/>
          <w:szCs w:val="17"/>
          <w:color w:val="auto"/>
        </w:rPr>
        <w:t>including adjusted funds from operations and equity adjusted funds from operations; sales or revenue; acquisitions or strategic transactions; operating income (loss); cash flow (including, but not limited to, operating cash flow and free cash flow); return on capital, assets, equity, or investment; return on sales; liquidity; balance sheet liquidity; CDO liquidity; discounted payoff; non-listed REIT capital-raise; gross or net profit levels; productivity; expense; margins; operating efficiency; working capital; earnings (loss) per share of Stock or stock of any entity managed by the Company or its subsidiary; sales or market shares and assets under management; any of which may be measured either in absolute terms or as compared to any incremental increase or as compared to results of a peer group or index. The Administrator may appropriately adjust any evaluation of performance under a Performance Goal to exclude any of the following events that occurs during the applicable performance period: (i) asset write-downs or impairments, (ii) litigation or claim judgments or settlements, (iii) the effect of changes in tax law, accounting principles or other such laws or provisions affecting reporting results, (iv) accruals for reorganizations and restructuring programs, (v) any non-recurring items, including those described in the Financial Accounting Standards Board’s authoritative guidance and/or in management’s discussion and analysis of financial condition of operations appearing the Company’s (or other applicable entity’s) annual report to stockholders for the applicable year, and (vi) any other extraordinary items adjusted from the Company U.S. GAAP results.</w:t>
      </w:r>
    </w:p>
    <w:p>
      <w:pPr>
        <w:spacing w:after="0" w:line="146" w:lineRule="exact"/>
        <w:rPr>
          <w:sz w:val="20"/>
          <w:szCs w:val="20"/>
          <w:color w:val="auto"/>
        </w:rPr>
      </w:pPr>
    </w:p>
    <w:p>
      <w:pPr>
        <w:ind w:firstLine="1116"/>
        <w:spacing w:after="0" w:line="251" w:lineRule="auto"/>
        <w:tabs>
          <w:tab w:leader="none" w:pos="1682"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Cycle</w:t>
      </w:r>
      <w:r>
        <w:rPr>
          <w:rFonts w:ascii="Arial" w:cs="Arial" w:eastAsia="Arial" w:hAnsi="Arial"/>
          <w:sz w:val="19"/>
          <w:szCs w:val="19"/>
          <w:color w:val="auto"/>
        </w:rPr>
        <w:t>” means one or more periods of time, which may be of varying and overlapping durations, as the Administrator may select, over which the attainment of one or more Performance Criteria will be measured for the purpose of determining a grantee’s right to and the payment of an Award of Restricted Stock, Restricted Stock Units, Cash-Based Award or Other Award, the vesting and/or payment of which is subject to the attainment of one or more Performance Goals.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40" w:type="dxa"/>
            <w:vAlign w:val="bottom"/>
          </w:tcPr>
          <w:p>
            <w:pPr>
              <w:ind w:left="1120"/>
              <w:spacing w:after="0"/>
              <w:rPr>
                <w:sz w:val="20"/>
                <w:szCs w:val="20"/>
                <w:color w:val="auto"/>
              </w:rPr>
            </w:pPr>
            <w:r>
              <w:rPr>
                <w:rFonts w:ascii="Arial" w:cs="Arial" w:eastAsia="Arial" w:hAnsi="Arial"/>
                <w:sz w:val="19"/>
                <w:szCs w:val="19"/>
                <w:color w:val="auto"/>
              </w:rPr>
              <w:t>(ab)</w:t>
            </w:r>
          </w:p>
        </w:tc>
        <w:tc>
          <w:tcPr>
            <w:tcW w:w="9240" w:type="dxa"/>
            <w:vAlign w:val="bottom"/>
            <w:gridSpan w:val="10"/>
          </w:tcPr>
          <w:p>
            <w:pPr>
              <w:ind w:left="140"/>
              <w:spacing w:after="0"/>
              <w:rPr>
                <w:sz w:val="20"/>
                <w:szCs w:val="20"/>
                <w:color w:val="auto"/>
              </w:rPr>
            </w:pPr>
            <w:r>
              <w:rPr>
                <w:rFonts w:ascii="Arial" w:cs="Arial" w:eastAsia="Arial" w:hAnsi="Arial"/>
                <w:sz w:val="19"/>
                <w:szCs w:val="19"/>
                <w:color w:val="auto"/>
                <w:w w:val="89"/>
              </w:rPr>
              <w:t>“Performance Goals” means, for a Performance Cycle, the specific goals established in writing by the Administrator for a</w:t>
            </w:r>
          </w:p>
        </w:tc>
      </w:tr>
      <w:tr>
        <w:trPr>
          <w:trHeight w:val="20"/>
        </w:trPr>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46"/>
        </w:trPr>
        <w:tc>
          <w:tcPr>
            <w:tcW w:w="10780" w:type="dxa"/>
            <w:vAlign w:val="bottom"/>
            <w:gridSpan w:val="11"/>
          </w:tcPr>
          <w:p>
            <w:pPr>
              <w:spacing w:after="0"/>
              <w:rPr>
                <w:sz w:val="20"/>
                <w:szCs w:val="20"/>
                <w:color w:val="auto"/>
              </w:rPr>
            </w:pPr>
            <w:r>
              <w:rPr>
                <w:rFonts w:ascii="Arial" w:cs="Arial" w:eastAsia="Arial" w:hAnsi="Arial"/>
                <w:sz w:val="19"/>
                <w:szCs w:val="19"/>
                <w:color w:val="auto"/>
              </w:rPr>
              <w:t>Performance Cycle based upon the Performance Criteria.</w:t>
            </w:r>
          </w:p>
        </w:tc>
      </w:tr>
      <w:tr>
        <w:trPr>
          <w:trHeight w:val="365"/>
        </w:trPr>
        <w:tc>
          <w:tcPr>
            <w:tcW w:w="1540" w:type="dxa"/>
            <w:vAlign w:val="bottom"/>
          </w:tcPr>
          <w:p>
            <w:pPr>
              <w:ind w:left="1120"/>
              <w:spacing w:after="0"/>
              <w:rPr>
                <w:sz w:val="20"/>
                <w:szCs w:val="20"/>
                <w:color w:val="auto"/>
              </w:rPr>
            </w:pPr>
            <w:r>
              <w:rPr>
                <w:rFonts w:ascii="Arial" w:cs="Arial" w:eastAsia="Arial" w:hAnsi="Arial"/>
                <w:sz w:val="19"/>
                <w:szCs w:val="19"/>
                <w:color w:val="auto"/>
              </w:rPr>
              <w:t>(ac)</w:t>
            </w:r>
          </w:p>
        </w:tc>
        <w:tc>
          <w:tcPr>
            <w:tcW w:w="9240" w:type="dxa"/>
            <w:vAlign w:val="bottom"/>
            <w:gridSpan w:val="10"/>
          </w:tcPr>
          <w:p>
            <w:pPr>
              <w:ind w:left="140"/>
              <w:spacing w:after="0"/>
              <w:rPr>
                <w:sz w:val="20"/>
                <w:szCs w:val="20"/>
                <w:color w:val="auto"/>
              </w:rPr>
            </w:pPr>
            <w:r>
              <w:rPr>
                <w:rFonts w:ascii="Arial" w:cs="Arial" w:eastAsia="Arial" w:hAnsi="Arial"/>
                <w:sz w:val="19"/>
                <w:szCs w:val="19"/>
                <w:color w:val="auto"/>
                <w:w w:val="96"/>
              </w:rPr>
              <w:t>“Person” means an individual, corporation, partnership, limited liability company, joint venture, association, trust,</w:t>
            </w:r>
          </w:p>
        </w:tc>
      </w:tr>
      <w:tr>
        <w:trPr>
          <w:trHeight w:val="20"/>
        </w:trPr>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46"/>
        </w:trPr>
        <w:tc>
          <w:tcPr>
            <w:tcW w:w="10780" w:type="dxa"/>
            <w:vAlign w:val="bottom"/>
            <w:gridSpan w:val="11"/>
          </w:tcPr>
          <w:p>
            <w:pPr>
              <w:spacing w:after="0"/>
              <w:rPr>
                <w:sz w:val="20"/>
                <w:szCs w:val="20"/>
                <w:color w:val="auto"/>
              </w:rPr>
            </w:pPr>
            <w:r>
              <w:rPr>
                <w:rFonts w:ascii="Arial" w:cs="Arial" w:eastAsia="Arial" w:hAnsi="Arial"/>
                <w:sz w:val="19"/>
                <w:szCs w:val="19"/>
                <w:color w:val="auto"/>
              </w:rPr>
              <w:t>unincorporated organization, other entity or “group” (as defined in the Exchange Act).</w:t>
            </w:r>
          </w:p>
        </w:tc>
      </w:tr>
      <w:tr>
        <w:trPr>
          <w:trHeight w:val="365"/>
        </w:trPr>
        <w:tc>
          <w:tcPr>
            <w:tcW w:w="1540" w:type="dxa"/>
            <w:vAlign w:val="bottom"/>
          </w:tcPr>
          <w:p>
            <w:pPr>
              <w:ind w:left="1120"/>
              <w:spacing w:after="0"/>
              <w:rPr>
                <w:sz w:val="20"/>
                <w:szCs w:val="20"/>
                <w:color w:val="auto"/>
              </w:rPr>
            </w:pPr>
            <w:r>
              <w:rPr>
                <w:rFonts w:ascii="Arial" w:cs="Arial" w:eastAsia="Arial" w:hAnsi="Arial"/>
                <w:sz w:val="19"/>
                <w:szCs w:val="19"/>
                <w:color w:val="auto"/>
              </w:rPr>
              <w:t>(ad)</w:t>
            </w:r>
          </w:p>
        </w:tc>
        <w:tc>
          <w:tcPr>
            <w:tcW w:w="9240" w:type="dxa"/>
            <w:vAlign w:val="bottom"/>
            <w:gridSpan w:val="10"/>
          </w:tcPr>
          <w:p>
            <w:pPr>
              <w:ind w:left="140"/>
              <w:spacing w:after="0"/>
              <w:rPr>
                <w:sz w:val="20"/>
                <w:szCs w:val="20"/>
                <w:color w:val="auto"/>
              </w:rPr>
            </w:pPr>
            <w:r>
              <w:rPr>
                <w:rFonts w:ascii="Arial" w:cs="Arial" w:eastAsia="Arial" w:hAnsi="Arial"/>
                <w:sz w:val="19"/>
                <w:szCs w:val="19"/>
                <w:color w:val="auto"/>
              </w:rPr>
              <w:t>“Plan” has the meaning set forth to it in Section 1 hereof.</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89"/>
        </w:trPr>
        <w:tc>
          <w:tcPr>
            <w:tcW w:w="1540" w:type="dxa"/>
            <w:vAlign w:val="bottom"/>
          </w:tcPr>
          <w:p>
            <w:pPr>
              <w:ind w:left="1120"/>
              <w:spacing w:after="0"/>
              <w:rPr>
                <w:sz w:val="20"/>
                <w:szCs w:val="20"/>
                <w:color w:val="auto"/>
              </w:rPr>
            </w:pPr>
            <w:r>
              <w:rPr>
                <w:rFonts w:ascii="Arial" w:cs="Arial" w:eastAsia="Arial" w:hAnsi="Arial"/>
                <w:sz w:val="19"/>
                <w:szCs w:val="19"/>
                <w:color w:val="auto"/>
              </w:rPr>
              <w:t>(ae)</w:t>
            </w:r>
          </w:p>
        </w:tc>
        <w:tc>
          <w:tcPr>
            <w:tcW w:w="9240" w:type="dxa"/>
            <w:vAlign w:val="bottom"/>
            <w:gridSpan w:val="10"/>
          </w:tcPr>
          <w:p>
            <w:pPr>
              <w:ind w:left="140"/>
              <w:spacing w:after="0"/>
              <w:rPr>
                <w:sz w:val="20"/>
                <w:szCs w:val="20"/>
                <w:color w:val="auto"/>
              </w:rPr>
            </w:pPr>
            <w:r>
              <w:rPr>
                <w:rFonts w:ascii="Arial" w:cs="Arial" w:eastAsia="Arial" w:hAnsi="Arial"/>
                <w:sz w:val="19"/>
                <w:szCs w:val="19"/>
                <w:color w:val="auto"/>
              </w:rPr>
              <w:t>“Related Rights” has the meaning set forth in Section 8 hereof.</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89"/>
        </w:trPr>
        <w:tc>
          <w:tcPr>
            <w:tcW w:w="1540" w:type="dxa"/>
            <w:vAlign w:val="bottom"/>
          </w:tcPr>
          <w:p>
            <w:pPr>
              <w:ind w:left="1120"/>
              <w:spacing w:after="0"/>
              <w:rPr>
                <w:sz w:val="20"/>
                <w:szCs w:val="20"/>
                <w:color w:val="auto"/>
              </w:rPr>
            </w:pPr>
            <w:r>
              <w:rPr>
                <w:rFonts w:ascii="Arial" w:cs="Arial" w:eastAsia="Arial" w:hAnsi="Arial"/>
                <w:sz w:val="19"/>
                <w:szCs w:val="19"/>
                <w:color w:val="auto"/>
              </w:rPr>
              <w:t>(af)</w:t>
            </w:r>
          </w:p>
        </w:tc>
        <w:tc>
          <w:tcPr>
            <w:tcW w:w="9240" w:type="dxa"/>
            <w:vAlign w:val="bottom"/>
            <w:gridSpan w:val="10"/>
          </w:tcPr>
          <w:p>
            <w:pPr>
              <w:ind w:left="120"/>
              <w:spacing w:after="0"/>
              <w:rPr>
                <w:sz w:val="20"/>
                <w:szCs w:val="20"/>
                <w:color w:val="auto"/>
              </w:rPr>
            </w:pPr>
            <w:r>
              <w:rPr>
                <w:rFonts w:ascii="Arial" w:cs="Arial" w:eastAsia="Arial" w:hAnsi="Arial"/>
                <w:sz w:val="19"/>
                <w:szCs w:val="19"/>
                <w:color w:val="auto"/>
              </w:rPr>
              <w:t>“Related Stock Appreciation Rights” has the meaning set forth in Section 8 hereof.</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89"/>
        </w:trPr>
        <w:tc>
          <w:tcPr>
            <w:tcW w:w="1540" w:type="dxa"/>
            <w:vAlign w:val="bottom"/>
          </w:tcPr>
          <w:p>
            <w:pPr>
              <w:ind w:left="1120"/>
              <w:spacing w:after="0"/>
              <w:rPr>
                <w:sz w:val="20"/>
                <w:szCs w:val="20"/>
                <w:color w:val="auto"/>
              </w:rPr>
            </w:pPr>
            <w:r>
              <w:rPr>
                <w:rFonts w:ascii="Arial" w:cs="Arial" w:eastAsia="Arial" w:hAnsi="Arial"/>
                <w:sz w:val="19"/>
                <w:szCs w:val="19"/>
                <w:color w:val="auto"/>
              </w:rPr>
              <w:t>(ag)</w:t>
            </w:r>
          </w:p>
        </w:tc>
        <w:tc>
          <w:tcPr>
            <w:tcW w:w="9240" w:type="dxa"/>
            <w:vAlign w:val="bottom"/>
            <w:gridSpan w:val="10"/>
          </w:tcPr>
          <w:p>
            <w:pPr>
              <w:ind w:left="140"/>
              <w:spacing w:after="0"/>
              <w:rPr>
                <w:sz w:val="20"/>
                <w:szCs w:val="20"/>
                <w:color w:val="auto"/>
              </w:rPr>
            </w:pPr>
            <w:r>
              <w:rPr>
                <w:rFonts w:ascii="Arial" w:cs="Arial" w:eastAsia="Arial" w:hAnsi="Arial"/>
                <w:sz w:val="19"/>
                <w:szCs w:val="19"/>
                <w:color w:val="auto"/>
              </w:rPr>
              <w:t>“Restricted Period” has the meaning set forth in Section 9 hereof.</w:t>
            </w:r>
          </w:p>
        </w:tc>
      </w:tr>
      <w:tr>
        <w:trPr>
          <w:trHeight w:val="20"/>
        </w:trPr>
        <w:tc>
          <w:tcPr>
            <w:tcW w:w="1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r>
      <w:tr>
        <w:trPr>
          <w:trHeight w:val="389"/>
        </w:trPr>
        <w:tc>
          <w:tcPr>
            <w:tcW w:w="1540" w:type="dxa"/>
            <w:vAlign w:val="bottom"/>
          </w:tcPr>
          <w:p>
            <w:pPr>
              <w:ind w:left="1120"/>
              <w:spacing w:after="0"/>
              <w:rPr>
                <w:sz w:val="20"/>
                <w:szCs w:val="20"/>
                <w:color w:val="auto"/>
              </w:rPr>
            </w:pPr>
            <w:r>
              <w:rPr>
                <w:rFonts w:ascii="Arial" w:cs="Arial" w:eastAsia="Arial" w:hAnsi="Arial"/>
                <w:sz w:val="19"/>
                <w:szCs w:val="19"/>
                <w:color w:val="auto"/>
              </w:rPr>
              <w:t>(ah)</w:t>
            </w:r>
          </w:p>
        </w:tc>
        <w:tc>
          <w:tcPr>
            <w:tcW w:w="9240" w:type="dxa"/>
            <w:vAlign w:val="bottom"/>
            <w:gridSpan w:val="10"/>
          </w:tcPr>
          <w:p>
            <w:pPr>
              <w:ind w:left="140"/>
              <w:spacing w:after="0"/>
              <w:rPr>
                <w:sz w:val="20"/>
                <w:szCs w:val="20"/>
                <w:color w:val="auto"/>
              </w:rPr>
            </w:pPr>
            <w:r>
              <w:rPr>
                <w:rFonts w:ascii="Arial" w:cs="Arial" w:eastAsia="Arial" w:hAnsi="Arial"/>
                <w:sz w:val="19"/>
                <w:szCs w:val="19"/>
                <w:color w:val="auto"/>
                <w:w w:val="99"/>
              </w:rPr>
              <w:t>“Restricted Stock” means shares of Stock subject to certain restrictions granted pursuant to Section 9 below.</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20"/>
          </w:cols>
          <w:pgMar w:left="320" w:top="1255" w:right="35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18"/>
        </w:trPr>
        <w:tc>
          <w:tcPr>
            <w:tcW w:w="1560" w:type="dxa"/>
            <w:vAlign w:val="bottom"/>
          </w:tcPr>
          <w:p>
            <w:pPr>
              <w:ind w:left="1120"/>
              <w:spacing w:after="0"/>
              <w:rPr>
                <w:sz w:val="20"/>
                <w:szCs w:val="20"/>
                <w:color w:val="auto"/>
              </w:rPr>
            </w:pPr>
            <w:r>
              <w:rPr>
                <w:rFonts w:ascii="Arial" w:cs="Arial" w:eastAsia="Arial" w:hAnsi="Arial"/>
                <w:sz w:val="19"/>
                <w:szCs w:val="19"/>
                <w:color w:val="auto"/>
              </w:rPr>
              <w:t>(ai)</w:t>
            </w:r>
          </w:p>
        </w:tc>
        <w:tc>
          <w:tcPr>
            <w:tcW w:w="9580" w:type="dxa"/>
            <w:vAlign w:val="bottom"/>
            <w:gridSpan w:val="8"/>
          </w:tcPr>
          <w:p>
            <w:pPr>
              <w:ind w:left="100"/>
              <w:spacing w:after="0"/>
              <w:rPr>
                <w:sz w:val="20"/>
                <w:szCs w:val="20"/>
                <w:color w:val="auto"/>
              </w:rPr>
            </w:pPr>
            <w:r>
              <w:rPr>
                <w:rFonts w:ascii="Arial" w:cs="Arial" w:eastAsia="Arial" w:hAnsi="Arial"/>
                <w:sz w:val="19"/>
                <w:szCs w:val="19"/>
                <w:color w:val="auto"/>
                <w:w w:val="90"/>
              </w:rPr>
              <w:t>“Restricted Stock Unit” means an Award of phantom stock units subject to certain restrictions granted pursuant to Section 10</w:t>
            </w:r>
          </w:p>
        </w:tc>
      </w:tr>
      <w:tr>
        <w:trPr>
          <w:trHeight w:val="20"/>
        </w:trPr>
        <w:tc>
          <w:tcPr>
            <w:tcW w:w="176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46"/>
        </w:trPr>
        <w:tc>
          <w:tcPr>
            <w:tcW w:w="11140" w:type="dxa"/>
            <w:vAlign w:val="bottom"/>
            <w:gridSpan w:val="9"/>
          </w:tcPr>
          <w:p>
            <w:pPr>
              <w:spacing w:after="0"/>
              <w:rPr>
                <w:sz w:val="20"/>
                <w:szCs w:val="20"/>
                <w:color w:val="auto"/>
              </w:rPr>
            </w:pPr>
            <w:r>
              <w:rPr>
                <w:rFonts w:ascii="Arial" w:cs="Arial" w:eastAsia="Arial" w:hAnsi="Arial"/>
                <w:sz w:val="19"/>
                <w:szCs w:val="19"/>
                <w:color w:val="auto"/>
              </w:rPr>
              <w:t>below, which may be settled in Stock.</w:t>
            </w:r>
          </w:p>
        </w:tc>
      </w:tr>
      <w:tr>
        <w:trPr>
          <w:trHeight w:val="365"/>
        </w:trPr>
        <w:tc>
          <w:tcPr>
            <w:tcW w:w="1560" w:type="dxa"/>
            <w:vAlign w:val="bottom"/>
          </w:tcPr>
          <w:p>
            <w:pPr>
              <w:ind w:left="1120"/>
              <w:spacing w:after="0"/>
              <w:rPr>
                <w:sz w:val="20"/>
                <w:szCs w:val="20"/>
                <w:color w:val="auto"/>
              </w:rPr>
            </w:pPr>
            <w:r>
              <w:rPr>
                <w:rFonts w:ascii="Arial" w:cs="Arial" w:eastAsia="Arial" w:hAnsi="Arial"/>
                <w:sz w:val="19"/>
                <w:szCs w:val="19"/>
                <w:color w:val="auto"/>
              </w:rPr>
              <w:t>(aj)</w:t>
            </w:r>
          </w:p>
        </w:tc>
        <w:tc>
          <w:tcPr>
            <w:tcW w:w="9580" w:type="dxa"/>
            <w:vAlign w:val="bottom"/>
            <w:gridSpan w:val="8"/>
          </w:tcPr>
          <w:p>
            <w:pPr>
              <w:ind w:left="100"/>
              <w:spacing w:after="0"/>
              <w:rPr>
                <w:sz w:val="20"/>
                <w:szCs w:val="20"/>
                <w:color w:val="auto"/>
              </w:rPr>
            </w:pPr>
            <w:r>
              <w:rPr>
                <w:rFonts w:ascii="Arial" w:cs="Arial" w:eastAsia="Arial" w:hAnsi="Arial"/>
                <w:sz w:val="19"/>
                <w:szCs w:val="19"/>
                <w:color w:val="auto"/>
                <w:w w:val="90"/>
              </w:rPr>
              <w:t>“Sale Price” means the value as determined by the Administrator of the consideration payable, or otherwise to be received by</w:t>
            </w:r>
          </w:p>
        </w:tc>
      </w:tr>
      <w:tr>
        <w:trPr>
          <w:trHeight w:val="20"/>
        </w:trPr>
        <w:tc>
          <w:tcPr>
            <w:tcW w:w="1760" w:type="dxa"/>
            <w:vAlign w:val="bottom"/>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46"/>
        </w:trPr>
        <w:tc>
          <w:tcPr>
            <w:tcW w:w="11140" w:type="dxa"/>
            <w:vAlign w:val="bottom"/>
            <w:gridSpan w:val="9"/>
          </w:tcPr>
          <w:p>
            <w:pPr>
              <w:spacing w:after="0"/>
              <w:rPr>
                <w:sz w:val="20"/>
                <w:szCs w:val="20"/>
                <w:color w:val="auto"/>
              </w:rPr>
            </w:pPr>
            <w:r>
              <w:rPr>
                <w:rFonts w:ascii="Arial" w:cs="Arial" w:eastAsia="Arial" w:hAnsi="Arial"/>
                <w:sz w:val="19"/>
                <w:szCs w:val="19"/>
                <w:color w:val="auto"/>
              </w:rPr>
              <w:t>stockholders, per share of Stock pursuant to a transaction described in Section 5(b) below.</w:t>
            </w:r>
          </w:p>
        </w:tc>
      </w:tr>
      <w:tr>
        <w:trPr>
          <w:trHeight w:val="365"/>
        </w:trPr>
        <w:tc>
          <w:tcPr>
            <w:tcW w:w="1560" w:type="dxa"/>
            <w:vAlign w:val="bottom"/>
          </w:tcPr>
          <w:p>
            <w:pPr>
              <w:ind w:left="1120"/>
              <w:spacing w:after="0"/>
              <w:rPr>
                <w:sz w:val="20"/>
                <w:szCs w:val="20"/>
                <w:color w:val="auto"/>
              </w:rPr>
            </w:pPr>
            <w:r>
              <w:rPr>
                <w:rFonts w:ascii="Arial" w:cs="Arial" w:eastAsia="Arial" w:hAnsi="Arial"/>
                <w:sz w:val="19"/>
                <w:szCs w:val="19"/>
                <w:color w:val="auto"/>
              </w:rPr>
              <w:t>(ak)</w:t>
            </w:r>
          </w:p>
        </w:tc>
        <w:tc>
          <w:tcPr>
            <w:tcW w:w="9580" w:type="dxa"/>
            <w:vAlign w:val="bottom"/>
            <w:gridSpan w:val="8"/>
          </w:tcPr>
          <w:p>
            <w:pPr>
              <w:ind w:left="120"/>
              <w:spacing w:after="0"/>
              <w:rPr>
                <w:sz w:val="20"/>
                <w:szCs w:val="20"/>
                <w:color w:val="auto"/>
              </w:rPr>
            </w:pPr>
            <w:r>
              <w:rPr>
                <w:rFonts w:ascii="Arial" w:cs="Arial" w:eastAsia="Arial" w:hAnsi="Arial"/>
                <w:sz w:val="19"/>
                <w:szCs w:val="19"/>
                <w:color w:val="auto"/>
              </w:rPr>
              <w:t>“Securities Act” means the Securities Act of 1933, as amended.</w:t>
            </w:r>
          </w:p>
        </w:tc>
      </w:tr>
      <w:tr>
        <w:trPr>
          <w:trHeight w:val="20"/>
        </w:trPr>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389"/>
        </w:trPr>
        <w:tc>
          <w:tcPr>
            <w:tcW w:w="1560" w:type="dxa"/>
            <w:vAlign w:val="bottom"/>
          </w:tcPr>
          <w:p>
            <w:pPr>
              <w:ind w:left="1120"/>
              <w:spacing w:after="0"/>
              <w:rPr>
                <w:sz w:val="20"/>
                <w:szCs w:val="20"/>
                <w:color w:val="auto"/>
              </w:rPr>
            </w:pPr>
            <w:r>
              <w:rPr>
                <w:rFonts w:ascii="Arial" w:cs="Arial" w:eastAsia="Arial" w:hAnsi="Arial"/>
                <w:sz w:val="19"/>
                <w:szCs w:val="19"/>
                <w:color w:val="auto"/>
              </w:rPr>
              <w:t>(al)</w:t>
            </w:r>
          </w:p>
        </w:tc>
        <w:tc>
          <w:tcPr>
            <w:tcW w:w="9580" w:type="dxa"/>
            <w:vAlign w:val="bottom"/>
            <w:gridSpan w:val="8"/>
          </w:tcPr>
          <w:p>
            <w:pPr>
              <w:ind w:left="100"/>
              <w:spacing w:after="0"/>
              <w:rPr>
                <w:sz w:val="20"/>
                <w:szCs w:val="20"/>
                <w:color w:val="auto"/>
              </w:rPr>
            </w:pPr>
            <w:r>
              <w:rPr>
                <w:rFonts w:ascii="Arial" w:cs="Arial" w:eastAsia="Arial" w:hAnsi="Arial"/>
                <w:sz w:val="19"/>
                <w:szCs w:val="19"/>
                <w:color w:val="auto"/>
              </w:rPr>
              <w:t>“Stock” means the common stock, par value $0.01 per share, of the Company.</w:t>
            </w:r>
          </w:p>
        </w:tc>
      </w:tr>
      <w:tr>
        <w:trPr>
          <w:trHeight w:val="20"/>
        </w:trPr>
        <w:tc>
          <w:tcPr>
            <w:tcW w:w="156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389"/>
        </w:trPr>
        <w:tc>
          <w:tcPr>
            <w:tcW w:w="1560" w:type="dxa"/>
            <w:vAlign w:val="bottom"/>
          </w:tcPr>
          <w:p>
            <w:pPr>
              <w:ind w:left="1120"/>
              <w:spacing w:after="0"/>
              <w:rPr>
                <w:sz w:val="20"/>
                <w:szCs w:val="20"/>
                <w:color w:val="auto"/>
              </w:rPr>
            </w:pPr>
            <w:r>
              <w:rPr>
                <w:rFonts w:ascii="Arial" w:cs="Arial" w:eastAsia="Arial" w:hAnsi="Arial"/>
                <w:sz w:val="19"/>
                <w:szCs w:val="19"/>
                <w:color w:val="auto"/>
              </w:rPr>
              <w:t>(am)</w:t>
            </w:r>
          </w:p>
        </w:tc>
        <w:tc>
          <w:tcPr>
            <w:tcW w:w="9580" w:type="dxa"/>
            <w:vAlign w:val="bottom"/>
            <w:gridSpan w:val="8"/>
          </w:tcPr>
          <w:p>
            <w:pPr>
              <w:ind w:left="100"/>
              <w:spacing w:after="0"/>
              <w:rPr>
                <w:sz w:val="20"/>
                <w:szCs w:val="20"/>
                <w:color w:val="auto"/>
              </w:rPr>
            </w:pPr>
            <w:r>
              <w:rPr>
                <w:rFonts w:ascii="Arial" w:cs="Arial" w:eastAsia="Arial" w:hAnsi="Arial"/>
                <w:sz w:val="19"/>
                <w:szCs w:val="19"/>
                <w:color w:val="auto"/>
                <w:w w:val="89"/>
              </w:rPr>
              <w:t>“Stock Appreciation Right” means the right pursuant to an award granted under Section 8 below to receive an amount equal to</w:t>
            </w:r>
          </w:p>
        </w:tc>
      </w:tr>
      <w:tr>
        <w:trPr>
          <w:trHeight w:val="20"/>
        </w:trPr>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16" w:lineRule="exact"/>
        <w:rPr>
          <w:sz w:val="20"/>
          <w:szCs w:val="20"/>
          <w:color w:val="auto"/>
        </w:rPr>
      </w:pPr>
    </w:p>
    <w:p>
      <w:pPr>
        <w:jc w:val="both"/>
        <w:ind w:right="120"/>
        <w:spacing w:after="0" w:line="294" w:lineRule="auto"/>
        <w:rPr>
          <w:sz w:val="20"/>
          <w:szCs w:val="20"/>
          <w:color w:val="auto"/>
        </w:rPr>
      </w:pPr>
      <w:r>
        <w:rPr>
          <w:rFonts w:ascii="Arial" w:cs="Arial" w:eastAsia="Arial" w:hAnsi="Arial"/>
          <w:sz w:val="18"/>
          <w:szCs w:val="18"/>
          <w:color w:val="auto"/>
        </w:rPr>
        <w:t>the excess, if any, of (A) the Fair Market Value, as of the date such Stock Appreciation Right or portion thereof is surrendered, of the shares of Stock covered by such right or such portion thereof, over (B) the aggregate exercise price of such right or such portion thereof.</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40" w:type="dxa"/>
            <w:vAlign w:val="bottom"/>
          </w:tcPr>
          <w:p>
            <w:pPr>
              <w:ind w:left="1120"/>
              <w:spacing w:after="0"/>
              <w:rPr>
                <w:sz w:val="20"/>
                <w:szCs w:val="20"/>
                <w:color w:val="auto"/>
              </w:rPr>
            </w:pPr>
            <w:r>
              <w:rPr>
                <w:rFonts w:ascii="Arial" w:cs="Arial" w:eastAsia="Arial" w:hAnsi="Arial"/>
                <w:sz w:val="19"/>
                <w:szCs w:val="19"/>
                <w:color w:val="auto"/>
              </w:rPr>
              <w:t>(an)</w:t>
            </w:r>
          </w:p>
        </w:tc>
        <w:tc>
          <w:tcPr>
            <w:tcW w:w="9620" w:type="dxa"/>
            <w:vAlign w:val="bottom"/>
            <w:gridSpan w:val="6"/>
          </w:tcPr>
          <w:p>
            <w:pPr>
              <w:ind w:left="140"/>
              <w:spacing w:after="0"/>
              <w:rPr>
                <w:sz w:val="20"/>
                <w:szCs w:val="20"/>
                <w:color w:val="auto"/>
              </w:rPr>
            </w:pPr>
            <w:r>
              <w:rPr>
                <w:rFonts w:ascii="Arial" w:cs="Arial" w:eastAsia="Arial" w:hAnsi="Arial"/>
                <w:sz w:val="19"/>
                <w:szCs w:val="19"/>
                <w:color w:val="auto"/>
              </w:rPr>
              <w:t>“Stock Option” means an option to purchase shares of Stock granted pursuant to Section 7 below.</w:t>
            </w: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389"/>
        </w:trPr>
        <w:tc>
          <w:tcPr>
            <w:tcW w:w="1540" w:type="dxa"/>
            <w:vAlign w:val="bottom"/>
          </w:tcPr>
          <w:p>
            <w:pPr>
              <w:ind w:left="1120"/>
              <w:spacing w:after="0"/>
              <w:rPr>
                <w:sz w:val="20"/>
                <w:szCs w:val="20"/>
                <w:color w:val="auto"/>
              </w:rPr>
            </w:pPr>
            <w:r>
              <w:rPr>
                <w:rFonts w:ascii="Arial" w:cs="Arial" w:eastAsia="Arial" w:hAnsi="Arial"/>
                <w:sz w:val="19"/>
                <w:szCs w:val="19"/>
                <w:color w:val="auto"/>
              </w:rPr>
              <w:t>(ao)</w:t>
            </w:r>
          </w:p>
        </w:tc>
        <w:tc>
          <w:tcPr>
            <w:tcW w:w="9620" w:type="dxa"/>
            <w:vAlign w:val="bottom"/>
            <w:gridSpan w:val="6"/>
          </w:tcPr>
          <w:p>
            <w:pPr>
              <w:ind w:left="140"/>
              <w:spacing w:after="0"/>
              <w:rPr>
                <w:sz w:val="20"/>
                <w:szCs w:val="20"/>
                <w:color w:val="auto"/>
              </w:rPr>
            </w:pPr>
            <w:r>
              <w:rPr>
                <w:rFonts w:ascii="Arial" w:cs="Arial" w:eastAsia="Arial" w:hAnsi="Arial"/>
                <w:sz w:val="19"/>
                <w:szCs w:val="19"/>
                <w:color w:val="auto"/>
                <w:w w:val="89"/>
              </w:rPr>
              <w:t>“Subsidiary” means any corporation or other entity (other than the Company) in which the Company has a controlling interest,</w:t>
            </w:r>
          </w:p>
        </w:tc>
      </w:tr>
      <w:tr>
        <w:trPr>
          <w:trHeight w:val="20"/>
        </w:trPr>
        <w:tc>
          <w:tcPr>
            <w:tcW w:w="17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246"/>
        </w:trPr>
        <w:tc>
          <w:tcPr>
            <w:tcW w:w="11160" w:type="dxa"/>
            <w:vAlign w:val="bottom"/>
            <w:gridSpan w:val="7"/>
          </w:tcPr>
          <w:p>
            <w:pPr>
              <w:spacing w:after="0"/>
              <w:rPr>
                <w:sz w:val="20"/>
                <w:szCs w:val="20"/>
                <w:color w:val="auto"/>
              </w:rPr>
            </w:pPr>
            <w:r>
              <w:rPr>
                <w:rFonts w:ascii="Arial" w:cs="Arial" w:eastAsia="Arial" w:hAnsi="Arial"/>
                <w:sz w:val="19"/>
                <w:szCs w:val="19"/>
                <w:color w:val="auto"/>
              </w:rPr>
              <w:t>either directly or indirectly.</w:t>
            </w:r>
          </w:p>
        </w:tc>
      </w:tr>
      <w:tr>
        <w:trPr>
          <w:trHeight w:val="365"/>
        </w:trPr>
        <w:tc>
          <w:tcPr>
            <w:tcW w:w="1540" w:type="dxa"/>
            <w:vAlign w:val="bottom"/>
          </w:tcPr>
          <w:p>
            <w:pPr>
              <w:ind w:left="1120"/>
              <w:spacing w:after="0"/>
              <w:rPr>
                <w:sz w:val="20"/>
                <w:szCs w:val="20"/>
                <w:color w:val="auto"/>
              </w:rPr>
            </w:pPr>
            <w:r>
              <w:rPr>
                <w:rFonts w:ascii="Arial" w:cs="Arial" w:eastAsia="Arial" w:hAnsi="Arial"/>
                <w:sz w:val="19"/>
                <w:szCs w:val="19"/>
                <w:color w:val="auto"/>
              </w:rPr>
              <w:t>(ap)</w:t>
            </w:r>
          </w:p>
        </w:tc>
        <w:tc>
          <w:tcPr>
            <w:tcW w:w="9620" w:type="dxa"/>
            <w:vAlign w:val="bottom"/>
            <w:gridSpan w:val="6"/>
          </w:tcPr>
          <w:p>
            <w:pPr>
              <w:ind w:left="140"/>
              <w:spacing w:after="0"/>
              <w:rPr>
                <w:sz w:val="20"/>
                <w:szCs w:val="20"/>
                <w:color w:val="auto"/>
              </w:rPr>
            </w:pPr>
            <w:r>
              <w:rPr>
                <w:rFonts w:ascii="Arial" w:cs="Arial" w:eastAsia="Arial" w:hAnsi="Arial"/>
                <w:sz w:val="19"/>
                <w:szCs w:val="19"/>
                <w:color w:val="auto"/>
                <w:w w:val="96"/>
              </w:rPr>
              <w:t>“Unit” or “Units” means units, membership units or other equity interests in the operating partnership or limited liability</w:t>
            </w:r>
          </w:p>
        </w:tc>
      </w:tr>
      <w:tr>
        <w:trPr>
          <w:trHeight w:val="20"/>
        </w:trPr>
        <w:tc>
          <w:tcPr>
            <w:tcW w:w="17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246"/>
        </w:trPr>
        <w:tc>
          <w:tcPr>
            <w:tcW w:w="11160" w:type="dxa"/>
            <w:vAlign w:val="bottom"/>
            <w:gridSpan w:val="7"/>
          </w:tcPr>
          <w:p>
            <w:pPr>
              <w:spacing w:after="0"/>
              <w:rPr>
                <w:sz w:val="20"/>
                <w:szCs w:val="20"/>
                <w:color w:val="auto"/>
              </w:rPr>
            </w:pPr>
            <w:r>
              <w:rPr>
                <w:rFonts w:ascii="Arial" w:cs="Arial" w:eastAsia="Arial" w:hAnsi="Arial"/>
                <w:sz w:val="19"/>
                <w:szCs w:val="19"/>
                <w:color w:val="auto"/>
              </w:rPr>
              <w:t>company subsidiary of the Company.</w:t>
            </w:r>
          </w:p>
        </w:tc>
      </w:tr>
      <w:tr>
        <w:trPr>
          <w:trHeight w:val="409"/>
        </w:trPr>
        <w:tc>
          <w:tcPr>
            <w:tcW w:w="11160" w:type="dxa"/>
            <w:vAlign w:val="bottom"/>
            <w:gridSpan w:val="7"/>
          </w:tcPr>
          <w:p>
            <w:pPr>
              <w:spacing w:after="0"/>
              <w:rPr>
                <w:sz w:val="20"/>
                <w:szCs w:val="20"/>
                <w:color w:val="auto"/>
              </w:rPr>
            </w:pPr>
            <w:r>
              <w:rPr>
                <w:rFonts w:ascii="Arial" w:cs="Arial" w:eastAsia="Arial" w:hAnsi="Arial"/>
                <w:sz w:val="19"/>
                <w:szCs w:val="19"/>
                <w:b w:val="1"/>
                <w:bCs w:val="1"/>
                <w:color w:val="auto"/>
              </w:rPr>
              <w:t>Section 3.  Administration.</w:t>
            </w:r>
          </w:p>
        </w:tc>
      </w:tr>
      <w:tr>
        <w:trPr>
          <w:trHeight w:val="409"/>
        </w:trPr>
        <w:tc>
          <w:tcPr>
            <w:tcW w:w="1540" w:type="dxa"/>
            <w:vAlign w:val="bottom"/>
          </w:tcPr>
          <w:p>
            <w:pPr>
              <w:ind w:left="1120"/>
              <w:spacing w:after="0"/>
              <w:rPr>
                <w:sz w:val="20"/>
                <w:szCs w:val="20"/>
                <w:color w:val="auto"/>
              </w:rPr>
            </w:pPr>
            <w:r>
              <w:rPr>
                <w:rFonts w:ascii="Arial" w:cs="Arial" w:eastAsia="Arial" w:hAnsi="Arial"/>
                <w:sz w:val="19"/>
                <w:szCs w:val="19"/>
                <w:color w:val="auto"/>
              </w:rPr>
              <w:t>(aq)</w:t>
            </w:r>
          </w:p>
        </w:tc>
        <w:tc>
          <w:tcPr>
            <w:tcW w:w="9620" w:type="dxa"/>
            <w:vAlign w:val="bottom"/>
            <w:gridSpan w:val="6"/>
          </w:tcPr>
          <w:p>
            <w:pPr>
              <w:ind w:left="140"/>
              <w:spacing w:after="0"/>
              <w:rPr>
                <w:sz w:val="20"/>
                <w:szCs w:val="20"/>
                <w:color w:val="auto"/>
              </w:rPr>
            </w:pPr>
            <w:r>
              <w:rPr>
                <w:rFonts w:ascii="Arial" w:cs="Arial" w:eastAsia="Arial" w:hAnsi="Arial"/>
                <w:sz w:val="19"/>
                <w:szCs w:val="19"/>
                <w:color w:val="auto"/>
                <w:w w:val="92"/>
              </w:rPr>
              <w:t>The Plan shall be administered in accordance with the requirements of Section 162(m) of the Code (but only to the extent</w:t>
            </w:r>
          </w:p>
        </w:tc>
      </w:tr>
    </w:tbl>
    <w:p>
      <w:pPr>
        <w:spacing w:after="0" w:line="248" w:lineRule="auto"/>
        <w:rPr>
          <w:sz w:val="20"/>
          <w:szCs w:val="20"/>
          <w:color w:val="auto"/>
        </w:rPr>
      </w:pPr>
      <w:r>
        <w:rPr>
          <w:rFonts w:ascii="Arial" w:cs="Arial" w:eastAsia="Arial" w:hAnsi="Arial"/>
          <w:sz w:val="19"/>
          <w:szCs w:val="19"/>
          <w:color w:val="auto"/>
        </w:rPr>
        <w:t>necessary and desirable to maintain qualification of Awards under the Plan under Section 162(m) of the Code) and, to the extent applicable, Rule 16b-3 under the Exchange Act by the Administrator.</w:t>
      </w:r>
    </w:p>
    <w:p>
      <w:pPr>
        <w:spacing w:after="0" w:line="164" w:lineRule="exact"/>
        <w:rPr>
          <w:sz w:val="20"/>
          <w:szCs w:val="20"/>
          <w:color w:val="auto"/>
        </w:rPr>
      </w:pPr>
    </w:p>
    <w:p>
      <w:pPr>
        <w:ind w:right="220" w:firstLine="1123"/>
        <w:spacing w:after="0" w:line="251" w:lineRule="auto"/>
        <w:rPr>
          <w:sz w:val="20"/>
          <w:szCs w:val="20"/>
          <w:color w:val="auto"/>
        </w:rPr>
      </w:pPr>
      <w:r>
        <w:rPr>
          <w:rFonts w:ascii="Arial" w:cs="Arial" w:eastAsia="Arial" w:hAnsi="Arial"/>
          <w:sz w:val="19"/>
          <w:szCs w:val="19"/>
          <w:color w:val="auto"/>
        </w:rPr>
        <w:t>(ar) The Administrator shall have the power and authority to grant Stock, Incentive Stock Options, Non-Qualified Stock Options, Stock Appreciation Rights, Restricted Stock, Restricted Stock Units, Dividend Equivalent Rights, Cash-Based Awards, Other Awards or any combination of the foregoing hereunder to Eligible Recipients pursuant to the terms of the Plan. In particular, but without limitation, the Administrator shall have the authority:</w:t>
      </w:r>
    </w:p>
    <w:p>
      <w:pPr>
        <w:spacing w:after="0" w:line="162" w:lineRule="exact"/>
        <w:rPr>
          <w:sz w:val="20"/>
          <w:szCs w:val="20"/>
          <w:color w:val="auto"/>
        </w:rPr>
      </w:pPr>
    </w:p>
    <w:p>
      <w:pPr>
        <w:ind w:left="2340" w:hanging="382"/>
        <w:spacing w:after="0"/>
        <w:tabs>
          <w:tab w:leader="none" w:pos="23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to select those Eligible Recipients who shall be Participants;</w:t>
      </w:r>
    </w:p>
    <w:p>
      <w:pPr>
        <w:spacing w:after="0" w:line="190" w:lineRule="exact"/>
        <w:rPr>
          <w:rFonts w:ascii="Arial" w:cs="Arial" w:eastAsia="Arial" w:hAnsi="Arial"/>
          <w:sz w:val="19"/>
          <w:szCs w:val="19"/>
          <w:color w:val="auto"/>
        </w:rPr>
      </w:pPr>
    </w:p>
    <w:p>
      <w:pPr>
        <w:ind w:left="2380" w:hanging="422"/>
        <w:spacing w:after="0"/>
        <w:tabs>
          <w:tab w:leader="none" w:pos="238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to determine whether and to what extent Awards are to be granted hereunder to Participants;</w:t>
      </w:r>
    </w:p>
    <w:p>
      <w:pPr>
        <w:spacing w:after="0" w:line="190" w:lineRule="exact"/>
        <w:rPr>
          <w:rFonts w:ascii="Arial" w:cs="Arial" w:eastAsia="Arial" w:hAnsi="Arial"/>
          <w:sz w:val="19"/>
          <w:szCs w:val="19"/>
          <w:color w:val="auto"/>
        </w:rPr>
      </w:pPr>
    </w:p>
    <w:p>
      <w:pPr>
        <w:ind w:left="2440" w:hanging="482"/>
        <w:spacing w:after="0"/>
        <w:tabs>
          <w:tab w:leader="none" w:pos="24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to determine the number of shares of Stock to be covered by each Award granted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231" w:right="339" w:bottom="1440" w:gutter="0" w:footer="0" w:header="0"/>
        </w:sectPr>
      </w:pPr>
    </w:p>
    <w:bookmarkStart w:id="363" w:name="page364"/>
    <w:bookmarkEnd w:id="363"/>
    <w:p>
      <w:pPr>
        <w:ind w:right="120" w:firstLine="1958"/>
        <w:spacing w:after="0" w:line="266" w:lineRule="auto"/>
        <w:tabs>
          <w:tab w:leader="none" w:pos="2437"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to determine the terms and conditions, not inconsistent with the terms of the Plan, of each Award granted hereunder, including the waiver or modification of any such terms or conditions;</w:t>
      </w:r>
    </w:p>
    <w:p>
      <w:pPr>
        <w:spacing w:after="0" w:line="147" w:lineRule="exact"/>
        <w:rPr>
          <w:rFonts w:ascii="Arial" w:cs="Arial" w:eastAsia="Arial" w:hAnsi="Arial"/>
          <w:sz w:val="19"/>
          <w:szCs w:val="19"/>
          <w:color w:val="auto"/>
        </w:rPr>
      </w:pPr>
    </w:p>
    <w:p>
      <w:pPr>
        <w:ind w:right="460" w:firstLine="1958"/>
        <w:spacing w:after="0" w:line="294" w:lineRule="auto"/>
        <w:tabs>
          <w:tab w:leader="none" w:pos="238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which shall govern all written instruments evidencing Awards granted hereunder, including the waiver or modification of any such terms or conditions;</w:t>
      </w:r>
    </w:p>
    <w:p>
      <w:pPr>
        <w:spacing w:after="0" w:line="124" w:lineRule="exact"/>
        <w:rPr>
          <w:rFonts w:ascii="Arial" w:cs="Arial" w:eastAsia="Arial" w:hAnsi="Arial"/>
          <w:sz w:val="18"/>
          <w:szCs w:val="18"/>
          <w:color w:val="auto"/>
        </w:rPr>
      </w:pPr>
    </w:p>
    <w:p>
      <w:pPr>
        <w:ind w:left="2440" w:hanging="482"/>
        <w:spacing w:after="0"/>
        <w:tabs>
          <w:tab w:leader="none" w:pos="244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to adopt, alter and repeal such administrative rules, guidelines and practices governing the Plan as it shall from time-</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to-time deem advisable; and</w:t>
      </w:r>
    </w:p>
    <w:p>
      <w:pPr>
        <w:spacing w:after="0" w:line="174" w:lineRule="exact"/>
        <w:rPr>
          <w:rFonts w:ascii="Arial" w:cs="Arial" w:eastAsia="Arial" w:hAnsi="Arial"/>
          <w:sz w:val="17"/>
          <w:szCs w:val="17"/>
          <w:color w:val="auto"/>
        </w:rPr>
      </w:pPr>
    </w:p>
    <w:p>
      <w:pPr>
        <w:ind w:right="360" w:firstLine="1958"/>
        <w:spacing w:after="0" w:line="266" w:lineRule="auto"/>
        <w:tabs>
          <w:tab w:leader="none" w:pos="2442"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to interpret the terms and provisions of the Plan and any Award issued under the Plan (and any award certificates relating thereto) and to otherwise supervise the administration of the Plan.</w:t>
      </w:r>
    </w:p>
    <w:p>
      <w:pPr>
        <w:spacing w:after="0" w:line="147" w:lineRule="exact"/>
        <w:rPr>
          <w:sz w:val="20"/>
          <w:szCs w:val="20"/>
          <w:color w:val="auto"/>
        </w:rPr>
      </w:pPr>
    </w:p>
    <w:p>
      <w:pPr>
        <w:ind w:right="40" w:firstLine="1123"/>
        <w:spacing w:after="0" w:line="264" w:lineRule="auto"/>
        <w:rPr>
          <w:sz w:val="20"/>
          <w:szCs w:val="20"/>
          <w:color w:val="auto"/>
        </w:rPr>
      </w:pPr>
      <w:r>
        <w:rPr>
          <w:rFonts w:ascii="Arial" w:cs="Arial" w:eastAsia="Arial" w:hAnsi="Arial"/>
          <w:sz w:val="18"/>
          <w:szCs w:val="18"/>
          <w:color w:val="auto"/>
        </w:rPr>
        <w:t xml:space="preserve">(as) The Administrator may, in its absolute discretion, without amendment to the Plan: (i) accelerate the date on which any Stock Option or Stock Appreciation Right granted under the Plan becomes exercisable, waive or amend the operation of Plan provisions respecting exercise after termination of employment or otherwise adjust any of the terms of such Stock Option or Stock Appreciation Right; and (ii) accelerate the lapse of restrictions or waive any condition imposed hereunder, with respect to any share of Restricted Stock, Restricted Stock Unit or Other Award or otherwise adjust any of the terms applicable to any such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action under this Section 3(c) shall adversely affect any outstanding Award without the consent of the holder thereof.</w:t>
      </w:r>
    </w:p>
    <w:p>
      <w:pPr>
        <w:spacing w:after="0" w:line="154" w:lineRule="exact"/>
        <w:rPr>
          <w:sz w:val="20"/>
          <w:szCs w:val="20"/>
          <w:color w:val="auto"/>
        </w:rPr>
      </w:pPr>
    </w:p>
    <w:p>
      <w:pPr>
        <w:ind w:firstLine="1123"/>
        <w:spacing w:after="0" w:line="286" w:lineRule="auto"/>
        <w:rPr>
          <w:sz w:val="20"/>
          <w:szCs w:val="20"/>
          <w:color w:val="auto"/>
        </w:rPr>
      </w:pPr>
      <w:r>
        <w:rPr>
          <w:rFonts w:ascii="Arial" w:cs="Arial" w:eastAsia="Arial" w:hAnsi="Arial"/>
          <w:sz w:val="17"/>
          <w:szCs w:val="17"/>
          <w:color w:val="auto"/>
        </w:rPr>
        <w:t>(at) All decisions made by the Administrator pursuant to the provisions of the Plan shall be final, conclusive and binding on all persons, including the Company and the Participants. No member of the Administrator, nor any officer or employee of the Company acting on behalf of the Administrator, shall be personally liable for any action, determination or interpretation taken or made in good faith with respect to the Plan and all members of the Administrator and each and any officer or employee of the Company acting on their behalf shall, to the extent permitted by law, be fully indemnified and protected by the Company in respect of any such action, determination or interpretation.</w:t>
      </w:r>
    </w:p>
    <w:p>
      <w:pPr>
        <w:spacing w:after="0" w:line="12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Section 4.</w:t>
      </w:r>
      <w:r>
        <w:rPr>
          <w:sz w:val="20"/>
          <w:szCs w:val="20"/>
          <w:color w:val="auto"/>
        </w:rPr>
        <w:tab/>
      </w:r>
      <w:r>
        <w:rPr>
          <w:rFonts w:ascii="Arial" w:cs="Arial" w:eastAsia="Arial" w:hAnsi="Arial"/>
          <w:sz w:val="16"/>
          <w:szCs w:val="16"/>
          <w:b w:val="1"/>
          <w:bCs w:val="1"/>
          <w:color w:val="auto"/>
        </w:rPr>
        <w:t>Shares Reserved for Issuance Under the Plan.</w:t>
      </w:r>
    </w:p>
    <w:p>
      <w:pPr>
        <w:spacing w:after="0" w:line="195" w:lineRule="exact"/>
        <w:rPr>
          <w:sz w:val="20"/>
          <w:szCs w:val="20"/>
          <w:color w:val="auto"/>
        </w:rPr>
      </w:pPr>
    </w:p>
    <w:p>
      <w:pPr>
        <w:ind w:right="140" w:firstLine="561"/>
        <w:spacing w:after="0" w:line="263" w:lineRule="auto"/>
        <w:rPr>
          <w:sz w:val="20"/>
          <w:szCs w:val="20"/>
          <w:color w:val="auto"/>
        </w:rPr>
      </w:pPr>
      <w:r>
        <w:rPr>
          <w:rFonts w:ascii="Arial" w:cs="Arial" w:eastAsia="Arial" w:hAnsi="Arial"/>
          <w:sz w:val="18"/>
          <w:szCs w:val="18"/>
          <w:color w:val="auto"/>
        </w:rPr>
        <w:t>The total number of shares of Stock reserved and available for issuance under the Plan shall be 33,841,967 shares of Stock, subject to adjustment as provided in Section 5(a), which represents 22,500,000 shares of Stock originally authorized and reserved for issuance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w:t>
      </w:r>
      <w:r>
        <w:rPr>
          <w:rFonts w:ascii="Arial" w:cs="Arial" w:eastAsia="Arial" w:hAnsi="Arial"/>
          <w:sz w:val="18"/>
          <w:szCs w:val="18"/>
          <w:color w:val="auto"/>
        </w:rPr>
        <w:t>”), plus 11,341,967 additional shares of Stock added as a result of Annual Increases (as defined below) occurring pursuant to the terms of the Plan prior to the effective time of the CLNS Merger. For the avoidance of doubt, the total number of shares of Stock available for issuance under the Plan following the effective time of the CLNS Merger will be reduced by the number of shares of common stock of NSAM issued prior to the effective time of the CLNS Merger pursuant to Awards granted under the Plan. In addition, on January 1, 2018 and each January 1 thereafter, the number of shares of Stock reserved and available for issuance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254" w:right="339" w:bottom="1440" w:gutter="0" w:footer="0" w:header="0"/>
        </w:sectPr>
      </w:pPr>
    </w:p>
    <w:bookmarkStart w:id="364" w:name="page365"/>
    <w:bookmarkEnd w:id="364"/>
    <w:p>
      <w:pPr>
        <w:ind w:left="6" w:right="40"/>
        <w:spacing w:after="0" w:line="262" w:lineRule="auto"/>
        <w:rPr>
          <w:sz w:val="20"/>
          <w:szCs w:val="20"/>
          <w:color w:val="auto"/>
        </w:rPr>
      </w:pPr>
      <w:r>
        <w:rPr>
          <w:rFonts w:ascii="Arial" w:cs="Arial" w:eastAsia="Arial" w:hAnsi="Arial"/>
          <w:sz w:val="18"/>
          <w:szCs w:val="18"/>
          <w:color w:val="auto"/>
        </w:rPr>
        <w:t>Plan shall be cumulatively increased by two percent (2%) of the number of shares of Stock issued and outstanding on the immediately preceding December 31 (the “</w:t>
      </w:r>
      <w:r>
        <w:rPr>
          <w:rFonts w:ascii="Arial" w:cs="Arial" w:eastAsia="Arial" w:hAnsi="Arial"/>
          <w:sz w:val="18"/>
          <w:szCs w:val="18"/>
          <w:u w:val="single" w:color="auto"/>
          <w:color w:val="auto"/>
        </w:rPr>
        <w:t>Annual Increase</w:t>
      </w:r>
      <w:r>
        <w:rPr>
          <w:rFonts w:ascii="Arial" w:cs="Arial" w:eastAsia="Arial" w:hAnsi="Arial"/>
          <w:sz w:val="18"/>
          <w:szCs w:val="18"/>
          <w:color w:val="auto"/>
        </w:rPr>
        <w:t>”). For purposes of this limitation, the shares of Stock underlying any Awards that are forfeited, canceled, held back upon exercise of a Stock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Subject to such overall limitations, shares of Stock may be issued up to the Initial Limit pursuant to Incentive Stock Options, and Stock Options or Stock Appreciation Rights with respect to no more than the Initial Limit may be granted to any one individual Eligible Recipient during any one calendar year period. The shares available for issuance under the Plan may be authorized but unissued shares of Stock or shares of Stock reacquired by the Company.</w:t>
      </w:r>
    </w:p>
    <w:p>
      <w:pPr>
        <w:spacing w:after="0" w:line="153" w:lineRule="exact"/>
        <w:rPr>
          <w:sz w:val="20"/>
          <w:szCs w:val="20"/>
          <w:color w:val="auto"/>
        </w:rPr>
      </w:pPr>
    </w:p>
    <w:p>
      <w:pPr>
        <w:ind w:left="6"/>
        <w:spacing w:after="0"/>
        <w:tabs>
          <w:tab w:leader="none" w:pos="926" w:val="left"/>
        </w:tabs>
        <w:rPr>
          <w:sz w:val="20"/>
          <w:szCs w:val="20"/>
          <w:color w:val="auto"/>
        </w:rPr>
      </w:pPr>
      <w:r>
        <w:rPr>
          <w:rFonts w:ascii="Arial" w:cs="Arial" w:eastAsia="Arial" w:hAnsi="Arial"/>
          <w:sz w:val="19"/>
          <w:szCs w:val="19"/>
          <w:b w:val="1"/>
          <w:bCs w:val="1"/>
          <w:color w:val="auto"/>
        </w:rPr>
        <w:t>Section 5.</w:t>
      </w:r>
      <w:r>
        <w:rPr>
          <w:sz w:val="20"/>
          <w:szCs w:val="20"/>
          <w:color w:val="auto"/>
        </w:rPr>
        <w:tab/>
      </w:r>
      <w:r>
        <w:rPr>
          <w:rFonts w:ascii="Arial" w:cs="Arial" w:eastAsia="Arial" w:hAnsi="Arial"/>
          <w:sz w:val="16"/>
          <w:szCs w:val="16"/>
          <w:b w:val="1"/>
          <w:bCs w:val="1"/>
          <w:color w:val="auto"/>
        </w:rPr>
        <w:t>Equitable Adjustments; Sale Events</w:t>
      </w:r>
    </w:p>
    <w:p>
      <w:pPr>
        <w:spacing w:after="0" w:line="195" w:lineRule="exact"/>
        <w:rPr>
          <w:sz w:val="20"/>
          <w:szCs w:val="20"/>
          <w:color w:val="auto"/>
        </w:rPr>
      </w:pPr>
    </w:p>
    <w:p>
      <w:pPr>
        <w:jc w:val="both"/>
        <w:ind w:left="6" w:right="40" w:firstLine="1116"/>
        <w:spacing w:after="0" w:line="300" w:lineRule="auto"/>
        <w:tabs>
          <w:tab w:leader="none" w:pos="1687" w:val="left"/>
        </w:tabs>
        <w:numPr>
          <w:ilvl w:val="1"/>
          <w:numId w:val="301"/>
        </w:numPr>
        <w:rPr>
          <w:rFonts w:ascii="Arial" w:cs="Arial" w:eastAsia="Arial" w:hAnsi="Arial"/>
          <w:sz w:val="16"/>
          <w:szCs w:val="16"/>
          <w:color w:val="auto"/>
        </w:rPr>
      </w:pPr>
      <w:r>
        <w:rPr>
          <w:rFonts w:ascii="Arial" w:cs="Arial" w:eastAsia="Arial" w:hAnsi="Arial"/>
          <w:sz w:val="16"/>
          <w:szCs w:val="16"/>
          <w:color w:val="auto"/>
        </w:rPr>
        <w:t>Upon the occurrence of any merger, reorganization, consolidation, recapitalization, stock dividend or other change in corporate structure affecting the Stock, the Administrator shall make appropriate equitable adjustments, which may include, without limitation, adjustments to:</w:t>
      </w:r>
    </w:p>
    <w:p>
      <w:pPr>
        <w:ind w:left="6" w:hanging="6"/>
        <w:spacing w:after="0" w:line="278" w:lineRule="auto"/>
        <w:tabs>
          <w:tab w:leader="none" w:pos="23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aggregate number of shares of Stock reserved for issuance under the Plan; (ii) the kind, number and exercise price of outstanding Stock Options and Stock Appreciation Rights granted under the Plan; and (iii) the kind, number and purchase price of shares of Stock subject to outstanding awards of Restricted Stock, Restricted Stock Units, Dividend Equivalent Rights and Other Awards granted under the Plan, in each case as may be determined by the Administrator, in its sole discretion. The Administrator shall also make appropriate equitable adjustments in the number of shares subject to outstanding Awards and the exercise price and the terms of outstanding Awards to take into consideration cash dividends paid other than in the ordinary course or any other extraordinary corporate event. Such other substitutions or adjustments shall be made as may be determined by the Administrator, in its sole discretion. The adjustment by the Administrator shall be final, binding and conclusive.</w:t>
      </w:r>
    </w:p>
    <w:p>
      <w:pPr>
        <w:spacing w:after="0" w:line="141" w:lineRule="exact"/>
        <w:rPr>
          <w:rFonts w:ascii="Arial" w:cs="Arial" w:eastAsia="Arial" w:hAnsi="Arial"/>
          <w:sz w:val="17"/>
          <w:szCs w:val="17"/>
          <w:color w:val="auto"/>
        </w:rPr>
      </w:pPr>
    </w:p>
    <w:p>
      <w:pPr>
        <w:ind w:left="6" w:right="20" w:firstLine="1116"/>
        <w:spacing w:after="0" w:line="278" w:lineRule="auto"/>
        <w:tabs>
          <w:tab w:leader="none" w:pos="1686" w:val="left"/>
        </w:tabs>
        <w:numPr>
          <w:ilvl w:val="1"/>
          <w:numId w:val="302"/>
        </w:numPr>
        <w:rPr>
          <w:rFonts w:ascii="Arial" w:cs="Arial" w:eastAsia="Arial" w:hAnsi="Arial"/>
          <w:sz w:val="17"/>
          <w:szCs w:val="17"/>
          <w:color w:val="auto"/>
        </w:rPr>
      </w:pPr>
      <w:r>
        <w:rPr>
          <w:rFonts w:ascii="Arial" w:cs="Arial" w:eastAsia="Arial" w:hAnsi="Arial"/>
          <w:sz w:val="17"/>
          <w:szCs w:val="17"/>
          <w:color w:val="auto"/>
        </w:rPr>
        <w:t>Except as the Administrator may otherwise specify with respect to particular Awards in the relevant award certificate, in the case of and subject to the consummation of (1) a merger, share exchange, reorganization or consolidation or (2) the sale of all or substantially all of the assets of the Company on a consolidated basis to an unrelated Person, all Stock Options and Stock Appreciation Rights that are not exercisable immediately prior to the effective time of such transaction shall become fully exercisable as of the effective time of such transaction, all other Awards with time-based vesting, conditions or restrictions shall become fully vested and nonforfeitable as of the effective time of such transaction and all Awards with conditions and restrictions relating to the attainment of performance goals may become vested and nonforfeitable in connection with such transaction in the Administrator’s discretion, unless, in any case, the parties to such transaction agree that Awards will be assumed or continued by the successor entity or new Awards of the successor entity or parent thereof will be substituted for such Awards with appropriate adjustment as to the number and kind of shares and, if appropriate, the per share exercise prices, as such parties shall agree. Upon the effective time of any such transaction, the Plan and all outstanding Awards granted hereunder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26"/>
          </w:cols>
          <w:pgMar w:left="314" w:top="1255" w:right="359" w:bottom="1440" w:gutter="0" w:footer="0" w:header="0"/>
        </w:sectPr>
      </w:pPr>
    </w:p>
    <w:bookmarkStart w:id="365" w:name="page366"/>
    <w:bookmarkEnd w:id="365"/>
    <w:p>
      <w:pPr>
        <w:ind w:right="40"/>
        <w:spacing w:after="0" w:line="295" w:lineRule="auto"/>
        <w:rPr>
          <w:sz w:val="20"/>
          <w:szCs w:val="20"/>
          <w:color w:val="auto"/>
        </w:rPr>
      </w:pPr>
      <w:r>
        <w:rPr>
          <w:rFonts w:ascii="Arial" w:cs="Arial" w:eastAsia="Arial" w:hAnsi="Arial"/>
          <w:sz w:val="16"/>
          <w:szCs w:val="16"/>
          <w:color w:val="auto"/>
        </w:rPr>
        <w:t>terminate, unless provision is made in connection with such transaction in the sole discretion of the parties thereto for the assumption or continuation of such Awards by the successor entity, or the substitution of such Awards with new Awards of the successor entity or parent thereof, with appropriate adjustment as to the number and kind of shares and, if appropriate, the per share exercise prices, as such parties shall agree. In the event of such termination: (1) the Company shall have the option (in its sole discretion) to make or provide for a cash payment to the holders of Stock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(2) each Participant shall be permitted, within a specified period of time prior to the consummation of such transaction as determined by the Administrator, to exercise all outstanding Options and Stock Appreciation Rights held by such Participant. In connection with any such transaction in which the shares of Stock are exchanged for or converted into the right to receive cash, the parties to any such transaction may also provide that some or all outstanding Awards that would otherwise not be fully vested and exercisable in full after giving effect to the transaction will be converted (a “Converted Award”) into the right to receive the Sale Price multiplied by the number of shares subject to such Awards (net of the applicable exercise price), subject to any remaining vesting provisions relating to such Awards and the other terms and conditions of such transaction (such as indemnification obligations and purchase price adjustments) to the extent provided by the parties to such transaction.</w:t>
      </w:r>
    </w:p>
    <w:p>
      <w:pPr>
        <w:spacing w:after="0" w:line="128"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7"/>
          <w:szCs w:val="17"/>
          <w:b w:val="1"/>
          <w:bCs w:val="1"/>
          <w:color w:val="auto"/>
        </w:rPr>
        <w:t>Eligibility.</w:t>
      </w:r>
    </w:p>
    <w:p>
      <w:pPr>
        <w:spacing w:after="0" w:line="195" w:lineRule="exact"/>
        <w:rPr>
          <w:sz w:val="20"/>
          <w:szCs w:val="20"/>
          <w:color w:val="auto"/>
        </w:rPr>
      </w:pPr>
    </w:p>
    <w:p>
      <w:pPr>
        <w:ind w:firstLine="1123"/>
        <w:spacing w:after="0" w:line="290" w:lineRule="auto"/>
        <w:rPr>
          <w:sz w:val="20"/>
          <w:szCs w:val="20"/>
          <w:color w:val="auto"/>
        </w:rPr>
      </w:pPr>
      <w:r>
        <w:rPr>
          <w:rFonts w:ascii="Arial" w:cs="Arial" w:eastAsia="Arial" w:hAnsi="Arial"/>
          <w:sz w:val="17"/>
          <w:szCs w:val="17"/>
          <w:color w:val="auto"/>
        </w:rPr>
        <w:t>Eligible Recipients shall be eligible to be granted Stock, Incentive Stock Options, Non-Qualified Stock Options, Stock Appreciation Rights, Restricted Stock, Restricted Stock Units, Dividend Equivalent Rights, Cash-Based Awards, Other Awards or any combination of the foregoing hereunder. The Participants under the Plan shall be selected from time-to-time by the Administrator, in its sole discretion, from among the Eligible Recipients, and the Administrator shall determine, in its sole discretion, the number of shares of Stock covered by each such Award.</w:t>
      </w:r>
    </w:p>
    <w:p>
      <w:pPr>
        <w:spacing w:after="0" w:line="127"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Section 7.</w:t>
      </w:r>
      <w:r>
        <w:rPr>
          <w:sz w:val="20"/>
          <w:szCs w:val="20"/>
          <w:color w:val="auto"/>
        </w:rPr>
        <w:tab/>
      </w:r>
      <w:r>
        <w:rPr>
          <w:rFonts w:ascii="Arial" w:cs="Arial" w:eastAsia="Arial" w:hAnsi="Arial"/>
          <w:sz w:val="16"/>
          <w:szCs w:val="16"/>
          <w:b w:val="1"/>
          <w:bCs w:val="1"/>
          <w:color w:val="auto"/>
        </w:rPr>
        <w:t>Stock Options.</w:t>
      </w:r>
    </w:p>
    <w:p>
      <w:pPr>
        <w:spacing w:after="0" w:line="195" w:lineRule="exact"/>
        <w:rPr>
          <w:sz w:val="20"/>
          <w:szCs w:val="20"/>
          <w:color w:val="auto"/>
        </w:rPr>
      </w:pPr>
    </w:p>
    <w:p>
      <w:pPr>
        <w:ind w:right="120" w:firstLine="1123"/>
        <w:spacing w:after="0" w:line="266" w:lineRule="auto"/>
        <w:rPr>
          <w:sz w:val="20"/>
          <w:szCs w:val="20"/>
          <w:color w:val="auto"/>
        </w:rPr>
      </w:pPr>
      <w:r>
        <w:rPr>
          <w:rFonts w:ascii="Arial" w:cs="Arial" w:eastAsia="Arial" w:hAnsi="Arial"/>
          <w:sz w:val="18"/>
          <w:szCs w:val="18"/>
          <w:color w:val="auto"/>
        </w:rPr>
        <w:t>Stock Options may be granted alone or in addition to other Awards granted under the Plan. Any Stock Option granted under the Plan shall be in such form as the Administrator may from time-to-time approve, and the provisions of Stock Option awards need not be the same with respect to each Participant. Each participant who is granted a Stock Option shall receive an award certificate of the Stock Option, in such form as the Administrator shall determine, which shall set forth, among other things, the option price of the Stock Option, the term of the Stock Option and provisions regarding exercisability of the Stock Option granted thereunder.</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Stock Options granted under the Plan may be of two types: (i) Incentive Stock Options and (ii) Non-Qualified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254" w:right="319" w:bottom="1440" w:gutter="0" w:footer="0" w:header="0"/>
        </w:sectPr>
      </w:pPr>
    </w:p>
    <w:bookmarkStart w:id="366" w:name="page367"/>
    <w:bookmarkEnd w:id="366"/>
    <w:p>
      <w:pPr>
        <w:ind w:right="20" w:firstLine="1123"/>
        <w:spacing w:after="0" w:line="283" w:lineRule="auto"/>
        <w:rPr>
          <w:sz w:val="20"/>
          <w:szCs w:val="20"/>
          <w:color w:val="auto"/>
        </w:rPr>
      </w:pPr>
      <w:r>
        <w:rPr>
          <w:rFonts w:ascii="Arial" w:cs="Arial" w:eastAsia="Arial" w:hAnsi="Arial"/>
          <w:sz w:val="17"/>
          <w:szCs w:val="17"/>
          <w:color w:val="auto"/>
        </w:rPr>
        <w:t>The Administrator shall have the authority to grant to any officer or employee of the Company or of any Parent or Subsidiary (including directors who are also officers of the Company) Incentive Stock Options, Non-Qualified Stock Options or both types of Stock Options (in each case with or without Stock Appreciation Rights). Directors who are not also employees or officers of the Company or of any Parent or Subsidiary, consultants or advisors to the Company or to any Parent or Subsidiary may only be granted Non-Qualified Stock Options (with or without Stock Appreciation Rights). To the extent that any Stock Option does not qualify as an Incentive Stock Option, it shall constitute a separate Non-Qualified Stock Option. More than one Stock Option may be granted to the same Participant and be outstanding concurrently hereunder.</w:t>
      </w:r>
    </w:p>
    <w:p>
      <w:pPr>
        <w:spacing w:after="0" w:line="137" w:lineRule="exact"/>
        <w:rPr>
          <w:sz w:val="20"/>
          <w:szCs w:val="20"/>
          <w:color w:val="auto"/>
        </w:rPr>
      </w:pPr>
    </w:p>
    <w:p>
      <w:pPr>
        <w:jc w:val="both"/>
        <w:ind w:right="320" w:firstLine="1123"/>
        <w:spacing w:after="0" w:line="255" w:lineRule="auto"/>
        <w:rPr>
          <w:sz w:val="20"/>
          <w:szCs w:val="20"/>
          <w:color w:val="auto"/>
        </w:rPr>
      </w:pPr>
      <w:r>
        <w:rPr>
          <w:rFonts w:ascii="Arial" w:cs="Arial" w:eastAsia="Arial" w:hAnsi="Arial"/>
          <w:sz w:val="19"/>
          <w:szCs w:val="19"/>
          <w:color w:val="auto"/>
        </w:rPr>
        <w:t>Stock Options granted under the Plan shall be subject to the following terms and conditions and to the award certificate evidencing each Award which shall contain such additional terms and conditions, not inconsistent with the terms of the Plan, as the Administrator shall deem desirable:</w:t>
      </w:r>
    </w:p>
    <w:p>
      <w:pPr>
        <w:spacing w:after="0" w:line="157" w:lineRule="exact"/>
        <w:rPr>
          <w:sz w:val="20"/>
          <w:szCs w:val="20"/>
          <w:color w:val="auto"/>
        </w:rPr>
      </w:pPr>
    </w:p>
    <w:p>
      <w:pPr>
        <w:ind w:right="140" w:firstLine="1116"/>
        <w:spacing w:after="0" w:line="249" w:lineRule="auto"/>
        <w:tabs>
          <w:tab w:leader="none" w:pos="1681"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Option Price</w:t>
      </w:r>
      <w:r>
        <w:rPr>
          <w:rFonts w:ascii="Arial" w:cs="Arial" w:eastAsia="Arial" w:hAnsi="Arial"/>
          <w:sz w:val="19"/>
          <w:szCs w:val="19"/>
          <w:color w:val="auto"/>
        </w:rPr>
        <w:t>. The option exercise price per share of Stock underlying each Stock Option shall be determined by the Administrator in its sole discretion at the time of grant but shall not be less than 100% of the Fair Market Value of the Stock on such date (or with respect to Incentive Stock Options, 110% of the Fair Market Value per share on such date if, on such date, the Eligible Recipient owns, or is deemed to own under the Code, stock possessing more than ten percent (10%) (a “</w:t>
      </w:r>
      <w:r>
        <w:rPr>
          <w:rFonts w:ascii="Arial" w:cs="Arial" w:eastAsia="Arial" w:hAnsi="Arial"/>
          <w:sz w:val="19"/>
          <w:szCs w:val="19"/>
          <w:u w:val="single" w:color="auto"/>
          <w:color w:val="auto"/>
        </w:rPr>
        <w:t>Ten Percent Owner</w:t>
      </w:r>
      <w:r>
        <w:rPr>
          <w:rFonts w:ascii="Arial" w:cs="Arial" w:eastAsia="Arial" w:hAnsi="Arial"/>
          <w:sz w:val="19"/>
          <w:szCs w:val="19"/>
          <w:color w:val="auto"/>
        </w:rPr>
        <w:t>”) of the total combined voting power of all classes of Stock).</w:t>
      </w:r>
    </w:p>
    <w:p>
      <w:pPr>
        <w:spacing w:after="0" w:line="164" w:lineRule="exact"/>
        <w:rPr>
          <w:rFonts w:ascii="Arial" w:cs="Arial" w:eastAsia="Arial" w:hAnsi="Arial"/>
          <w:sz w:val="19"/>
          <w:szCs w:val="19"/>
          <w:color w:val="auto"/>
        </w:rPr>
      </w:pPr>
    </w:p>
    <w:p>
      <w:pPr>
        <w:jc w:val="both"/>
        <w:ind w:firstLine="1116"/>
        <w:spacing w:after="0" w:line="299" w:lineRule="auto"/>
        <w:tabs>
          <w:tab w:leader="none" w:pos="1680"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xml:space="preserve">. The term of each Stock Option shall be fixed by the Administrator, but no Stock Option shall be exercisable more than ten years after the date such Stock Option is granted;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Eligible Recipient is a Ten Percent Owner, an Incentive Stock Option may not be exercisable after the expiration of five years from the date such Incentive Stock Option is granted.</w:t>
      </w:r>
    </w:p>
    <w:p>
      <w:pPr>
        <w:spacing w:after="0" w:line="123" w:lineRule="exact"/>
        <w:rPr>
          <w:rFonts w:ascii="Arial" w:cs="Arial" w:eastAsia="Arial" w:hAnsi="Arial"/>
          <w:sz w:val="17"/>
          <w:szCs w:val="17"/>
          <w:color w:val="auto"/>
        </w:rPr>
      </w:pPr>
    </w:p>
    <w:p>
      <w:pPr>
        <w:ind w:right="20" w:firstLine="1116"/>
        <w:spacing w:after="0" w:line="248" w:lineRule="auto"/>
        <w:tabs>
          <w:tab w:leader="none" w:pos="1681"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 xml:space="preserve">. Stock Options shall be exercisable at such time or times and subject to such terms and conditions as shall be determined by the Administrator at or after the time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action following the time of grant shall adversely affect any outstanding Stock Option without the consent of the holder thereof. The Administrator may provide at the time of grant, in its sole discretion, that any Stock Option shall be exercisable only in installments, and the Administrator may waive such installment exercise provisions at any time, in whole or in part, based on such factors as the Administrator may determine, in its sole discretion, including but not limited to in connection with any change in control of the Company.</w:t>
      </w:r>
    </w:p>
    <w:p>
      <w:pPr>
        <w:spacing w:after="0" w:line="165" w:lineRule="exact"/>
        <w:rPr>
          <w:rFonts w:ascii="Arial" w:cs="Arial" w:eastAsia="Arial" w:hAnsi="Arial"/>
          <w:sz w:val="19"/>
          <w:szCs w:val="19"/>
          <w:color w:val="auto"/>
        </w:rPr>
      </w:pPr>
    </w:p>
    <w:p>
      <w:pPr>
        <w:ind w:right="140" w:firstLine="1116"/>
        <w:spacing w:after="0" w:line="269" w:lineRule="auto"/>
        <w:tabs>
          <w:tab w:leader="none" w:pos="168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Subject to Section 7(c), Stock Options may be exercised in whole or in part at any time during the option period, by giving written notice of exercise to the Company specifying the number of shares of Stock to be purchased, accompanied by payment in full of the purchase price in cash or its equivalent, as determined by the Administrator. As determined by the Administrator, in its sole discretion, payment in whole or in part may also be made: (i) by certified or bank check or other instrument acceptable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254" w:right="339" w:bottom="1440" w:gutter="0" w:footer="0" w:header="0"/>
        </w:sectPr>
      </w:pPr>
    </w:p>
    <w:bookmarkStart w:id="367" w:name="page368"/>
    <w:bookmarkEnd w:id="367"/>
    <w:p>
      <w:pPr>
        <w:ind w:right="20"/>
        <w:spacing w:after="0" w:line="261" w:lineRule="auto"/>
        <w:rPr>
          <w:sz w:val="20"/>
          <w:szCs w:val="20"/>
          <w:color w:val="auto"/>
        </w:rPr>
      </w:pPr>
      <w:r>
        <w:rPr>
          <w:rFonts w:ascii="Arial" w:cs="Arial" w:eastAsia="Arial" w:hAnsi="Arial"/>
          <w:sz w:val="18"/>
          <w:szCs w:val="18"/>
          <w:color w:val="auto"/>
        </w:rPr>
        <w:t xml:space="preserve">Administrator; (ii) in the form of unrestricted Stock already owned by the Participant which has a Fair Market Value on the date of surrender equal to the aggregate option price of the Stock as to which such Stock Option shall be exercised and subject to such other terms and conditions as the Administrator may provide,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an Incentive Stock Option, the right to make payment in the form of already owned shares of Stock may be authorized only at the time of grant; (iii) by the Participant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Participant chooses to pay the purchase price as so provided, the Participant and the broker shall comply with such procedures and enter into such agreements of indemnity and other agreements as the Administrator shall prescribe as a condition of such payment procedure; (iv)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(v) any other form of consideration approved by the Administrator and permitted by applicable law; or (vi) any combination of the foregoing.</w:t>
      </w:r>
    </w:p>
    <w:p>
      <w:pPr>
        <w:spacing w:after="0" w:line="155" w:lineRule="exact"/>
        <w:rPr>
          <w:sz w:val="20"/>
          <w:szCs w:val="20"/>
          <w:color w:val="auto"/>
        </w:rPr>
      </w:pPr>
    </w:p>
    <w:p>
      <w:pPr>
        <w:ind w:right="140" w:firstLine="1116"/>
        <w:spacing w:after="0" w:line="255" w:lineRule="auto"/>
        <w:tabs>
          <w:tab w:leader="none" w:pos="1681"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A Participant shall generally have the rights to dividends and any other rights of a stockholder with respect to the Stock subject to the Stock Option only after the Participant has given written notice of exercise, has paid in full for such shares, and, if requested, has given the representation described in paragraph (b) of Section 17 below.</w:t>
      </w:r>
    </w:p>
    <w:p>
      <w:pPr>
        <w:spacing w:after="0" w:line="157" w:lineRule="exact"/>
        <w:rPr>
          <w:rFonts w:ascii="Arial" w:cs="Arial" w:eastAsia="Arial" w:hAnsi="Arial"/>
          <w:sz w:val="19"/>
          <w:szCs w:val="19"/>
          <w:color w:val="auto"/>
        </w:rPr>
      </w:pPr>
    </w:p>
    <w:p>
      <w:pPr>
        <w:ind w:firstLine="1116"/>
        <w:spacing w:after="0" w:line="249" w:lineRule="auto"/>
        <w:tabs>
          <w:tab w:leader="none" w:pos="1684"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In the event that a Participant ceases to be employed by or to provide services to any of the Company, any Parent or any Subsidiary, any outstanding Stock Options previously granted to such Participant shall be exercisable at such time or times and subject to such terms and conditions as set forth in the award certificate governing such Awards. Unless otherwise provided in the award certificate, Stock Options granted to such Participant, to the extent they were not vested and exercisable at the time of such termination, shall expire on the date of such termination.</w:t>
      </w:r>
    </w:p>
    <w:p>
      <w:pPr>
        <w:spacing w:after="0" w:line="164" w:lineRule="exact"/>
        <w:rPr>
          <w:rFonts w:ascii="Arial" w:cs="Arial" w:eastAsia="Arial" w:hAnsi="Arial"/>
          <w:sz w:val="19"/>
          <w:szCs w:val="19"/>
          <w:color w:val="auto"/>
        </w:rPr>
      </w:pPr>
    </w:p>
    <w:p>
      <w:pPr>
        <w:ind w:right="60" w:firstLine="1116"/>
        <w:spacing w:after="0" w:line="286" w:lineRule="auto"/>
        <w:tabs>
          <w:tab w:leader="none" w:pos="1680"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Annual Limit on Incentive Stock Options</w:t>
      </w:r>
      <w:r>
        <w:rPr>
          <w:rFonts w:ascii="Arial" w:cs="Arial" w:eastAsia="Arial" w:hAnsi="Arial"/>
          <w:sz w:val="17"/>
          <w:szCs w:val="17"/>
          <w:color w:val="auto"/>
        </w:rPr>
        <w:t>. In addition to the limitation applicable to Stock Options in Section 4 above, to the extent that the aggregate Fair Market Value (determined as of the date the Incentive Stock Option is granted) of shares of Stock with respect to which Incentive Stock Options granted to a Participant under this Plan and all other option plans of the Company or of any Parent or Subsidiary become exercisable for the first time by the Participant during any calendar year exceeds $100,000 (as determined in accordance with Section 422(d) of the Code), the portion of such Incentive Stock Options in excess of $100,000 shall be treated as Non-Qualified Stock Options.</w:t>
      </w:r>
    </w:p>
    <w:p>
      <w:pPr>
        <w:spacing w:after="0" w:line="12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Section 8.</w:t>
      </w:r>
      <w:r>
        <w:rPr>
          <w:sz w:val="20"/>
          <w:szCs w:val="20"/>
          <w:color w:val="auto"/>
        </w:rPr>
        <w:tab/>
      </w:r>
      <w:r>
        <w:rPr>
          <w:rFonts w:ascii="Arial" w:cs="Arial" w:eastAsia="Arial" w:hAnsi="Arial"/>
          <w:sz w:val="16"/>
          <w:szCs w:val="16"/>
          <w:b w:val="1"/>
          <w:bCs w:val="1"/>
          <w:color w:val="auto"/>
        </w:rPr>
        <w:t>Stock Appreciation Rights.</w:t>
      </w:r>
    </w:p>
    <w:p>
      <w:pPr>
        <w:spacing w:after="0" w:line="195" w:lineRule="exact"/>
        <w:rPr>
          <w:sz w:val="20"/>
          <w:szCs w:val="20"/>
          <w:color w:val="auto"/>
        </w:rPr>
      </w:pPr>
    </w:p>
    <w:p>
      <w:pPr>
        <w:ind w:right="60" w:firstLine="1123"/>
        <w:spacing w:after="0" w:line="255" w:lineRule="auto"/>
        <w:rPr>
          <w:sz w:val="20"/>
          <w:szCs w:val="20"/>
          <w:color w:val="auto"/>
        </w:rPr>
      </w:pPr>
      <w:r>
        <w:rPr>
          <w:rFonts w:ascii="Arial" w:cs="Arial" w:eastAsia="Arial" w:hAnsi="Arial"/>
          <w:sz w:val="19"/>
          <w:szCs w:val="19"/>
          <w:color w:val="auto"/>
        </w:rPr>
        <w:t>Stock Appreciation Rights may be granted either alone (“</w:t>
      </w:r>
      <w:r>
        <w:rPr>
          <w:rFonts w:ascii="Arial" w:cs="Arial" w:eastAsia="Arial" w:hAnsi="Arial"/>
          <w:sz w:val="19"/>
          <w:szCs w:val="19"/>
          <w:u w:val="single" w:color="auto"/>
          <w:color w:val="auto"/>
        </w:rPr>
        <w:t>Free Standing Rights</w:t>
      </w:r>
      <w:r>
        <w:rPr>
          <w:rFonts w:ascii="Arial" w:cs="Arial" w:eastAsia="Arial" w:hAnsi="Arial"/>
          <w:sz w:val="19"/>
          <w:szCs w:val="19"/>
          <w:color w:val="auto"/>
        </w:rPr>
        <w:t>”) or in conjunction with all or part of any Stock Option granted under the Plan (“</w:t>
      </w:r>
      <w:r>
        <w:rPr>
          <w:rFonts w:ascii="Arial" w:cs="Arial" w:eastAsia="Arial" w:hAnsi="Arial"/>
          <w:sz w:val="19"/>
          <w:szCs w:val="19"/>
          <w:u w:val="single" w:color="auto"/>
          <w:color w:val="auto"/>
        </w:rPr>
        <w:t>Related Rights</w:t>
      </w:r>
      <w:r>
        <w:rPr>
          <w:rFonts w:ascii="Arial" w:cs="Arial" w:eastAsia="Arial" w:hAnsi="Arial"/>
          <w:sz w:val="19"/>
          <w:szCs w:val="19"/>
          <w:color w:val="auto"/>
        </w:rPr>
        <w:t>”). In the case of a Non-Qualified Stock Option, Related Rights may be granted either at or after the time of the grant of such Stock Option. In the case of an Incentive Stock Option, Related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255" w:right="339" w:bottom="1440" w:gutter="0" w:footer="0" w:header="0"/>
        </w:sectPr>
      </w:pPr>
    </w:p>
    <w:bookmarkStart w:id="368" w:name="page369"/>
    <w:bookmarkEnd w:id="368"/>
    <w:p>
      <w:pPr>
        <w:ind w:right="40"/>
        <w:spacing w:after="0" w:line="299" w:lineRule="auto"/>
        <w:rPr>
          <w:sz w:val="20"/>
          <w:szCs w:val="20"/>
          <w:color w:val="auto"/>
        </w:rPr>
      </w:pPr>
      <w:r>
        <w:rPr>
          <w:rFonts w:ascii="Arial" w:cs="Arial" w:eastAsia="Arial" w:hAnsi="Arial"/>
          <w:sz w:val="17"/>
          <w:szCs w:val="17"/>
          <w:color w:val="auto"/>
        </w:rPr>
        <w:t>may be granted only at the time of the grant of the Incentive Stock Option. The Administrator shall determine the Eligible Recipients to whom, and the time or times at which, grants of Stock Appreciation Rights shall be made; the number of shares of Stock to be awarded, the exercise price and all other conditions of Stock Appreciation Rights. The provisions of Stock Appreciation Rights need not be the same with respect to each Participant.</w:t>
      </w:r>
    </w:p>
    <w:p>
      <w:pPr>
        <w:spacing w:after="0" w:line="123" w:lineRule="exact"/>
        <w:rPr>
          <w:sz w:val="20"/>
          <w:szCs w:val="20"/>
          <w:color w:val="auto"/>
        </w:rPr>
      </w:pPr>
    </w:p>
    <w:p>
      <w:pPr>
        <w:jc w:val="both"/>
        <w:ind w:right="280" w:firstLine="1123"/>
        <w:spacing w:after="0" w:line="255" w:lineRule="auto"/>
        <w:rPr>
          <w:sz w:val="20"/>
          <w:szCs w:val="20"/>
          <w:color w:val="auto"/>
        </w:rPr>
      </w:pPr>
      <w:r>
        <w:rPr>
          <w:rFonts w:ascii="Arial" w:cs="Arial" w:eastAsia="Arial" w:hAnsi="Arial"/>
          <w:sz w:val="19"/>
          <w:szCs w:val="19"/>
          <w:color w:val="auto"/>
        </w:rPr>
        <w:t>Stock Appreciation Rights granted under the Plan shall be subject to the following terms and conditions and to the award certificate evidencing such Award which shall contain such additional terms and conditions, not inconsistent with the terms of the Plan, as the Administrator shall deem desirable:</w:t>
      </w:r>
    </w:p>
    <w:p>
      <w:pPr>
        <w:spacing w:after="0" w:line="157" w:lineRule="exact"/>
        <w:rPr>
          <w:sz w:val="20"/>
          <w:szCs w:val="20"/>
          <w:color w:val="auto"/>
        </w:rPr>
      </w:pPr>
    </w:p>
    <w:p>
      <w:pPr>
        <w:ind w:right="400" w:firstLine="1116"/>
        <w:spacing w:after="0" w:line="266" w:lineRule="auto"/>
        <w:tabs>
          <w:tab w:leader="none" w:pos="1681"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Awards</w:t>
      </w:r>
      <w:r>
        <w:rPr>
          <w:rFonts w:ascii="Arial" w:cs="Arial" w:eastAsia="Arial" w:hAnsi="Arial"/>
          <w:sz w:val="19"/>
          <w:szCs w:val="19"/>
          <w:color w:val="auto"/>
        </w:rPr>
        <w:t>. Participants who are granted Stock Appreciation Rights shall have no rights as stockholders of the Company with respect to the grant or exercise of such rights.</w:t>
      </w:r>
    </w:p>
    <w:p>
      <w:pPr>
        <w:spacing w:after="0" w:line="147" w:lineRule="exact"/>
        <w:rPr>
          <w:rFonts w:ascii="Arial" w:cs="Arial" w:eastAsia="Arial" w:hAnsi="Arial"/>
          <w:sz w:val="19"/>
          <w:szCs w:val="19"/>
          <w:color w:val="auto"/>
        </w:rPr>
      </w:pPr>
    </w:p>
    <w:p>
      <w:pPr>
        <w:ind w:left="1680" w:hanging="564"/>
        <w:spacing w:after="0"/>
        <w:tabs>
          <w:tab w:leader="none" w:pos="1680"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right="700" w:firstLine="1958"/>
        <w:spacing w:after="0" w:line="325" w:lineRule="auto"/>
        <w:tabs>
          <w:tab w:leader="none" w:pos="2297" w:val="left"/>
        </w:tabs>
        <w:numPr>
          <w:ilvl w:val="1"/>
          <w:numId w:val="305"/>
        </w:numPr>
        <w:rPr>
          <w:rFonts w:ascii="Arial" w:cs="Arial" w:eastAsia="Arial" w:hAnsi="Arial"/>
          <w:sz w:val="17"/>
          <w:szCs w:val="17"/>
          <w:color w:val="auto"/>
        </w:rPr>
      </w:pPr>
      <w:r>
        <w:rPr>
          <w:rFonts w:ascii="Arial" w:cs="Arial" w:eastAsia="Arial" w:hAnsi="Arial"/>
          <w:sz w:val="17"/>
          <w:szCs w:val="17"/>
          <w:color w:val="auto"/>
        </w:rPr>
        <w:t>Stock Appreciation Rights that are Free Standing Rights (“</w:t>
      </w:r>
      <w:r>
        <w:rPr>
          <w:rFonts w:ascii="Arial" w:cs="Arial" w:eastAsia="Arial" w:hAnsi="Arial"/>
          <w:sz w:val="17"/>
          <w:szCs w:val="17"/>
          <w:u w:val="single" w:color="auto"/>
          <w:color w:val="auto"/>
        </w:rPr>
        <w:t>Free Standing Stock Appreciation Rights</w:t>
      </w:r>
      <w:r>
        <w:rPr>
          <w:rFonts w:ascii="Arial" w:cs="Arial" w:eastAsia="Arial" w:hAnsi="Arial"/>
          <w:sz w:val="17"/>
          <w:szCs w:val="17"/>
          <w:color w:val="auto"/>
        </w:rPr>
        <w:t>”) shall be exercisable at such time or times and subject to such terms and conditions as shall be determined by the Administrator at or after grant.</w:t>
      </w:r>
    </w:p>
    <w:p>
      <w:pPr>
        <w:spacing w:after="0" w:line="102" w:lineRule="exact"/>
        <w:rPr>
          <w:rFonts w:ascii="Arial" w:cs="Arial" w:eastAsia="Arial" w:hAnsi="Arial"/>
          <w:sz w:val="17"/>
          <w:szCs w:val="17"/>
          <w:color w:val="auto"/>
        </w:rPr>
      </w:pPr>
    </w:p>
    <w:p>
      <w:pPr>
        <w:ind w:firstLine="1958"/>
        <w:spacing w:after="0" w:line="249" w:lineRule="auto"/>
        <w:tabs>
          <w:tab w:leader="none" w:pos="2349" w:val="left"/>
        </w:tabs>
        <w:numPr>
          <w:ilvl w:val="1"/>
          <w:numId w:val="305"/>
        </w:numPr>
        <w:rPr>
          <w:rFonts w:ascii="Arial" w:cs="Arial" w:eastAsia="Arial" w:hAnsi="Arial"/>
          <w:sz w:val="19"/>
          <w:szCs w:val="19"/>
          <w:color w:val="auto"/>
        </w:rPr>
      </w:pPr>
      <w:r>
        <w:rPr>
          <w:rFonts w:ascii="Arial" w:cs="Arial" w:eastAsia="Arial" w:hAnsi="Arial"/>
          <w:sz w:val="19"/>
          <w:szCs w:val="19"/>
          <w:color w:val="auto"/>
        </w:rPr>
        <w:t>Stock Appreciation Rights that are Related Rights (“</w:t>
      </w:r>
      <w:r>
        <w:rPr>
          <w:rFonts w:ascii="Arial" w:cs="Arial" w:eastAsia="Arial" w:hAnsi="Arial"/>
          <w:sz w:val="19"/>
          <w:szCs w:val="19"/>
          <w:u w:val="single" w:color="auto"/>
          <w:color w:val="auto"/>
        </w:rPr>
        <w:t>Related Stock Appreciation Rights</w:t>
      </w:r>
      <w:r>
        <w:rPr>
          <w:rFonts w:ascii="Arial" w:cs="Arial" w:eastAsia="Arial" w:hAnsi="Arial"/>
          <w:sz w:val="19"/>
          <w:szCs w:val="19"/>
          <w:color w:val="auto"/>
        </w:rPr>
        <w:t xml:space="preserve">”) shall be exercisable only at such time or times and to the extent that the Stock Options to which they relate shall be exercisable in accordance with the provisions of Section 7 above and this Section 8 of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Related Stock Appreciation Right granted in connection with an Incentive Stock Option shall be exercisable only if and when the Fair Market Value of the Stock subject to the Incentive Stock Option exceeds the option price of such Stock Option.</w:t>
      </w:r>
    </w:p>
    <w:p>
      <w:pPr>
        <w:spacing w:after="0" w:line="164" w:lineRule="exact"/>
        <w:rPr>
          <w:rFonts w:ascii="Arial" w:cs="Arial" w:eastAsia="Arial" w:hAnsi="Arial"/>
          <w:sz w:val="19"/>
          <w:szCs w:val="19"/>
          <w:color w:val="auto"/>
        </w:rPr>
      </w:pPr>
    </w:p>
    <w:p>
      <w:pPr>
        <w:ind w:left="1680" w:hanging="564"/>
        <w:spacing w:after="0"/>
        <w:tabs>
          <w:tab w:leader="none" w:pos="1680"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Payment Upon Exercise.</w:t>
      </w:r>
    </w:p>
    <w:p>
      <w:pPr>
        <w:spacing w:after="0" w:line="190" w:lineRule="exact"/>
        <w:rPr>
          <w:rFonts w:ascii="Arial" w:cs="Arial" w:eastAsia="Arial" w:hAnsi="Arial"/>
          <w:sz w:val="19"/>
          <w:szCs w:val="19"/>
          <w:color w:val="auto"/>
        </w:rPr>
      </w:pPr>
    </w:p>
    <w:p>
      <w:pPr>
        <w:ind w:right="20" w:firstLine="1958"/>
        <w:spacing w:after="0" w:line="248" w:lineRule="auto"/>
        <w:tabs>
          <w:tab w:leader="none" w:pos="2297" w:val="left"/>
        </w:tabs>
        <w:numPr>
          <w:ilvl w:val="1"/>
          <w:numId w:val="305"/>
        </w:numPr>
        <w:rPr>
          <w:rFonts w:ascii="Arial" w:cs="Arial" w:eastAsia="Arial" w:hAnsi="Arial"/>
          <w:sz w:val="19"/>
          <w:szCs w:val="19"/>
          <w:color w:val="auto"/>
        </w:rPr>
      </w:pPr>
      <w:r>
        <w:rPr>
          <w:rFonts w:ascii="Arial" w:cs="Arial" w:eastAsia="Arial" w:hAnsi="Arial"/>
          <w:sz w:val="19"/>
          <w:szCs w:val="19"/>
          <w:color w:val="auto"/>
        </w:rPr>
        <w:t>Upon the exercise of a Free Standing Stock Appreciation Right, the Participant shall be entitled to receive up to, but not more than, an amount in cash or that number of shares of Stock (or any combination of cash and shares of Stock) equal in value to the excess of the Fair Market Value of one share of Stock as of the date of exercise over the price per share specified in the Free Standing Stock Appreciation Right (which price shall be no less than 100% of the Fair Market Value of the Stock on the date of grant) multiplied by the number of shares of Stock in respect of which the Free Standing Stock Appreciation Right is being exercised, with the Administrator having the right to determine the form of payment.</w:t>
      </w:r>
    </w:p>
    <w:p>
      <w:pPr>
        <w:spacing w:after="0" w:line="165" w:lineRule="exact"/>
        <w:rPr>
          <w:rFonts w:ascii="Arial" w:cs="Arial" w:eastAsia="Arial" w:hAnsi="Arial"/>
          <w:sz w:val="19"/>
          <w:szCs w:val="19"/>
          <w:color w:val="auto"/>
        </w:rPr>
      </w:pPr>
    </w:p>
    <w:p>
      <w:pPr>
        <w:ind w:right="80" w:firstLine="1958"/>
        <w:spacing w:after="0" w:line="269" w:lineRule="auto"/>
        <w:tabs>
          <w:tab w:leader="none" w:pos="234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Related Right may be exercised by a Participant by surrendering the applicable portion of the related Stock Option. Upon such exercise and surrender, the Participant shall be entitled to receive up to, but not more than, an amount in cash or that number of shares of Stock (or any combination of cash and shares of Stock) equal in value to the excess of the Fair Market Value of one share of Stock as of the date of exercise over the option price per share specified in the related Stock Option multiplied by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255" w:right="339" w:bottom="1440" w:gutter="0" w:footer="0" w:header="0"/>
        </w:sectPr>
      </w:pPr>
    </w:p>
    <w:bookmarkStart w:id="369" w:name="page370"/>
    <w:bookmarkEnd w:id="369"/>
    <w:p>
      <w:pPr>
        <w:ind w:right="60"/>
        <w:spacing w:after="0" w:line="255" w:lineRule="auto"/>
        <w:rPr>
          <w:sz w:val="20"/>
          <w:szCs w:val="20"/>
          <w:color w:val="auto"/>
        </w:rPr>
      </w:pPr>
      <w:r>
        <w:rPr>
          <w:rFonts w:ascii="Arial" w:cs="Arial" w:eastAsia="Arial" w:hAnsi="Arial"/>
          <w:sz w:val="19"/>
          <w:szCs w:val="19"/>
          <w:color w:val="auto"/>
        </w:rPr>
        <w:t>shares of Stock in respect of which the Related Stock Appreciation Right is being exercised, with the Administrator having the right to determine the form of payment. Stock Options which have been so surrendered, in whole or in part, shall no longer be exercisable to the extent the Related Rights have been so exercised.</w:t>
      </w:r>
    </w:p>
    <w:p>
      <w:pPr>
        <w:spacing w:after="0" w:line="157" w:lineRule="exact"/>
        <w:rPr>
          <w:sz w:val="20"/>
          <w:szCs w:val="20"/>
          <w:color w:val="auto"/>
        </w:rPr>
      </w:pPr>
    </w:p>
    <w:p>
      <w:pPr>
        <w:ind w:left="1680" w:hanging="564"/>
        <w:spacing w:after="0"/>
        <w:tabs>
          <w:tab w:leader="none" w:pos="1680"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p>
    <w:p>
      <w:pPr>
        <w:spacing w:after="0" w:line="190" w:lineRule="exact"/>
        <w:rPr>
          <w:rFonts w:ascii="Arial" w:cs="Arial" w:eastAsia="Arial" w:hAnsi="Arial"/>
          <w:sz w:val="19"/>
          <w:szCs w:val="19"/>
          <w:color w:val="auto"/>
        </w:rPr>
      </w:pPr>
    </w:p>
    <w:p>
      <w:pPr>
        <w:ind w:right="60" w:firstLine="1958"/>
        <w:spacing w:after="0" w:line="249" w:lineRule="auto"/>
        <w:tabs>
          <w:tab w:leader="none" w:pos="2297" w:val="left"/>
        </w:tabs>
        <w:numPr>
          <w:ilvl w:val="1"/>
          <w:numId w:val="306"/>
        </w:numPr>
        <w:rPr>
          <w:rFonts w:ascii="Arial" w:cs="Arial" w:eastAsia="Arial" w:hAnsi="Arial"/>
          <w:sz w:val="19"/>
          <w:szCs w:val="19"/>
          <w:color w:val="auto"/>
        </w:rPr>
      </w:pPr>
      <w:r>
        <w:rPr>
          <w:rFonts w:ascii="Arial" w:cs="Arial" w:eastAsia="Arial" w:hAnsi="Arial"/>
          <w:sz w:val="19"/>
          <w:szCs w:val="19"/>
          <w:color w:val="auto"/>
        </w:rPr>
        <w:t>In the event that a Participant ceases to be employed by or to provide services to any of the Company, any Parent or any Subsidiary, any outstanding Stock Appreciation Rights previously granted to such Participant shall be exercisable at such time or times and subject to such terms and conditions as set forth in the award certificate governing such Awards. Unless otherwise provided in the award certificate, Stock Appreciation Rights granted to such Participant, to the extent they were not vested and exercisable at the time of such termination, shall expire on the date of such termination.</w:t>
      </w:r>
    </w:p>
    <w:p>
      <w:pPr>
        <w:spacing w:after="0" w:line="164" w:lineRule="exact"/>
        <w:rPr>
          <w:rFonts w:ascii="Arial" w:cs="Arial" w:eastAsia="Arial" w:hAnsi="Arial"/>
          <w:sz w:val="19"/>
          <w:szCs w:val="19"/>
          <w:color w:val="auto"/>
        </w:rPr>
      </w:pPr>
    </w:p>
    <w:p>
      <w:pPr>
        <w:ind w:right="80" w:firstLine="1958"/>
        <w:spacing w:after="0" w:line="255" w:lineRule="auto"/>
        <w:tabs>
          <w:tab w:leader="none" w:pos="2349" w:val="left"/>
        </w:tabs>
        <w:numPr>
          <w:ilvl w:val="1"/>
          <w:numId w:val="306"/>
        </w:numPr>
        <w:rPr>
          <w:rFonts w:ascii="Arial" w:cs="Arial" w:eastAsia="Arial" w:hAnsi="Arial"/>
          <w:sz w:val="19"/>
          <w:szCs w:val="19"/>
          <w:color w:val="auto"/>
        </w:rPr>
      </w:pPr>
      <w:r>
        <w:rPr>
          <w:rFonts w:ascii="Arial" w:cs="Arial" w:eastAsia="Arial" w:hAnsi="Arial"/>
          <w:sz w:val="19"/>
          <w:szCs w:val="19"/>
          <w:color w:val="auto"/>
        </w:rPr>
        <w:t>In the event of the termination of employment or service of a Participant who has been granted one or more Related Stock Appreciation Rights, such rights shall be exercisable at such time or times and subject to such terms and conditions as applicable to the related Stock Options.</w:t>
      </w:r>
    </w:p>
    <w:p>
      <w:pPr>
        <w:spacing w:after="0" w:line="157" w:lineRule="exact"/>
        <w:rPr>
          <w:rFonts w:ascii="Arial" w:cs="Arial" w:eastAsia="Arial" w:hAnsi="Arial"/>
          <w:sz w:val="19"/>
          <w:szCs w:val="19"/>
          <w:color w:val="auto"/>
        </w:rPr>
      </w:pPr>
    </w:p>
    <w:p>
      <w:pPr>
        <w:ind w:left="1680" w:hanging="564"/>
        <w:spacing w:after="0"/>
        <w:tabs>
          <w:tab w:leader="none" w:pos="1680"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Term.</w:t>
      </w:r>
    </w:p>
    <w:p>
      <w:pPr>
        <w:spacing w:after="0" w:line="190" w:lineRule="exact"/>
        <w:rPr>
          <w:rFonts w:ascii="Arial" w:cs="Arial" w:eastAsia="Arial" w:hAnsi="Arial"/>
          <w:sz w:val="19"/>
          <w:szCs w:val="19"/>
          <w:color w:val="auto"/>
        </w:rPr>
      </w:pPr>
    </w:p>
    <w:p>
      <w:pPr>
        <w:ind w:right="340" w:firstLine="1958"/>
        <w:spacing w:after="0" w:line="266" w:lineRule="auto"/>
        <w:tabs>
          <w:tab w:leader="none" w:pos="2235" w:val="left"/>
        </w:tabs>
        <w:numPr>
          <w:ilvl w:val="1"/>
          <w:numId w:val="306"/>
        </w:numPr>
        <w:rPr>
          <w:rFonts w:ascii="Arial" w:cs="Arial" w:eastAsia="Arial" w:hAnsi="Arial"/>
          <w:sz w:val="19"/>
          <w:szCs w:val="19"/>
          <w:color w:val="auto"/>
        </w:rPr>
      </w:pPr>
      <w:r>
        <w:rPr>
          <w:rFonts w:ascii="Arial" w:cs="Arial" w:eastAsia="Arial" w:hAnsi="Arial"/>
          <w:sz w:val="19"/>
          <w:szCs w:val="19"/>
          <w:color w:val="auto"/>
        </w:rPr>
        <w:t>The term of each Free Standing Stock Appreciation Right shall be fixed by the Administrator, but no Free Standing Stock Appreciation Right shall be exercisable more than ten years after the date such right is granted.</w:t>
      </w:r>
    </w:p>
    <w:p>
      <w:pPr>
        <w:spacing w:after="0" w:line="147" w:lineRule="exact"/>
        <w:rPr>
          <w:rFonts w:ascii="Arial" w:cs="Arial" w:eastAsia="Arial" w:hAnsi="Arial"/>
          <w:sz w:val="19"/>
          <w:szCs w:val="19"/>
          <w:color w:val="auto"/>
        </w:rPr>
      </w:pPr>
    </w:p>
    <w:p>
      <w:pPr>
        <w:ind w:right="360" w:firstLine="1958"/>
        <w:spacing w:after="0" w:line="266" w:lineRule="auto"/>
        <w:tabs>
          <w:tab w:leader="none" w:pos="2240" w:val="left"/>
        </w:tabs>
        <w:numPr>
          <w:ilvl w:val="1"/>
          <w:numId w:val="306"/>
        </w:numPr>
        <w:rPr>
          <w:rFonts w:ascii="Arial" w:cs="Arial" w:eastAsia="Arial" w:hAnsi="Arial"/>
          <w:sz w:val="19"/>
          <w:szCs w:val="19"/>
          <w:color w:val="auto"/>
        </w:rPr>
      </w:pPr>
      <w:r>
        <w:rPr>
          <w:rFonts w:ascii="Arial" w:cs="Arial" w:eastAsia="Arial" w:hAnsi="Arial"/>
          <w:sz w:val="19"/>
          <w:szCs w:val="19"/>
          <w:color w:val="auto"/>
        </w:rPr>
        <w:t>The term of each Related Stock Appreciation Right shall be the term of the Stock Option to which it relates, but no Related Stock Appreciation Right shall be exercisable more than ten years after the date such right is granted.</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Section 9.</w:t>
      </w:r>
      <w:r>
        <w:rPr>
          <w:sz w:val="20"/>
          <w:szCs w:val="20"/>
          <w:color w:val="auto"/>
        </w:rPr>
        <w:tab/>
      </w:r>
      <w:r>
        <w:rPr>
          <w:rFonts w:ascii="Arial" w:cs="Arial" w:eastAsia="Arial" w:hAnsi="Arial"/>
          <w:sz w:val="16"/>
          <w:szCs w:val="16"/>
          <w:b w:val="1"/>
          <w:bCs w:val="1"/>
          <w:color w:val="auto"/>
        </w:rPr>
        <w:t>Restricted Stock.</w:t>
      </w:r>
    </w:p>
    <w:p>
      <w:pPr>
        <w:spacing w:after="0" w:line="195" w:lineRule="exact"/>
        <w:rPr>
          <w:sz w:val="20"/>
          <w:szCs w:val="20"/>
          <w:color w:val="auto"/>
        </w:rPr>
      </w:pPr>
    </w:p>
    <w:p>
      <w:pPr>
        <w:ind w:firstLine="1123"/>
        <w:spacing w:after="0" w:line="286" w:lineRule="auto"/>
        <w:rPr>
          <w:sz w:val="20"/>
          <w:szCs w:val="20"/>
          <w:color w:val="auto"/>
        </w:rPr>
      </w:pPr>
      <w:r>
        <w:rPr>
          <w:rFonts w:ascii="Arial" w:cs="Arial" w:eastAsia="Arial" w:hAnsi="Arial"/>
          <w:sz w:val="17"/>
          <w:szCs w:val="17"/>
          <w:color w:val="auto"/>
        </w:rPr>
        <w:t>Awards of Restricted Stock may be issued either alone or in addition to other Awards granted under the Plan and shall be evidenced by an award certificate. The Administrator shall determine the Eligible Recipients to whom, and the time or times at which, Restricted Stock awards shall be made; the number of shares to be awarded; the price, if any, to be paid by the Participant for the acquisition of Restricted Stock; the Restricted Period (as defined in Section 9 (c)) applicable to Restricted Stock awards; and all other conditions applicable to Restricted Stock awards. The provisions of the awards of Restricted Stock need not be the same with respect to each Participant.</w:t>
      </w:r>
    </w:p>
    <w:p>
      <w:pPr>
        <w:spacing w:after="0" w:line="133" w:lineRule="exact"/>
        <w:rPr>
          <w:sz w:val="20"/>
          <w:szCs w:val="20"/>
          <w:color w:val="auto"/>
        </w:rPr>
      </w:pPr>
    </w:p>
    <w:p>
      <w:pPr>
        <w:ind w:right="80" w:firstLine="1116"/>
        <w:spacing w:after="0" w:line="266" w:lineRule="auto"/>
        <w:tabs>
          <w:tab w:leader="none" w:pos="1486"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price per share, if any, that a Participant must pay for shares purchasable under an award of Restricted Stock shall be determined by the Administrator in its sole discretion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00"/>
          </w:cols>
          <w:pgMar w:left="320" w:top="1255" w:right="379" w:bottom="1440" w:gutter="0" w:footer="0" w:header="0"/>
        </w:sectPr>
      </w:pPr>
    </w:p>
    <w:bookmarkStart w:id="370" w:name="page371"/>
    <w:bookmarkEnd w:id="370"/>
    <w:p>
      <w:pPr>
        <w:ind w:right="100" w:firstLine="1116"/>
        <w:spacing w:after="0" w:line="281" w:lineRule="auto"/>
        <w:tabs>
          <w:tab w:leader="none" w:pos="1497"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Awards and Certificates</w:t>
      </w:r>
      <w:r>
        <w:rPr>
          <w:rFonts w:ascii="Arial" w:cs="Arial" w:eastAsia="Arial" w:hAnsi="Arial"/>
          <w:sz w:val="17"/>
          <w:szCs w:val="17"/>
          <w:color w:val="auto"/>
        </w:rPr>
        <w:t xml:space="preserve">. If such Restricted Stock is certificated, each Participant who is granted an award of Restricted Stock shall be issued a stock certificate in respect of such shares of Restricted Stock, which certificate shall be registered in the name of the Participant and shall bear an appropriate legend referring to the terms, conditions and restrictions applicable to any such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require that the stock certificates evidencing Restricted Stock granted hereunder be held in the custody of the Company until the restrictions thereon shall have lapsed, and that, as a condition of any Restricted Stock award, the Participant shall have delivered a stock power, endorsed in blank, relating to the shares covered by such Award. Uncertificated Restricted Stock shall be accompanied by a notation on the records of the Company or the transfer agent to the effect that they are subject to forfeiture until such shares of Restricted Stock are vested.</w:t>
      </w:r>
    </w:p>
    <w:p>
      <w:pPr>
        <w:spacing w:after="0" w:line="140" w:lineRule="exact"/>
        <w:rPr>
          <w:rFonts w:ascii="Arial" w:cs="Arial" w:eastAsia="Arial" w:hAnsi="Arial"/>
          <w:sz w:val="17"/>
          <w:szCs w:val="17"/>
          <w:color w:val="auto"/>
        </w:rPr>
      </w:pPr>
    </w:p>
    <w:p>
      <w:pPr>
        <w:ind w:right="20" w:firstLine="1116"/>
        <w:spacing w:after="0" w:line="263" w:lineRule="auto"/>
        <w:tabs>
          <w:tab w:leader="none" w:pos="148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Nontransferability; Restrictions</w:t>
      </w:r>
      <w:r>
        <w:rPr>
          <w:rFonts w:ascii="Arial" w:cs="Arial" w:eastAsia="Arial" w:hAnsi="Arial"/>
          <w:sz w:val="18"/>
          <w:szCs w:val="18"/>
          <w:color w:val="auto"/>
        </w:rPr>
        <w:t>. The Restricted Stock awards granted pursuant to this Section 9 shall be subject to the restrictions on transferability set forth in this Section 9(c) and Section 17(c) during such period as may be set by the Administrator in the award certificate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may, in its sole discretion, provide for the lapse of such restrictions in installments and may accelerate or waive such restrictions in whole or in part based on such factors and such circumstances as the Administrator may determine in its sole discretion. The Administrator may also impose such other restrictions and conditions, including the achievement of pre-established corporate performance goals on awarded Restricted Stock as it deems appropriate. Any attempt to dispose of any Restricted Shares in contravention of any such restrictions shall be null and void and without effect.</w:t>
      </w:r>
    </w:p>
    <w:p>
      <w:pPr>
        <w:spacing w:after="0" w:line="154" w:lineRule="exact"/>
        <w:rPr>
          <w:rFonts w:ascii="Arial" w:cs="Arial" w:eastAsia="Arial" w:hAnsi="Arial"/>
          <w:sz w:val="18"/>
          <w:szCs w:val="18"/>
          <w:color w:val="auto"/>
        </w:rPr>
      </w:pPr>
    </w:p>
    <w:p>
      <w:pPr>
        <w:ind w:firstLine="1116"/>
        <w:spacing w:after="0" w:line="249" w:lineRule="auto"/>
        <w:tabs>
          <w:tab w:leader="none" w:pos="1497" w:val="left"/>
        </w:tabs>
        <w:numPr>
          <w:ilvl w:val="0"/>
          <w:numId w:val="308"/>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Except as provided in Section 9(b) or as otherwise provided in an award certificate, the Participant shall possess all incidents of ownership with respect to shares of Restricted Stock during the Restricted Period, including the right to receive dividends with respect to such shares and to vote such shares. If certificated, certificates for unrestricted shares of Stock shall be delivered to the Participant promptly after, and only after, the Restricted Period shall expire without forfeiture in respect of such awards of Restricted Stock except as the Administrator, in its sole discretion, shall otherwise determine.</w:t>
      </w:r>
    </w:p>
    <w:p>
      <w:pPr>
        <w:spacing w:after="0" w:line="164" w:lineRule="exact"/>
        <w:rPr>
          <w:rFonts w:ascii="Arial" w:cs="Arial" w:eastAsia="Arial" w:hAnsi="Arial"/>
          <w:sz w:val="19"/>
          <w:szCs w:val="19"/>
          <w:color w:val="auto"/>
        </w:rPr>
      </w:pPr>
    </w:p>
    <w:p>
      <w:pPr>
        <w:ind w:right="40" w:firstLine="1116"/>
        <w:spacing w:after="0" w:line="286" w:lineRule="auto"/>
        <w:tabs>
          <w:tab w:leader="none" w:pos="1486"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In the event that a Participant ceases to be employed by or to provide services to any of the Company, any Parent or any Subsidiary during the Restricted Period, any rights pursuant to any Award of Restricted Stock previously granted to such Participant shall be subject to such terms and conditions as set forth in the award certificate governing such Awards. Unless otherwise provided in the award certificate, the Restricted Stock awards granted to such Participant, to the extent that restrictions have not lapsed or applicable conditions have not been met at the time of such cessation of employment or provision of services, shall expire on the date of such termination.</w:t>
      </w:r>
    </w:p>
    <w:p>
      <w:pPr>
        <w:spacing w:after="0" w:line="12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10.</w:t>
      </w:r>
      <w:r>
        <w:rPr>
          <w:sz w:val="20"/>
          <w:szCs w:val="20"/>
          <w:color w:val="auto"/>
        </w:rPr>
        <w:tab/>
      </w:r>
      <w:r>
        <w:rPr>
          <w:rFonts w:ascii="Arial" w:cs="Arial" w:eastAsia="Arial" w:hAnsi="Arial"/>
          <w:sz w:val="16"/>
          <w:szCs w:val="16"/>
          <w:b w:val="1"/>
          <w:bCs w:val="1"/>
          <w:color w:val="auto"/>
        </w:rPr>
        <w:t>Restricted Stock Units.</w:t>
      </w:r>
    </w:p>
    <w:p>
      <w:pPr>
        <w:spacing w:after="0" w:line="195" w:lineRule="exact"/>
        <w:rPr>
          <w:sz w:val="20"/>
          <w:szCs w:val="20"/>
          <w:color w:val="auto"/>
        </w:rPr>
      </w:pPr>
    </w:p>
    <w:p>
      <w:pPr>
        <w:ind w:right="140" w:firstLine="1116"/>
        <w:spacing w:after="0" w:line="294" w:lineRule="auto"/>
        <w:tabs>
          <w:tab w:leader="none" w:pos="1486"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Units</w:t>
      </w:r>
      <w:r>
        <w:rPr>
          <w:rFonts w:ascii="Arial" w:cs="Arial" w:eastAsia="Arial" w:hAnsi="Arial"/>
          <w:sz w:val="18"/>
          <w:szCs w:val="18"/>
          <w:color w:val="auto"/>
        </w:rPr>
        <w:t>. The Administrator shall determine the restrictions and conditions applicable to each Restricted Stock Unit at the time of grant. Conditions may be based on continuing employment (or other service relationship)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254" w:right="339" w:bottom="1440" w:gutter="0" w:footer="0" w:header="0"/>
        </w:sectPr>
      </w:pPr>
    </w:p>
    <w:bookmarkStart w:id="371" w:name="page372"/>
    <w:bookmarkEnd w:id="371"/>
    <w:p>
      <w:pPr>
        <w:ind w:right="180"/>
        <w:spacing w:after="0" w:line="281" w:lineRule="auto"/>
        <w:rPr>
          <w:sz w:val="20"/>
          <w:szCs w:val="20"/>
          <w:color w:val="auto"/>
        </w:rPr>
      </w:pPr>
      <w:r>
        <w:rPr>
          <w:rFonts w:ascii="Arial" w:cs="Arial" w:eastAsia="Arial" w:hAnsi="Arial"/>
          <w:sz w:val="17"/>
          <w:szCs w:val="17"/>
          <w:color w:val="auto"/>
        </w:rPr>
        <w:t xml:space="preserve">achievement of pre-established performance goals and objectives. Each grant of Restricted Stock Units shall be evidenced by an award certificate. The terms and conditions of each such grant of Restricted Stock Units shall be determined by the Administrator and such terms and conditions may differ among individual Awards and Participants. At the time and upon the terms and conditions set forth in the award certificate with respect to Restricted Stock Units, the Restricted Stock Units shall be settled in the form of shares of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in the award certificate, the Restricted Stock Units may be settled in cash or such other consideration as may be specified in such award certificate. To the extent that an award of Restricted Stock Units is subject to Section 409A of the Code, it may contain such additional terms and conditions as the Administrator shall determine in its sole discretion in order for such Award to comply with the requirements of Section 409A of the Code.</w:t>
      </w:r>
    </w:p>
    <w:p>
      <w:pPr>
        <w:spacing w:after="0" w:line="140" w:lineRule="exact"/>
        <w:rPr>
          <w:sz w:val="20"/>
          <w:szCs w:val="20"/>
          <w:color w:val="auto"/>
        </w:rPr>
      </w:pPr>
    </w:p>
    <w:p>
      <w:pPr>
        <w:ind w:right="40" w:firstLine="1116"/>
        <w:spacing w:after="0" w:line="279" w:lineRule="auto"/>
        <w:tabs>
          <w:tab w:leader="none" w:pos="1497"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Participant to elect to receive a portion of future cash compensation otherwise due to such Participant in the form of an award of Restricted Stock Units. Any such election shall be made in writing and shall be delivered to the Company no later than the date specified by the Administrator and in accordance with Section 409A of the Code and such other rules and procedures established by the Administrator. Any such future cash compensation that the Participant elects to defer shall be converted to a fixed number of Restricted Stock Units based on the Fair Market Value of Stock on the date the compensation would otherwise have been paid to the Participant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applicable award certificate.</w:t>
      </w:r>
    </w:p>
    <w:p>
      <w:pPr>
        <w:spacing w:after="0" w:line="141" w:lineRule="exact"/>
        <w:rPr>
          <w:rFonts w:ascii="Arial" w:cs="Arial" w:eastAsia="Arial" w:hAnsi="Arial"/>
          <w:sz w:val="17"/>
          <w:szCs w:val="17"/>
          <w:color w:val="auto"/>
        </w:rPr>
      </w:pPr>
    </w:p>
    <w:p>
      <w:pPr>
        <w:ind w:right="60" w:firstLine="1116"/>
        <w:spacing w:after="0" w:line="299" w:lineRule="auto"/>
        <w:tabs>
          <w:tab w:leader="none" w:pos="1486"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xml:space="preserve">. A Participant shall have the rights as a stockholder only as to shares of Stock acquired by the Participant upon settlement of Restricted Stock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Participant may be credited with Dividend Equivalent Rights with respect to the stock units underlying his Restricted Stock Units, subject to such terms and conditions as the Administrator may determine.</w:t>
      </w:r>
    </w:p>
    <w:p>
      <w:pPr>
        <w:spacing w:after="0" w:line="11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11.</w:t>
      </w:r>
      <w:r>
        <w:rPr>
          <w:sz w:val="20"/>
          <w:szCs w:val="20"/>
          <w:color w:val="auto"/>
        </w:rPr>
        <w:tab/>
      </w:r>
      <w:r>
        <w:rPr>
          <w:rFonts w:ascii="Arial" w:cs="Arial" w:eastAsia="Arial" w:hAnsi="Arial"/>
          <w:sz w:val="16"/>
          <w:szCs w:val="16"/>
          <w:b w:val="1"/>
          <w:bCs w:val="1"/>
          <w:color w:val="auto"/>
        </w:rPr>
        <w:t>Dividend Equivalent Rights</w:t>
      </w:r>
    </w:p>
    <w:p>
      <w:pPr>
        <w:spacing w:after="0" w:line="195" w:lineRule="exact"/>
        <w:rPr>
          <w:sz w:val="20"/>
          <w:szCs w:val="20"/>
          <w:color w:val="auto"/>
        </w:rPr>
      </w:pPr>
    </w:p>
    <w:p>
      <w:pPr>
        <w:ind w:firstLine="1116"/>
        <w:spacing w:after="0" w:line="263" w:lineRule="auto"/>
        <w:tabs>
          <w:tab w:leader="none" w:pos="1486"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A Dividend Equivalent Right may be granted hereunder to any Eligible Recipient as a component of an Award or as a freestanding award. The terms and conditions of Dividend Equivalent Rights shall be specified in an award certificate with respect to the Award.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as specified in the applicable Award. The Administrator may provide that Dividend Equivalent Rights may be settled in cash or shares of Stock or a combination thereof, in a single installment or installments. A Dividend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20"/>
          </w:cols>
          <w:pgMar w:left="320" w:top="1255" w:right="359" w:bottom="1440" w:gutter="0" w:footer="0" w:header="0"/>
        </w:sectPr>
      </w:pPr>
    </w:p>
    <w:bookmarkStart w:id="372" w:name="page373"/>
    <w:bookmarkEnd w:id="372"/>
    <w:p>
      <w:pPr>
        <w:ind w:right="40"/>
        <w:spacing w:after="0" w:line="251" w:lineRule="auto"/>
        <w:rPr>
          <w:sz w:val="20"/>
          <w:szCs w:val="20"/>
          <w:color w:val="auto"/>
        </w:rPr>
      </w:pPr>
      <w:r>
        <w:rPr>
          <w:rFonts w:ascii="Arial" w:cs="Arial" w:eastAsia="Arial" w:hAnsi="Arial"/>
          <w:sz w:val="19"/>
          <w:szCs w:val="19"/>
          <w:color w:val="auto"/>
        </w:rPr>
        <w:t>Right granted as a component of an Award may provide that such Dividend Equivalent Right shall be settled upon settlement or payment of, or lapse of restrictions on, such other Award, and that such Dividend Equivalent Right shall expire or be forfeited or annulled under the same conditions as such other Award. A Dividend Equivalent Right granted as a component of an Award may also contain terms and conditions different from such other Award.</w:t>
      </w:r>
    </w:p>
    <w:p>
      <w:pPr>
        <w:spacing w:after="0" w:line="162" w:lineRule="exact"/>
        <w:rPr>
          <w:sz w:val="20"/>
          <w:szCs w:val="20"/>
          <w:color w:val="auto"/>
        </w:rPr>
      </w:pPr>
    </w:p>
    <w:p>
      <w:pPr>
        <w:jc w:val="both"/>
        <w:ind w:right="280" w:firstLine="1116"/>
        <w:spacing w:after="0" w:line="251" w:lineRule="auto"/>
        <w:tabs>
          <w:tab w:leader="none" w:pos="1497"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Except as may otherwise be provided by the Administrator either in the applicable award certificate or, subject to Section 15 below, in writing after the Award is issued, a Participant’s rights in all Dividend Equivalent Rights granted as a component of an Award that has not vested shall automatically terminate upon the Participant’s termination of employment (or cessation of service relationship) with the Company and its Subsidiaries for any reason.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12.</w:t>
      </w:r>
      <w:r>
        <w:rPr>
          <w:sz w:val="20"/>
          <w:szCs w:val="20"/>
          <w:color w:val="auto"/>
        </w:rPr>
        <w:tab/>
      </w:r>
      <w:r>
        <w:rPr>
          <w:rFonts w:ascii="Arial" w:cs="Arial" w:eastAsia="Arial" w:hAnsi="Arial"/>
          <w:sz w:val="17"/>
          <w:szCs w:val="17"/>
          <w:b w:val="1"/>
          <w:bCs w:val="1"/>
          <w:color w:val="auto"/>
        </w:rPr>
        <w:t>Other Awards.</w:t>
      </w:r>
    </w:p>
    <w:p>
      <w:pPr>
        <w:spacing w:after="0" w:line="195" w:lineRule="exact"/>
        <w:rPr>
          <w:sz w:val="20"/>
          <w:szCs w:val="20"/>
          <w:color w:val="auto"/>
        </w:rPr>
      </w:pPr>
    </w:p>
    <w:p>
      <w:pPr>
        <w:ind w:firstLine="1116"/>
        <w:spacing w:after="0" w:line="275" w:lineRule="auto"/>
        <w:tabs>
          <w:tab w:leader="none" w:pos="1486"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Nature of Other Awards</w:t>
      </w:r>
      <w:r>
        <w:rPr>
          <w:rFonts w:ascii="Arial" w:cs="Arial" w:eastAsia="Arial" w:hAnsi="Arial"/>
          <w:sz w:val="17"/>
          <w:szCs w:val="17"/>
          <w:color w:val="auto"/>
        </w:rPr>
        <w:t>. Other forms of Awards (“</w:t>
      </w:r>
      <w:r>
        <w:rPr>
          <w:rFonts w:ascii="Arial" w:cs="Arial" w:eastAsia="Arial" w:hAnsi="Arial"/>
          <w:sz w:val="17"/>
          <w:szCs w:val="17"/>
          <w:u w:val="single" w:color="auto"/>
          <w:color w:val="auto"/>
        </w:rPr>
        <w:t>Other Awards</w:t>
      </w:r>
      <w:r>
        <w:rPr>
          <w:rFonts w:ascii="Arial" w:cs="Arial" w:eastAsia="Arial" w:hAnsi="Arial"/>
          <w:sz w:val="17"/>
          <w:szCs w:val="17"/>
          <w:color w:val="auto"/>
        </w:rPr>
        <w:t>”) that may be granted under the Plan include Awards that are valued in whole or in part by reference to, or are otherwise calculated by reference to or based on, shares of Stock, including without limitation: (i) Units; (ii) convertible preferred stock, convertible debentures and other convertible, exchangeable or redeemable securities or equity interests (including Units); (iii) membership interests in a Subsidiary or operating partnership; and (iv) Awards valued by reference to book value, fair value or performance parameters relative to the Company or any Subsidiary or group of Subsidiaries. For purposes of calculating the number of shares of Stock underlying an Other Award relative to the total number of shares of Stock reserved and available for issuance under Section 4, the Administrator shall establish in good faith the maximum number of shares of Stock to which a grantee of such Other Award may be entitled upon fulfillment of all applicable conditions set forth in the relevant Award documentation, including vesting, accretion factors, conversion ratios, exchange ratios and the like. If and when any such conditions are no longer capable of being met, in whole or in part, the number of shares of Stock underlying such Other Award shall be reduced accordingly by the Administrator and the related shares of Stock shall be added back to the shares of Stock available for issuance under the Plan. Other Awards may be issued either alone or in addition to other Awards granted under the Plan and shall be evidenced by an Award certificate. The Administrator shall determine the Eligible Recipients to whom, and the time or times at which, Other Awards shall be made; the number of shares of Stock or Units to be awarded; the price, if any, to be paid by the Participant for the acquisition of Other Awards; and the restrictions and conditions applicable to Other Awards. Conditions may be based on continuing employment (or other service relationship), computation of financial metrics and/or achievement of pre-established performance goals and objectives. The Administrator may require that Other Awards be held through a limited partnership or a similar “look-through” entity and the Administrator may require such limited partnership or similar entity to impose restrictions on its partners or other beneficial owners that are not inconsistent with the provisions of this Section 12. The provisions of the grant of Other Awards need not be the same with respect to each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1255" w:right="319" w:bottom="1440" w:gutter="0" w:footer="0" w:header="0"/>
        </w:sectPr>
      </w:pPr>
    </w:p>
    <w:bookmarkStart w:id="373" w:name="page374"/>
    <w:bookmarkEnd w:id="373"/>
    <w:p>
      <w:pPr>
        <w:ind w:right="20" w:firstLine="1116"/>
        <w:spacing w:after="0" w:line="266" w:lineRule="auto"/>
        <w:tabs>
          <w:tab w:leader="none" w:pos="1497"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such time as an Other Award is actually converted into, exchanged for, or paid out in shares of Stock, a Participant shall have no rights as a holder of Stock.</w:t>
      </w:r>
    </w:p>
    <w:p>
      <w:pPr>
        <w:spacing w:after="0" w:line="147" w:lineRule="exact"/>
        <w:rPr>
          <w:rFonts w:ascii="Arial" w:cs="Arial" w:eastAsia="Arial" w:hAnsi="Arial"/>
          <w:sz w:val="19"/>
          <w:szCs w:val="19"/>
          <w:color w:val="auto"/>
        </w:rPr>
      </w:pPr>
    </w:p>
    <w:p>
      <w:pPr>
        <w:ind w:right="60" w:firstLine="1116"/>
        <w:spacing w:after="0" w:line="248" w:lineRule="auto"/>
        <w:tabs>
          <w:tab w:leader="none" w:pos="1486"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In the event that a Participant ceases to be employed by or to provide services to the Company, any Parent, or any Subsidiary, any outstanding Other Awards previously granted to such Participant shall be subject to such terms and conditions as set forth in the Award certificate governing such Other Awards. Except as may otherwise be provided by the Administrator either in the Award certificate, or subject to Section 15 below, in writing after the Award certificate is issued, a Participant’s rights in all Other Awards that have not vested shall automatically terminate upon the Participant’s termination of employment (or cessation of service relationship) with the Company, its Parents and its Subsidiaries for any reason.</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13.</w:t>
      </w:r>
      <w:r>
        <w:rPr>
          <w:sz w:val="20"/>
          <w:szCs w:val="20"/>
          <w:color w:val="auto"/>
        </w:rPr>
        <w:tab/>
      </w:r>
      <w:r>
        <w:rPr>
          <w:rFonts w:ascii="Arial" w:cs="Arial" w:eastAsia="Arial" w:hAnsi="Arial"/>
          <w:sz w:val="16"/>
          <w:szCs w:val="16"/>
          <w:b w:val="1"/>
          <w:bCs w:val="1"/>
          <w:color w:val="auto"/>
        </w:rPr>
        <w:t>Cash-Based Awards.</w:t>
      </w:r>
    </w:p>
    <w:p>
      <w:pPr>
        <w:spacing w:after="0" w:line="195" w:lineRule="exact"/>
        <w:rPr>
          <w:sz w:val="20"/>
          <w:szCs w:val="20"/>
          <w:color w:val="auto"/>
        </w:rPr>
      </w:pPr>
    </w:p>
    <w:p>
      <w:pPr>
        <w:ind w:right="80" w:firstLine="1123"/>
        <w:spacing w:after="0" w:line="264" w:lineRule="auto"/>
        <w:rPr>
          <w:sz w:val="20"/>
          <w:szCs w:val="20"/>
          <w:color w:val="auto"/>
        </w:rPr>
      </w:pPr>
      <w:r>
        <w:rPr>
          <w:rFonts w:ascii="Arial" w:cs="Arial" w:eastAsia="Arial" w:hAnsi="Arial"/>
          <w:sz w:val="18"/>
          <w:szCs w:val="18"/>
          <w:color w:val="auto"/>
        </w:rPr>
        <w:t>The Administrator may grant Cash-Based Awards under the Plan. A Cash-Based Award is an Award that entitles the Participant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50"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14.</w:t>
      </w:r>
      <w:r>
        <w:rPr>
          <w:sz w:val="20"/>
          <w:szCs w:val="20"/>
          <w:color w:val="auto"/>
        </w:rPr>
        <w:tab/>
      </w:r>
      <w:r>
        <w:rPr>
          <w:rFonts w:ascii="Arial" w:cs="Arial" w:eastAsia="Arial" w:hAnsi="Arial"/>
          <w:sz w:val="16"/>
          <w:szCs w:val="16"/>
          <w:b w:val="1"/>
          <w:bCs w:val="1"/>
          <w:color w:val="auto"/>
        </w:rPr>
        <w:t>Performance Based Awards to Covered Employees.</w:t>
      </w:r>
    </w:p>
    <w:p>
      <w:pPr>
        <w:spacing w:after="0" w:line="195" w:lineRule="exact"/>
        <w:rPr>
          <w:sz w:val="20"/>
          <w:szCs w:val="20"/>
          <w:color w:val="auto"/>
        </w:rPr>
      </w:pPr>
    </w:p>
    <w:p>
      <w:pPr>
        <w:ind w:firstLine="1116"/>
        <w:spacing w:after="0" w:line="286" w:lineRule="auto"/>
        <w:tabs>
          <w:tab w:leader="none" w:pos="1486"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Performance-Based Awards</w:t>
      </w:r>
      <w:r>
        <w:rPr>
          <w:rFonts w:ascii="Arial" w:cs="Arial" w:eastAsia="Arial" w:hAnsi="Arial"/>
          <w:sz w:val="17"/>
          <w:szCs w:val="17"/>
          <w:color w:val="auto"/>
        </w:rPr>
        <w:t>. The Administrator may grant one or more Performance-Based Awards in the form of Restricted Stock, Restricted Stock Units, Other Awards or Cash-Based Awards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Each Performance-Based Award shall comply with the provisions set forth below.</w:t>
      </w:r>
    </w:p>
    <w:p>
      <w:pPr>
        <w:spacing w:after="0" w:line="133" w:lineRule="exact"/>
        <w:rPr>
          <w:rFonts w:ascii="Arial" w:cs="Arial" w:eastAsia="Arial" w:hAnsi="Arial"/>
          <w:sz w:val="17"/>
          <w:szCs w:val="17"/>
          <w:color w:val="auto"/>
        </w:rPr>
      </w:pPr>
    </w:p>
    <w:p>
      <w:pPr>
        <w:ind w:right="40" w:firstLine="1116"/>
        <w:spacing w:after="0" w:line="283" w:lineRule="auto"/>
        <w:tabs>
          <w:tab w:leader="none" w:pos="1497"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Grant of Performance-Based Awards</w:t>
      </w:r>
      <w:r>
        <w:rPr>
          <w:rFonts w:ascii="Arial" w:cs="Arial" w:eastAsia="Arial" w:hAnsi="Arial"/>
          <w:sz w:val="17"/>
          <w:szCs w:val="17"/>
          <w:color w:val="auto"/>
        </w:rPr>
        <w:t>. With respect to each Performance-Based Award granted to a Covered Employee, the Administrator shall select, within the first ninety (90) days of a Performance Cycle (or if the Performance Cycle is other than one year,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60"/>
          </w:cols>
          <w:pgMar w:left="320" w:top="1254" w:right="319" w:bottom="1440" w:gutter="0" w:footer="0" w:header="0"/>
        </w:sectPr>
      </w:pPr>
    </w:p>
    <w:bookmarkStart w:id="374" w:name="page375"/>
    <w:bookmarkEnd w:id="374"/>
    <w:p>
      <w:pPr>
        <w:ind w:right="700"/>
        <w:spacing w:after="0" w:line="266" w:lineRule="auto"/>
        <w:rPr>
          <w:sz w:val="20"/>
          <w:szCs w:val="20"/>
          <w:color w:val="auto"/>
        </w:rPr>
      </w:pPr>
      <w:r>
        <w:rPr>
          <w:rFonts w:ascii="Arial" w:cs="Arial" w:eastAsia="Arial" w:hAnsi="Arial"/>
          <w:sz w:val="19"/>
          <w:szCs w:val="19"/>
          <w:color w:val="auto"/>
        </w:rPr>
        <w:t>different for each Performance Cycle and different Performance Goals may be applicable to Performance-Based Awards to different Covered Employees.</w:t>
      </w:r>
    </w:p>
    <w:p>
      <w:pPr>
        <w:spacing w:after="0" w:line="147" w:lineRule="exact"/>
        <w:rPr>
          <w:sz w:val="20"/>
          <w:szCs w:val="20"/>
          <w:color w:val="auto"/>
        </w:rPr>
      </w:pPr>
    </w:p>
    <w:p>
      <w:pPr>
        <w:ind w:right="340" w:firstLine="1116"/>
        <w:spacing w:after="0" w:line="269" w:lineRule="auto"/>
        <w:tabs>
          <w:tab w:leader="none" w:pos="1486"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w:t>
      </w:r>
    </w:p>
    <w:p>
      <w:pPr>
        <w:spacing w:after="0" w:line="147" w:lineRule="exact"/>
        <w:rPr>
          <w:rFonts w:ascii="Arial" w:cs="Arial" w:eastAsia="Arial" w:hAnsi="Arial"/>
          <w:sz w:val="18"/>
          <w:szCs w:val="18"/>
          <w:color w:val="auto"/>
        </w:rPr>
      </w:pPr>
    </w:p>
    <w:p>
      <w:pPr>
        <w:jc w:val="both"/>
        <w:ind w:right="100" w:firstLine="1116"/>
        <w:spacing w:after="0" w:line="255" w:lineRule="auto"/>
        <w:tabs>
          <w:tab w:leader="none" w:pos="1497"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Maximum Award Payable</w:t>
      </w:r>
      <w:r>
        <w:rPr>
          <w:rFonts w:ascii="Arial" w:cs="Arial" w:eastAsia="Arial" w:hAnsi="Arial"/>
          <w:sz w:val="19"/>
          <w:szCs w:val="19"/>
          <w:color w:val="auto"/>
        </w:rPr>
        <w:t>. The maximum Performance-Based Award payable to any one Covered Employee under the Plan for a Performance Cycle is the Initial Limit (subject to adjustment as provided in Section 5(a) hereof) or $100,000,000 in the case of a Performance-Based Award that is payable in cash.</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15.</w:t>
      </w:r>
      <w:r>
        <w:rPr>
          <w:sz w:val="20"/>
          <w:szCs w:val="20"/>
          <w:color w:val="auto"/>
        </w:rPr>
        <w:tab/>
      </w:r>
      <w:r>
        <w:rPr>
          <w:rFonts w:ascii="Arial" w:cs="Arial" w:eastAsia="Arial" w:hAnsi="Arial"/>
          <w:sz w:val="17"/>
          <w:szCs w:val="17"/>
          <w:b w:val="1"/>
          <w:bCs w:val="1"/>
          <w:color w:val="auto"/>
        </w:rPr>
        <w:t>Amendment and Termination.</w:t>
      </w:r>
    </w:p>
    <w:p>
      <w:pPr>
        <w:spacing w:after="0" w:line="195" w:lineRule="exact"/>
        <w:rPr>
          <w:sz w:val="20"/>
          <w:szCs w:val="20"/>
          <w:color w:val="auto"/>
        </w:rPr>
      </w:pPr>
    </w:p>
    <w:p>
      <w:pPr>
        <w:ind w:right="80" w:firstLine="1123"/>
        <w:spacing w:after="0" w:line="278"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Participant’s consent. Except as provided in Section 5, in no event may the Administrator exercise its discretion to reduce the exercise price of outstanding Stock Options or Stock Appreciation Rights or cancel, exchange, substitute, buyout or surrender outstanding Stock Options or Stock Appreciation Rights in exchange for cash, other awards or Stock Options or Stock Appreciation Rights with an exercise price that is less than the exercise price of the original Stock Options or Stock Appreciation Rights without shareholder approval. The Board, in its discretion, may determine to make any Plan amendments subject to approval by the Company’s stockholders for purposes of complying with applicable stock exchange requirements, ensuring that compensation earned under Awards qualifies as performance-based compensation under Section 162(m) of the Code or ensuring that Incentive Stock Options granted under the Plan are qualified under Section 422 of the Code. Nothing in this Section 15 shall limit the Administrator’s authority to take any action permitted pursuant to Section 5.</w:t>
      </w:r>
    </w:p>
    <w:p>
      <w:pPr>
        <w:spacing w:after="0" w:line="141"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16.</w:t>
      </w:r>
      <w:r>
        <w:rPr>
          <w:sz w:val="20"/>
          <w:szCs w:val="20"/>
          <w:color w:val="auto"/>
        </w:rPr>
        <w:tab/>
      </w:r>
      <w:r>
        <w:rPr>
          <w:rFonts w:ascii="Arial" w:cs="Arial" w:eastAsia="Arial" w:hAnsi="Arial"/>
          <w:sz w:val="16"/>
          <w:szCs w:val="16"/>
          <w:b w:val="1"/>
          <w:bCs w:val="1"/>
          <w:color w:val="auto"/>
        </w:rPr>
        <w:t>Unfunded Status of Plan.</w:t>
      </w:r>
    </w:p>
    <w:p>
      <w:pPr>
        <w:spacing w:after="0" w:line="195" w:lineRule="exact"/>
        <w:rPr>
          <w:sz w:val="20"/>
          <w:szCs w:val="20"/>
          <w:color w:val="auto"/>
        </w:rPr>
      </w:pPr>
    </w:p>
    <w:p>
      <w:pPr>
        <w:ind w:right="100" w:firstLine="1123"/>
        <w:spacing w:after="0" w:line="255" w:lineRule="auto"/>
        <w:rPr>
          <w:sz w:val="20"/>
          <w:szCs w:val="20"/>
          <w:color w:val="auto"/>
        </w:rPr>
      </w:pPr>
      <w:r>
        <w:rPr>
          <w:rFonts w:ascii="Arial" w:cs="Arial" w:eastAsia="Arial" w:hAnsi="Arial"/>
          <w:sz w:val="19"/>
          <w:szCs w:val="19"/>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17.</w:t>
      </w:r>
      <w:r>
        <w:rPr>
          <w:sz w:val="20"/>
          <w:szCs w:val="20"/>
          <w:color w:val="auto"/>
        </w:rPr>
        <w:tab/>
      </w:r>
      <w:r>
        <w:rPr>
          <w:rFonts w:ascii="Arial" w:cs="Arial" w:eastAsia="Arial" w:hAnsi="Arial"/>
          <w:sz w:val="16"/>
          <w:szCs w:val="16"/>
          <w:b w:val="1"/>
          <w:bCs w:val="1"/>
          <w:color w:val="auto"/>
        </w:rPr>
        <w:t>General Provisions.</w:t>
      </w:r>
    </w:p>
    <w:p>
      <w:pPr>
        <w:spacing w:after="0" w:line="195" w:lineRule="exact"/>
        <w:rPr>
          <w:sz w:val="20"/>
          <w:szCs w:val="20"/>
          <w:color w:val="auto"/>
        </w:rPr>
      </w:pPr>
    </w:p>
    <w:p>
      <w:pPr>
        <w:ind w:firstLine="1116"/>
        <w:spacing w:after="0" w:line="255" w:lineRule="auto"/>
        <w:tabs>
          <w:tab w:leader="none" w:pos="1486"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Securities Laws Compliance</w:t>
      </w:r>
      <w:r>
        <w:rPr>
          <w:rFonts w:ascii="Arial" w:cs="Arial" w:eastAsia="Arial" w:hAnsi="Arial"/>
          <w:sz w:val="19"/>
          <w:szCs w:val="19"/>
          <w:color w:val="auto"/>
        </w:rPr>
        <w:t>. Shares of Stock shall not be issued pursuant to the exercise or settlement of any Award granted hereunder unless the exercise or settlement of such Award and the issuance and delivery of such shares of Stock pursuant thereto shall comply with all relevant provisions of law, including, without limitation, the Securities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1255" w:right="319" w:bottom="1440" w:gutter="0" w:footer="0" w:header="0"/>
        </w:sectPr>
      </w:pPr>
    </w:p>
    <w:bookmarkStart w:id="375" w:name="page376"/>
    <w:bookmarkEnd w:id="375"/>
    <w:p>
      <w:pPr>
        <w:ind w:right="40"/>
        <w:spacing w:after="0" w:line="255" w:lineRule="auto"/>
        <w:rPr>
          <w:sz w:val="20"/>
          <w:szCs w:val="20"/>
          <w:color w:val="auto"/>
        </w:rPr>
      </w:pPr>
      <w:r>
        <w:rPr>
          <w:rFonts w:ascii="Arial" w:cs="Arial" w:eastAsia="Arial" w:hAnsi="Arial"/>
          <w:sz w:val="19"/>
          <w:szCs w:val="19"/>
          <w:color w:val="auto"/>
        </w:rPr>
        <w:t>Exchange Act and the requirements of any stock exchange upon which the Stock may then be listed and shall be further subject to the approval of counsel for the Company with respect to such compliance. Stock Option exercises and other Awards under the Plan shall be subject to the Company’s insider trading policy and procedures, as in effect from time-to-time.</w:t>
      </w:r>
    </w:p>
    <w:p>
      <w:pPr>
        <w:spacing w:after="0" w:line="157" w:lineRule="exact"/>
        <w:rPr>
          <w:sz w:val="20"/>
          <w:szCs w:val="20"/>
          <w:color w:val="auto"/>
        </w:rPr>
      </w:pPr>
    </w:p>
    <w:p>
      <w:pPr>
        <w:ind w:right="20" w:firstLine="1116"/>
        <w:spacing w:after="0" w:line="276" w:lineRule="auto"/>
        <w:tabs>
          <w:tab w:leader="none" w:pos="1497"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Delivery of Stock</w:t>
      </w:r>
      <w:r>
        <w:rPr>
          <w:rFonts w:ascii="Arial" w:cs="Arial" w:eastAsia="Arial" w:hAnsi="Arial"/>
          <w:sz w:val="17"/>
          <w:szCs w:val="17"/>
          <w:color w:val="auto"/>
        </w:rPr>
        <w:t>. Certificated Stock granted under this Plan shall be deemed delivered for all purposes when the Company or a stock transfer agent of the Company shall have mailed certificates evidencing such Stock in the United States mail, addressed to the Participant, at the Participant’s last known address on file with the Company. Uncertificated Stock shall be deemed delivered for all purposes when the Company or a transfer agent of the Company shall have given to the Participant by electronic mail (with proof of receipt) or by United States mail, addressed to the Participant, at the Participant’s last known address on file with the Company, notice of issuance and recorded the issuance in its records (which may include electronic “book entry” records). Notwithstanding anything herein to the contrary, the Company shall not be required to issue or deliver any Stock pursuant to the exercise of any Award, unless and until the Administrator has determined, with advice of counsel (to the extent the Administrator deems such advice necessary or advisable), that the issuance and delivery of such Stock is in compliance with all applicable laws, regulations of governmental authorities and, if applicable, the requirements of any exchange on which the shares of Stock are listed, quoted or traded. All Stock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45" w:lineRule="exact"/>
        <w:rPr>
          <w:rFonts w:ascii="Arial" w:cs="Arial" w:eastAsia="Arial" w:hAnsi="Arial"/>
          <w:sz w:val="17"/>
          <w:szCs w:val="17"/>
          <w:color w:val="auto"/>
        </w:rPr>
      </w:pPr>
    </w:p>
    <w:p>
      <w:pPr>
        <w:ind w:left="1480" w:hanging="364"/>
        <w:spacing w:after="0"/>
        <w:tabs>
          <w:tab w:leader="none" w:pos="1480"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firstLine="1958"/>
        <w:spacing w:after="0" w:line="249" w:lineRule="auto"/>
        <w:tabs>
          <w:tab w:leader="none" w:pos="2297" w:val="left"/>
        </w:tabs>
        <w:numPr>
          <w:ilvl w:val="1"/>
          <w:numId w:val="318"/>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17(c)(ii) below, during a Participant’s lifetime, his or her Awards shall be exercisable only by the Participant or by the Participant’s legal representative or guardian in the event of the Participant’s incapacity. No Awards shall be sold, assigned, transferred or otherwise encumbered or disposed of by a Participant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64" w:lineRule="exact"/>
        <w:rPr>
          <w:rFonts w:ascii="Arial" w:cs="Arial" w:eastAsia="Arial" w:hAnsi="Arial"/>
          <w:sz w:val="19"/>
          <w:szCs w:val="19"/>
          <w:color w:val="auto"/>
        </w:rPr>
      </w:pPr>
    </w:p>
    <w:p>
      <w:pPr>
        <w:jc w:val="both"/>
        <w:ind w:right="100" w:firstLine="1958"/>
        <w:spacing w:after="0" w:line="255" w:lineRule="auto"/>
        <w:tabs>
          <w:tab w:leader="none" w:pos="2349" w:val="left"/>
        </w:tabs>
        <w:numPr>
          <w:ilvl w:val="1"/>
          <w:numId w:val="318"/>
        </w:numPr>
        <w:rPr>
          <w:rFonts w:ascii="Arial" w:cs="Arial" w:eastAsia="Arial" w:hAnsi="Arial"/>
          <w:sz w:val="19"/>
          <w:szCs w:val="19"/>
          <w:color w:val="auto"/>
        </w:rPr>
      </w:pPr>
      <w:r>
        <w:rPr>
          <w:rFonts w:ascii="Arial" w:cs="Arial" w:eastAsia="Arial" w:hAnsi="Arial"/>
          <w:sz w:val="19"/>
          <w:szCs w:val="19"/>
          <w:u w:val="single" w:color="auto"/>
          <w:color w:val="auto"/>
        </w:rPr>
        <w:t>Administrator Action</w:t>
      </w:r>
      <w:r>
        <w:rPr>
          <w:rFonts w:ascii="Arial" w:cs="Arial" w:eastAsia="Arial" w:hAnsi="Arial"/>
          <w:sz w:val="19"/>
          <w:szCs w:val="19"/>
          <w:color w:val="auto"/>
        </w:rPr>
        <w:t>. Notwithstanding Section 17(c)(i), the Administrator, in its discretion, may provide either in the award certificate regarding a given Award or by subsequent written approval that the Participant (who is an employee or director) may transfer his or her Awards (other than any Incentive Stock Options or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254" w:right="339" w:bottom="1440" w:gutter="0" w:footer="0" w:header="0"/>
        </w:sectPr>
      </w:pPr>
    </w:p>
    <w:bookmarkStart w:id="376" w:name="page377"/>
    <w:bookmarkEnd w:id="376"/>
    <w:p>
      <w:pPr>
        <w:spacing w:after="0" w:line="255" w:lineRule="auto"/>
        <w:rPr>
          <w:sz w:val="20"/>
          <w:szCs w:val="20"/>
          <w:color w:val="auto"/>
        </w:rPr>
      </w:pPr>
      <w:r>
        <w:rPr>
          <w:rFonts w:ascii="Arial" w:cs="Arial" w:eastAsia="Arial" w:hAnsi="Arial"/>
          <w:sz w:val="19"/>
          <w:szCs w:val="19"/>
          <w:color w:val="auto"/>
        </w:rPr>
        <w:t xml:space="preserve">Units) to his or her immediate family members, to trusts for the benefit of such family members, or to partnerships in which such family members are the only partners,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transferee agrees in writing with the Company to be bound by all of the terms and conditions of this Plan and the applicable Award. In no event may an Award be transferred by a Participant for value.</w:t>
      </w:r>
    </w:p>
    <w:p>
      <w:pPr>
        <w:spacing w:after="0" w:line="157" w:lineRule="exact"/>
        <w:rPr>
          <w:sz w:val="20"/>
          <w:szCs w:val="20"/>
          <w:color w:val="auto"/>
        </w:rPr>
      </w:pPr>
    </w:p>
    <w:p>
      <w:pPr>
        <w:ind w:right="120" w:firstLine="1958"/>
        <w:spacing w:after="0" w:line="248" w:lineRule="auto"/>
        <w:tabs>
          <w:tab w:leader="none" w:pos="2401" w:val="left"/>
        </w:tabs>
        <w:numPr>
          <w:ilvl w:val="1"/>
          <w:numId w:val="319"/>
        </w:numPr>
        <w:rPr>
          <w:rFonts w:ascii="Arial" w:cs="Arial" w:eastAsia="Arial" w:hAnsi="Arial"/>
          <w:sz w:val="19"/>
          <w:szCs w:val="19"/>
          <w:color w:val="auto"/>
        </w:rPr>
      </w:pPr>
      <w:r>
        <w:rPr>
          <w:rFonts w:ascii="Arial" w:cs="Arial" w:eastAsia="Arial" w:hAnsi="Arial"/>
          <w:sz w:val="19"/>
          <w:szCs w:val="19"/>
          <w:u w:val="single" w:color="auto"/>
          <w:color w:val="auto"/>
        </w:rPr>
        <w:t>Family Member</w:t>
      </w:r>
      <w:r>
        <w:rPr>
          <w:rFonts w:ascii="Arial" w:cs="Arial" w:eastAsia="Arial" w:hAnsi="Arial"/>
          <w:sz w:val="19"/>
          <w:szCs w:val="19"/>
          <w:color w:val="auto"/>
        </w:rPr>
        <w:t>. For purposes of Section 17(c)(ii), “immediate family member” shall mean a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have more than fifty percent (50%) of the beneficial interest, a foundation in which these persons (or the Participant) control the management of assets and any other entity in which these persons (or the Participant) own more than fifty percent (50%) of the voting interests.</w:t>
      </w:r>
    </w:p>
    <w:p>
      <w:pPr>
        <w:spacing w:after="0" w:line="165" w:lineRule="exact"/>
        <w:rPr>
          <w:rFonts w:ascii="Arial" w:cs="Arial" w:eastAsia="Arial" w:hAnsi="Arial"/>
          <w:sz w:val="19"/>
          <w:szCs w:val="19"/>
          <w:color w:val="auto"/>
        </w:rPr>
      </w:pPr>
    </w:p>
    <w:p>
      <w:pPr>
        <w:ind w:right="60" w:firstLine="1958"/>
        <w:spacing w:after="0" w:line="249" w:lineRule="auto"/>
        <w:tabs>
          <w:tab w:leader="none" w:pos="2390" w:val="left"/>
        </w:tabs>
        <w:numPr>
          <w:ilvl w:val="1"/>
          <w:numId w:val="319"/>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Each Participant to whom an Award has been made under the Plan may designate a beneficiary or beneficiaries to exercise any Award or receive any payment under any Award payable on or after the Participant’s death. Any such designation shall be on a form provided for that purpose by the Administrator and shall not be effective until received by the Administrator. If no beneficiary has been designated by a deceased Participant or if the designated beneficiaries have predeceased the Participant, the beneficiary shall be the Participant’s estate.</w:t>
      </w:r>
    </w:p>
    <w:p>
      <w:pPr>
        <w:spacing w:after="0" w:line="164" w:lineRule="exact"/>
        <w:rPr>
          <w:rFonts w:ascii="Arial" w:cs="Arial" w:eastAsia="Arial" w:hAnsi="Arial"/>
          <w:sz w:val="19"/>
          <w:szCs w:val="19"/>
          <w:color w:val="auto"/>
        </w:rPr>
      </w:pPr>
    </w:p>
    <w:p>
      <w:pPr>
        <w:ind w:right="20" w:firstLine="1116"/>
        <w:spacing w:after="0" w:line="286" w:lineRule="auto"/>
        <w:tabs>
          <w:tab w:leader="none" w:pos="1497"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Company Actions; No Right to Employment</w:t>
      </w:r>
      <w:r>
        <w:rPr>
          <w:rFonts w:ascii="Arial" w:cs="Arial" w:eastAsia="Arial" w:hAnsi="Arial"/>
          <w:sz w:val="17"/>
          <w:szCs w:val="17"/>
          <w:color w:val="auto"/>
        </w:rPr>
        <w:t>. Nothing contained in the Plan shall prevent the Board from adopting other or additional compensation arrangements, subject to stockholder approval, if such approval is necessary and desirable; and such arrangements may be either generally applicable or applicable only in specific cases. The adoption of the Plan shall not confer upon any Eligible Recipient any right to continued employment or service with the Company or any Parent or Subsidiary, as the case may be, nor shall it interfere in any way with the right of the Company or any Parent or Subsidiary to terminate the employment or service of any of its Eligible Recipients at any time.</w:t>
      </w:r>
    </w:p>
    <w:p>
      <w:pPr>
        <w:spacing w:after="0" w:line="133" w:lineRule="exact"/>
        <w:rPr>
          <w:rFonts w:ascii="Arial" w:cs="Arial" w:eastAsia="Arial" w:hAnsi="Arial"/>
          <w:sz w:val="17"/>
          <w:szCs w:val="17"/>
          <w:color w:val="auto"/>
        </w:rPr>
      </w:pPr>
    </w:p>
    <w:p>
      <w:pPr>
        <w:ind w:right="20" w:firstLine="1116"/>
        <w:spacing w:after="0" w:line="280" w:lineRule="auto"/>
        <w:tabs>
          <w:tab w:leader="none" w:pos="1486"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Each Participant shall, no later than the date as of which the value of an Award first becomes includible in the gross income of the Participant for Federal income tax purposes, pay to the Company or make arrangements satisfactory to the Administrator regarding payment of any federal, state or local taxes of any kind required by law to be withheld with respect to such Award. The obligations of the Company under the Plan shall be conditional on the making of such payments or arrangements, and the Company shall, to the extent permitted by law, have the right to deduct any such taxes from any payment of any kind otherwise due to the Participant. Subject to approval by the Administrator, a Participant may elect to have the minimum tax withholding obligation satisfied, in whole or in part, by authorizing the Company to withhold from shares of Stock to be issued pursuant to any Award a number of shares with an aggregate Fair Market Value (as of the date the withholding is effected) that would satisfy the minimum withholding amount due. The Administrator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00"/>
          </w:cols>
          <w:pgMar w:left="320" w:top="1254" w:right="379" w:bottom="1440" w:gutter="0" w:footer="0" w:header="0"/>
        </w:sectPr>
      </w:pPr>
    </w:p>
    <w:bookmarkStart w:id="377" w:name="page378"/>
    <w:bookmarkEnd w:id="377"/>
    <w:p>
      <w:pPr>
        <w:ind w:right="360"/>
        <w:spacing w:after="0" w:line="325" w:lineRule="auto"/>
        <w:rPr>
          <w:sz w:val="20"/>
          <w:szCs w:val="20"/>
          <w:color w:val="auto"/>
        </w:rPr>
      </w:pPr>
      <w:r>
        <w:rPr>
          <w:rFonts w:ascii="Arial" w:cs="Arial" w:eastAsia="Arial" w:hAnsi="Arial"/>
          <w:sz w:val="17"/>
          <w:szCs w:val="17"/>
          <w:color w:val="auto"/>
        </w:rPr>
        <w:t>require Awards to be subject to mandatory share withholding up to the required withholding amount. For purposes of share withholding, the Fair Market Value of withheld shares shall be determined in the same manner as the value of Stock includible in income of the Participants.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18.</w:t>
      </w:r>
      <w:r>
        <w:rPr>
          <w:sz w:val="20"/>
          <w:szCs w:val="20"/>
          <w:color w:val="auto"/>
        </w:rPr>
        <w:tab/>
      </w:r>
      <w:r>
        <w:rPr>
          <w:rFonts w:ascii="Arial" w:cs="Arial" w:eastAsia="Arial" w:hAnsi="Arial"/>
          <w:sz w:val="17"/>
          <w:szCs w:val="17"/>
          <w:b w:val="1"/>
          <w:bCs w:val="1"/>
          <w:color w:val="auto"/>
        </w:rPr>
        <w:t>Effective Date of Plan.</w:t>
      </w:r>
    </w:p>
    <w:p>
      <w:pPr>
        <w:spacing w:after="0" w:line="195" w:lineRule="exact"/>
        <w:rPr>
          <w:sz w:val="20"/>
          <w:szCs w:val="20"/>
          <w:color w:val="auto"/>
        </w:rPr>
      </w:pPr>
    </w:p>
    <w:p>
      <w:pPr>
        <w:ind w:firstLine="1123"/>
        <w:spacing w:after="0" w:line="286" w:lineRule="auto"/>
        <w:rPr>
          <w:sz w:val="20"/>
          <w:szCs w:val="20"/>
          <w:color w:val="auto"/>
        </w:rPr>
      </w:pPr>
      <w:r>
        <w:rPr>
          <w:rFonts w:ascii="Arial" w:cs="Arial" w:eastAsia="Arial" w:hAnsi="Arial"/>
          <w:sz w:val="17"/>
          <w:szCs w:val="17"/>
          <w:color w:val="auto"/>
        </w:rPr>
        <w:t>This Plan was approved by the board of directors of NorthStar Asset Management Group Inc. on March 28, 2014, and became effective upon approval by the stockholders of NorthStar Asset Management Group Inc. on March 28, 2014, in accordance with applicable state law, the bylaws and articles of incorporation of NorthStar Asset Management Group Inc. and applicable stock exchange rules. No grants of Stock Options and other Awards may be made hereunder after the tenth anniversary of the Effective Date and no grants of Incentive Stock Options may be made hereunder after the tenth anniversary of the date the amended and restated Plan is approved by the Board.</w:t>
      </w:r>
    </w:p>
    <w:p>
      <w:pPr>
        <w:spacing w:after="0" w:line="12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19.</w:t>
      </w:r>
      <w:r>
        <w:rPr>
          <w:sz w:val="20"/>
          <w:szCs w:val="20"/>
          <w:color w:val="auto"/>
        </w:rPr>
        <w:tab/>
      </w:r>
      <w:r>
        <w:rPr>
          <w:rFonts w:ascii="Arial" w:cs="Arial" w:eastAsia="Arial" w:hAnsi="Arial"/>
          <w:sz w:val="17"/>
          <w:szCs w:val="17"/>
          <w:b w:val="1"/>
          <w:bCs w:val="1"/>
          <w:color w:val="auto"/>
        </w:rPr>
        <w:t>Term of Plan.</w:t>
      </w:r>
    </w:p>
    <w:p>
      <w:pPr>
        <w:spacing w:after="0" w:line="195" w:lineRule="exact"/>
        <w:rPr>
          <w:sz w:val="20"/>
          <w:szCs w:val="20"/>
          <w:color w:val="auto"/>
        </w:rPr>
      </w:pPr>
    </w:p>
    <w:p>
      <w:pPr>
        <w:ind w:right="100" w:firstLine="1123"/>
        <w:spacing w:after="0" w:line="266" w:lineRule="auto"/>
        <w:rPr>
          <w:sz w:val="20"/>
          <w:szCs w:val="20"/>
          <w:color w:val="auto"/>
        </w:rPr>
      </w:pPr>
      <w:r>
        <w:rPr>
          <w:rFonts w:ascii="Arial" w:cs="Arial" w:eastAsia="Arial" w:hAnsi="Arial"/>
          <w:sz w:val="19"/>
          <w:szCs w:val="19"/>
          <w:color w:val="auto"/>
        </w:rPr>
        <w:t>No Award shall be granted pursuant to the Plan on or after the tenth anniversary of the Effective Date but Awards theretofore granted may extend beyond that date.</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Section 20.</w:t>
      </w:r>
      <w:r>
        <w:rPr>
          <w:sz w:val="20"/>
          <w:szCs w:val="20"/>
          <w:color w:val="auto"/>
        </w:rPr>
        <w:tab/>
      </w:r>
      <w:r>
        <w:rPr>
          <w:rFonts w:ascii="Arial" w:cs="Arial" w:eastAsia="Arial" w:hAnsi="Arial"/>
          <w:sz w:val="17"/>
          <w:szCs w:val="17"/>
          <w:b w:val="1"/>
          <w:bCs w:val="1"/>
          <w:color w:val="auto"/>
        </w:rPr>
        <w:t>Governing Law.</w:t>
      </w:r>
    </w:p>
    <w:p>
      <w:pPr>
        <w:spacing w:after="0" w:line="195" w:lineRule="exact"/>
        <w:rPr>
          <w:sz w:val="20"/>
          <w:szCs w:val="20"/>
          <w:color w:val="auto"/>
        </w:rPr>
      </w:pPr>
    </w:p>
    <w:p>
      <w:pPr>
        <w:ind w:right="460" w:firstLine="1123"/>
        <w:spacing w:after="0" w:line="266" w:lineRule="auto"/>
        <w:rPr>
          <w:sz w:val="20"/>
          <w:szCs w:val="20"/>
          <w:color w:val="auto"/>
        </w:rPr>
      </w:pPr>
      <w:r>
        <w:rPr>
          <w:rFonts w:ascii="Arial" w:cs="Arial" w:eastAsia="Arial" w:hAnsi="Arial"/>
          <w:sz w:val="19"/>
          <w:szCs w:val="19"/>
          <w:color w:val="auto"/>
        </w:rPr>
        <w:t>The Plan and all determinations made and actions taken pursuant hereto shall be governed by the laws of the State of New York, without giving effect to the conflict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180"/>
          </w:cols>
          <w:pgMar w:left="320" w:top="1255" w:right="399" w:bottom="1440" w:gutter="0" w:footer="0" w:header="0"/>
        </w:sectPr>
      </w:pPr>
    </w:p>
    <w:bookmarkStart w:id="378" w:name="page379"/>
    <w:bookmarkEnd w:id="378"/>
    <w:p>
      <w:pPr>
        <w:jc w:val="right"/>
        <w:spacing w:after="0"/>
        <w:rPr>
          <w:sz w:val="20"/>
          <w:szCs w:val="20"/>
          <w:color w:val="auto"/>
        </w:rPr>
      </w:pPr>
      <w:r>
        <w:rPr>
          <w:rFonts w:ascii="Arial" w:cs="Arial" w:eastAsia="Arial" w:hAnsi="Arial"/>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DIGITALBRIDGE GROUP, INC.</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LIST OF SIGNIFICANT SUBSIDIARIES</w:t>
      </w:r>
    </w:p>
    <w:p>
      <w:pPr>
        <w:sectPr>
          <w:pgSz w:w="11900" w:h="16838" w:orient="portrait"/>
          <w:cols w:equalWidth="0" w:num="1">
            <w:col w:w="10140"/>
          </w:cols>
          <w:pgMar w:left="1440" w:top="357" w:right="319" w:bottom="1440" w:gutter="0" w:footer="0" w:header="0"/>
        </w:sectPr>
      </w:pPr>
    </w:p>
    <w:bookmarkStart w:id="379" w:name="page380"/>
    <w:bookmarkEnd w:id="379"/>
    <w:p>
      <w:pPr>
        <w:jc w:val="right"/>
        <w:spacing w:after="0"/>
        <w:rPr>
          <w:sz w:val="20"/>
          <w:szCs w:val="20"/>
          <w:color w:val="auto"/>
        </w:rPr>
      </w:pPr>
      <w:r>
        <w:rPr>
          <w:rFonts w:ascii="Arial" w:cs="Arial" w:eastAsia="Arial" w:hAnsi="Arial"/>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900" w:type="dxa"/>
            <w:vAlign w:val="bottom"/>
            <w:gridSpan w:val="2"/>
          </w:tcPr>
          <w:p>
            <w:pPr>
              <w:ind w:left="40"/>
              <w:spacing w:after="0"/>
              <w:rPr>
                <w:sz w:val="20"/>
                <w:szCs w:val="20"/>
                <w:color w:val="auto"/>
              </w:rPr>
            </w:pPr>
            <w:r>
              <w:rPr>
                <w:rFonts w:ascii="Arial" w:cs="Arial" w:eastAsia="Arial" w:hAnsi="Arial"/>
                <w:sz w:val="11"/>
                <w:szCs w:val="11"/>
                <w:b w:val="1"/>
                <w:bCs w:val="1"/>
                <w:color w:val="auto"/>
              </w:rPr>
              <w:t>Subsidiary Name</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98"/>
              </w:rPr>
              <w:t>State or Jurisdiction of Formation</w:t>
            </w:r>
          </w:p>
        </w:tc>
      </w:tr>
      <w:tr>
        <w:trPr>
          <w:trHeight w:val="50"/>
        </w:trPr>
        <w:tc>
          <w:tcPr>
            <w:tcW w:w="8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26"/>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Digital Bridge Advisors,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Digital Bridge Holdings,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DCP Fund Adviser,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Digital Colony Management,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Digital Colony Management Holdings,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Colony DC Manager,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Colony Capital Digital Holdco,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198"/>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DigitalBridge Investment Holdco,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36"/>
        </w:trPr>
        <w:tc>
          <w:tcPr>
            <w:tcW w:w="8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21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DigitalBridge OP Subsidiary, LLC</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198"/>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DigitalBridge Operating Company,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36"/>
        </w:trPr>
        <w:tc>
          <w:tcPr>
            <w:tcW w:w="8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21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Healthcare GA Holdings, General Partnership</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198"/>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Healthcare GA Holdings-T,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36"/>
        </w:trPr>
        <w:tc>
          <w:tcPr>
            <w:tcW w:w="8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21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Healthcare GA Limited Partner-T, LLC</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198"/>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Healthcare GA Operating Partnership-T, LP</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36"/>
        </w:trPr>
        <w:tc>
          <w:tcPr>
            <w:tcW w:w="8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21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NorthStar Healthcare JV Holdings, LLC</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198"/>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NorthStar Healthcare JV,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36"/>
        </w:trPr>
        <w:tc>
          <w:tcPr>
            <w:tcW w:w="8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21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NRF Holdco, LLC</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198"/>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NRFC Healthcare Holding Company,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36"/>
        </w:trPr>
        <w:tc>
          <w:tcPr>
            <w:tcW w:w="8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DigitalBridge Holdings 1,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DigitalBridge Issuer,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DigitalBridge Guarantor,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zColo,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zColo Acquirer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zColo Intermediate Holdco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DataBridge Upper Parent, Inc.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Data Bridge Intermediate Holdings, LP</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Colony Zeus Partners, LP</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Colony Zeus Investor,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DataBank Holdings, Ltd</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Texas</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DB DataCenter LP Inc.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DB DataCenter Intermediate Holdings Inc.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DB DataCenter Holdings Inc.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DataBridge Parent, Inc.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Data Bridge Holdings,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Colony DBH Investor,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Vantage Data Centers,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Vantage Data Centers Holdings,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Aviator Holdings, LLC</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Aviator Holdings REIT,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Aviator Holdings, LP</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Aviator DC REIT, LLC</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DCR YieldCo Holdings, LP</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r>
        <w:trPr>
          <w:trHeight w:val="234"/>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Colony Valhalla Partners I-A Holdings, L.P.</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Delaware</w:t>
            </w:r>
          </w:p>
        </w:tc>
      </w:tr>
      <w:tr>
        <w:trPr>
          <w:trHeight w:val="233"/>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Colony Valhalla Partners I-A, L.P.</w:t>
            </w:r>
          </w:p>
        </w:tc>
        <w:tc>
          <w:tcPr>
            <w:tcW w:w="2360" w:type="dxa"/>
            <w:vAlign w:val="bottom"/>
          </w:tcPr>
          <w:p>
            <w:pPr>
              <w:jc w:val="center"/>
              <w:spacing w:after="0"/>
              <w:rPr>
                <w:sz w:val="20"/>
                <w:szCs w:val="20"/>
                <w:color w:val="auto"/>
              </w:rPr>
            </w:pPr>
            <w:r>
              <w:rPr>
                <w:rFonts w:ascii="Arial" w:cs="Arial" w:eastAsia="Arial" w:hAnsi="Arial"/>
                <w:sz w:val="16"/>
                <w:szCs w:val="16"/>
                <w:color w:val="auto"/>
                <w:w w:val="97"/>
              </w:rPr>
              <w:t>Delaware</w:t>
            </w:r>
          </w:p>
        </w:tc>
      </w:tr>
    </w:tbl>
    <w:p>
      <w:pPr>
        <w:sectPr>
          <w:pgSz w:w="11900" w:h="16838" w:orient="portrait"/>
          <w:cols w:equalWidth="0" w:num="1">
            <w:col w:w="11260"/>
          </w:cols>
          <w:pgMar w:left="320" w:top="358" w:right="3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02" w:lineRule="exact"/>
        <w:rPr>
          <w:sz w:val="20"/>
          <w:szCs w:val="20"/>
          <w:color w:val="auto"/>
        </w:rPr>
      </w:pPr>
    </w:p>
    <w:p>
      <w:pPr>
        <w:ind w:left="560" w:right="40" w:hanging="286"/>
        <w:spacing w:after="0" w:line="236" w:lineRule="auto"/>
        <w:tabs>
          <w:tab w:leader="none" w:pos="55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Registration Statement (Form S-3 ASR No. 333-235886) of DigitalBridge Group, Inc. (formerly Colony Capital, Inc.) pertaining to the registration of its class A common stock, preferred stock, depositary shares, warrants, and rights,</w:t>
      </w:r>
    </w:p>
    <w:p>
      <w:pPr>
        <w:spacing w:after="0" w:line="129" w:lineRule="exact"/>
        <w:rPr>
          <w:rFonts w:ascii="Arial" w:cs="Arial" w:eastAsia="Arial" w:hAnsi="Arial"/>
          <w:sz w:val="16"/>
          <w:szCs w:val="16"/>
          <w:color w:val="auto"/>
        </w:rPr>
      </w:pPr>
    </w:p>
    <w:p>
      <w:pPr>
        <w:ind w:left="560" w:right="200" w:hanging="286"/>
        <w:spacing w:after="0" w:line="248" w:lineRule="auto"/>
        <w:tabs>
          <w:tab w:leader="none" w:pos="55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Registration Statement (Form S-8 No. 333-253752) of DigitalBridge Group, Inc. pertaining to the DigitalBridge Group, Inc. 2014 Omnibus Stock Incentive Plan,</w:t>
      </w:r>
    </w:p>
    <w:p>
      <w:pPr>
        <w:spacing w:after="0" w:line="134" w:lineRule="exact"/>
        <w:rPr>
          <w:rFonts w:ascii="Arial" w:cs="Arial" w:eastAsia="Arial" w:hAnsi="Arial"/>
          <w:sz w:val="16"/>
          <w:szCs w:val="16"/>
          <w:color w:val="auto"/>
        </w:rPr>
      </w:pPr>
    </w:p>
    <w:p>
      <w:pPr>
        <w:ind w:left="560" w:right="200" w:hanging="286"/>
        <w:spacing w:after="0" w:line="236" w:lineRule="auto"/>
        <w:tabs>
          <w:tab w:leader="none" w:pos="55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Registration Statement (Form S-8 No. 333-215509) of DigitalBridge Group, Inc. pertaining to the DigitalBridge Group, Inc. 2014 Omnibus Stock Incentive Plan, and</w:t>
      </w:r>
    </w:p>
    <w:p>
      <w:pPr>
        <w:spacing w:after="0" w:line="129" w:lineRule="exact"/>
        <w:rPr>
          <w:rFonts w:ascii="Arial" w:cs="Arial" w:eastAsia="Arial" w:hAnsi="Arial"/>
          <w:sz w:val="16"/>
          <w:szCs w:val="16"/>
          <w:color w:val="auto"/>
        </w:rPr>
      </w:pPr>
    </w:p>
    <w:p>
      <w:pPr>
        <w:ind w:left="560" w:right="640" w:hanging="286"/>
        <w:spacing w:after="0" w:line="236" w:lineRule="auto"/>
        <w:tabs>
          <w:tab w:leader="none" w:pos="55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Registration Statement (Form S-8 No. 333-197104-01) of DigitalBridge Group, Inc. pertaining to the DigitalBridge Group, Inc. 2014 Omnibus Stock Incentive Plan;</w:t>
      </w:r>
    </w:p>
    <w:p>
      <w:pPr>
        <w:spacing w:after="0" w:line="199"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of our reports dated February 28, 2022, with respect to the consolidated financial statements of DigitalBridge Group, Inc. and the effectiveness of internal control over financial reporting of DigitalBridge Group, Inc. included in this Annual Report (Form 10-K) of DigitalBridge Group, Inc. for the year ended December 31, 2021.</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rPr>
          <w:sz w:val="20"/>
          <w:szCs w:val="20"/>
          <w:color w:val="auto"/>
        </w:rPr>
      </w:pPr>
      <w:r>
        <w:rPr>
          <w:rFonts w:ascii="Arial" w:cs="Arial" w:eastAsia="Arial" w:hAnsi="Arial"/>
          <w:sz w:val="16"/>
          <w:szCs w:val="16"/>
          <w:color w:val="auto"/>
        </w:rPr>
        <w:t>February 28, 2022</w:t>
      </w:r>
    </w:p>
    <w:p>
      <w:pPr>
        <w:sectPr>
          <w:pgSz w:w="11900" w:h="16838" w:orient="portrait"/>
          <w:cols w:equalWidth="0" w:num="1">
            <w:col w:w="11260"/>
          </w:cols>
          <w:pgMar w:left="320" w:top="332" w:right="3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6"/>
          <w:szCs w:val="16"/>
          <w:b w:val="1"/>
          <w:bCs w:val="1"/>
          <w:color w:val="auto"/>
        </w:rPr>
        <w:t>Exhibit 31.1</w:t>
      </w:r>
    </w:p>
    <w:p>
      <w:pPr>
        <w:spacing w:after="0" w:line="14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43" w:lineRule="exact"/>
        <w:rPr>
          <w:sz w:val="20"/>
          <w:szCs w:val="20"/>
          <w:color w:val="auto"/>
        </w:rPr>
      </w:pPr>
    </w:p>
    <w:p>
      <w:pPr>
        <w:ind w:left="6"/>
        <w:spacing w:after="0"/>
        <w:rPr>
          <w:sz w:val="20"/>
          <w:szCs w:val="20"/>
          <w:color w:val="auto"/>
        </w:rPr>
      </w:pPr>
      <w:r>
        <w:rPr>
          <w:rFonts w:ascii="Arial" w:cs="Arial" w:eastAsia="Arial" w:hAnsi="Arial"/>
          <w:sz w:val="16"/>
          <w:szCs w:val="16"/>
          <w:color w:val="auto"/>
        </w:rPr>
        <w:t>I, Marc C. Ganzi, certify that:</w:t>
      </w:r>
    </w:p>
    <w:p>
      <w:pPr>
        <w:spacing w:after="0" w:line="97" w:lineRule="exact"/>
        <w:rPr>
          <w:sz w:val="20"/>
          <w:szCs w:val="20"/>
          <w:color w:val="auto"/>
        </w:rPr>
      </w:pPr>
    </w:p>
    <w:p>
      <w:pPr>
        <w:ind w:left="266" w:hanging="266"/>
        <w:spacing w:after="0"/>
        <w:tabs>
          <w:tab w:leader="none" w:pos="26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DigitalBridge Group, Inc.;</w:t>
      </w:r>
    </w:p>
    <w:p>
      <w:pPr>
        <w:spacing w:after="0" w:line="96" w:lineRule="exact"/>
        <w:rPr>
          <w:rFonts w:ascii="Arial" w:cs="Arial" w:eastAsia="Arial" w:hAnsi="Arial"/>
          <w:sz w:val="16"/>
          <w:szCs w:val="16"/>
          <w:color w:val="auto"/>
        </w:rPr>
      </w:pPr>
    </w:p>
    <w:p>
      <w:pPr>
        <w:ind w:left="286" w:right="120" w:hanging="286"/>
        <w:spacing w:after="0" w:line="248" w:lineRule="auto"/>
        <w:tabs>
          <w:tab w:leader="none" w:pos="27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286" w:right="420" w:hanging="286"/>
        <w:spacing w:after="0" w:line="248" w:lineRule="auto"/>
        <w:tabs>
          <w:tab w:leader="none" w:pos="27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286" w:right="40" w:hanging="286"/>
        <w:spacing w:after="0" w:line="246" w:lineRule="auto"/>
        <w:tabs>
          <w:tab w:leader="none" w:pos="27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566" w:right="240" w:hanging="286"/>
        <w:spacing w:after="0" w:line="246" w:lineRule="auto"/>
        <w:tabs>
          <w:tab w:leader="none" w:pos="55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566" w:right="40" w:hanging="286"/>
        <w:spacing w:after="0" w:line="246" w:lineRule="auto"/>
        <w:tabs>
          <w:tab w:leader="none" w:pos="55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566" w:right="220" w:hanging="286"/>
        <w:spacing w:after="0" w:line="248" w:lineRule="auto"/>
        <w:tabs>
          <w:tab w:leader="none" w:pos="561" w:val="left"/>
        </w:tabs>
        <w:numPr>
          <w:ilvl w:val="1"/>
          <w:numId w:val="3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ind w:left="566" w:right="80" w:hanging="286"/>
        <w:spacing w:after="0" w:line="246" w:lineRule="auto"/>
        <w:tabs>
          <w:tab w:leader="none" w:pos="55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286" w:right="800" w:hanging="286"/>
        <w:spacing w:after="0" w:line="248" w:lineRule="auto"/>
        <w:tabs>
          <w:tab w:leader="none" w:pos="27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566" w:right="400" w:hanging="286"/>
        <w:spacing w:after="0" w:line="248" w:lineRule="auto"/>
        <w:tabs>
          <w:tab w:leader="none" w:pos="55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566" w:right="560" w:hanging="286"/>
        <w:spacing w:after="0" w:line="248" w:lineRule="auto"/>
        <w:tabs>
          <w:tab w:leader="none" w:pos="55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
        <w:spacing w:after="0"/>
        <w:tabs>
          <w:tab w:leader="none" w:pos="606" w:val="left"/>
          <w:tab w:leader="none" w:pos="7786" w:val="left"/>
        </w:tabs>
        <w:rPr>
          <w:sz w:val="20"/>
          <w:szCs w:val="20"/>
          <w:color w:val="auto"/>
        </w:rPr>
      </w:pPr>
      <w:r>
        <w:rPr>
          <w:rFonts w:ascii="Arial" w:cs="Arial" w:eastAsia="Arial" w:hAnsi="Arial"/>
          <w:sz w:val="16"/>
          <w:szCs w:val="16"/>
          <w:color w:val="auto"/>
        </w:rPr>
        <w:t>Date:</w:t>
        <w:tab/>
        <w:t>February 28, 2022</w:t>
      </w:r>
      <w:r>
        <w:rPr>
          <w:sz w:val="20"/>
          <w:szCs w:val="20"/>
          <w:color w:val="auto"/>
        </w:rPr>
        <w:tab/>
      </w:r>
      <w:r>
        <w:rPr>
          <w:rFonts w:ascii="Arial" w:cs="Arial" w:eastAsia="Arial" w:hAnsi="Arial"/>
          <w:sz w:val="14"/>
          <w:szCs w:val="14"/>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2540</wp:posOffset>
            </wp:positionV>
            <wp:extent cx="30518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8">
                      <a:extLst>
                        <a:ext uri="{28A0092B-C50C-407E-A947-70E740481C1C}"/>
                      </a:extLst>
                    </a:blip>
                    <a:srcRect/>
                    <a:stretch>
                      <a:fillRect/>
                    </a:stretch>
                  </pic:blipFill>
                  <pic:spPr bwMode="auto">
                    <a:xfrm>
                      <a:off x="0" y="0"/>
                      <a:ext cx="3051810" cy="7620"/>
                    </a:xfrm>
                    <a:prstGeom prst="rect">
                      <a:avLst/>
                    </a:prstGeom>
                    <a:noFill/>
                  </pic:spPr>
                </pic:pic>
              </a:graphicData>
            </a:graphic>
          </wp:anchor>
        </w:drawing>
      </w:r>
    </w:p>
    <w:p>
      <w:pPr>
        <w:ind w:left="8006"/>
        <w:spacing w:after="0"/>
        <w:rPr>
          <w:sz w:val="20"/>
          <w:szCs w:val="20"/>
          <w:color w:val="auto"/>
        </w:rPr>
      </w:pPr>
      <w:r>
        <w:rPr>
          <w:rFonts w:ascii="Arial" w:cs="Arial" w:eastAsia="Arial" w:hAnsi="Arial"/>
          <w:sz w:val="12"/>
          <w:szCs w:val="12"/>
          <w:b w:val="1"/>
          <w:bCs w:val="1"/>
          <w:color w:val="auto"/>
        </w:rPr>
        <w:t>Marc C. Ganzi</w:t>
      </w:r>
    </w:p>
    <w:p>
      <w:pPr>
        <w:ind w:left="7446"/>
        <w:spacing w:after="0"/>
        <w:rPr>
          <w:sz w:val="20"/>
          <w:szCs w:val="20"/>
          <w:color w:val="auto"/>
        </w:rPr>
      </w:pPr>
      <w:r>
        <w:rPr>
          <w:rFonts w:ascii="Arial" w:cs="Arial" w:eastAsia="Arial" w:hAnsi="Arial"/>
          <w:sz w:val="12"/>
          <w:szCs w:val="12"/>
          <w:b w:val="1"/>
          <w:bCs w:val="1"/>
          <w:color w:val="auto"/>
        </w:rPr>
        <w:t>Chief Executive Officer and President</w:t>
      </w:r>
    </w:p>
    <w:p>
      <w:pPr>
        <w:sectPr>
          <w:pgSz w:w="11900" w:h="16838" w:orient="portrait"/>
          <w:cols w:equalWidth="0" w:num="1">
            <w:col w:w="11266"/>
          </w:cols>
          <w:pgMar w:left="314" w:top="787" w:right="3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6"/>
          <w:szCs w:val="16"/>
          <w:b w:val="1"/>
          <w:bCs w:val="1"/>
          <w:color w:val="auto"/>
        </w:rPr>
        <w:t>Exhibit 31.2</w:t>
      </w:r>
    </w:p>
    <w:p>
      <w:pPr>
        <w:spacing w:after="0" w:line="14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43" w:lineRule="exact"/>
        <w:rPr>
          <w:sz w:val="20"/>
          <w:szCs w:val="20"/>
          <w:color w:val="auto"/>
        </w:rPr>
      </w:pPr>
    </w:p>
    <w:p>
      <w:pPr>
        <w:ind w:left="6"/>
        <w:spacing w:after="0"/>
        <w:rPr>
          <w:sz w:val="20"/>
          <w:szCs w:val="20"/>
          <w:color w:val="auto"/>
        </w:rPr>
      </w:pPr>
      <w:r>
        <w:rPr>
          <w:rFonts w:ascii="Arial" w:cs="Arial" w:eastAsia="Arial" w:hAnsi="Arial"/>
          <w:sz w:val="16"/>
          <w:szCs w:val="16"/>
          <w:color w:val="auto"/>
        </w:rPr>
        <w:t>I, Jacky Wu, certify that:</w:t>
      </w:r>
    </w:p>
    <w:p>
      <w:pPr>
        <w:spacing w:after="0" w:line="97" w:lineRule="exact"/>
        <w:rPr>
          <w:sz w:val="20"/>
          <w:szCs w:val="20"/>
          <w:color w:val="auto"/>
        </w:rPr>
      </w:pPr>
    </w:p>
    <w:p>
      <w:pPr>
        <w:ind w:left="266" w:hanging="266"/>
        <w:spacing w:after="0"/>
        <w:tabs>
          <w:tab w:leader="none" w:pos="26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DigitalBridge Group, Inc.;</w:t>
      </w:r>
    </w:p>
    <w:p>
      <w:pPr>
        <w:spacing w:after="0" w:line="96" w:lineRule="exact"/>
        <w:rPr>
          <w:rFonts w:ascii="Arial" w:cs="Arial" w:eastAsia="Arial" w:hAnsi="Arial"/>
          <w:sz w:val="16"/>
          <w:szCs w:val="16"/>
          <w:color w:val="auto"/>
        </w:rPr>
      </w:pPr>
    </w:p>
    <w:p>
      <w:pPr>
        <w:ind w:left="286" w:right="120" w:hanging="286"/>
        <w:spacing w:after="0" w:line="248" w:lineRule="auto"/>
        <w:tabs>
          <w:tab w:leader="none" w:pos="27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286" w:right="420" w:hanging="286"/>
        <w:spacing w:after="0" w:line="248" w:lineRule="auto"/>
        <w:tabs>
          <w:tab w:leader="none" w:pos="27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286" w:right="40" w:hanging="286"/>
        <w:spacing w:after="0" w:line="246" w:lineRule="auto"/>
        <w:tabs>
          <w:tab w:leader="none" w:pos="27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566" w:right="240" w:hanging="286"/>
        <w:spacing w:after="0" w:line="246" w:lineRule="auto"/>
        <w:tabs>
          <w:tab w:leader="none" w:pos="55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566" w:right="40" w:hanging="286"/>
        <w:spacing w:after="0" w:line="246" w:lineRule="auto"/>
        <w:tabs>
          <w:tab w:leader="none" w:pos="55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566" w:right="220" w:hanging="286"/>
        <w:spacing w:after="0" w:line="248" w:lineRule="auto"/>
        <w:tabs>
          <w:tab w:leader="none" w:pos="561" w:val="left"/>
        </w:tabs>
        <w:numPr>
          <w:ilvl w:val="1"/>
          <w:numId w:val="3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ind w:left="566" w:right="80" w:hanging="286"/>
        <w:spacing w:after="0" w:line="246" w:lineRule="auto"/>
        <w:tabs>
          <w:tab w:leader="none" w:pos="55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286" w:right="800" w:hanging="286"/>
        <w:spacing w:after="0" w:line="248" w:lineRule="auto"/>
        <w:tabs>
          <w:tab w:leader="none" w:pos="27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566" w:right="400" w:hanging="286"/>
        <w:spacing w:after="0" w:line="248" w:lineRule="auto"/>
        <w:tabs>
          <w:tab w:leader="none" w:pos="55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566" w:right="560" w:hanging="286"/>
        <w:spacing w:after="0" w:line="248" w:lineRule="auto"/>
        <w:tabs>
          <w:tab w:leader="none" w:pos="55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ind w:left="6"/>
        <w:spacing w:after="0"/>
        <w:tabs>
          <w:tab w:leader="none" w:pos="646" w:val="left"/>
          <w:tab w:leader="none" w:pos="8446"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28, 2022</w:t>
      </w:r>
      <w:r>
        <w:rPr>
          <w:sz w:val="20"/>
          <w:szCs w:val="20"/>
          <w:color w:val="auto"/>
        </w:rPr>
        <w:tab/>
      </w:r>
      <w:r>
        <w:rPr>
          <w:rFonts w:ascii="Arial" w:cs="Arial" w:eastAsia="Arial" w:hAnsi="Arial"/>
          <w:sz w:val="14"/>
          <w:szCs w:val="14"/>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2540</wp:posOffset>
            </wp:positionV>
            <wp:extent cx="294068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9">
                      <a:extLst>
                        <a:ext uri="{28A0092B-C50C-407E-A947-70E740481C1C}"/>
                      </a:extLst>
                    </a:blip>
                    <a:srcRect/>
                    <a:stretch>
                      <a:fillRect/>
                    </a:stretch>
                  </pic:blipFill>
                  <pic:spPr bwMode="auto">
                    <a:xfrm>
                      <a:off x="0" y="0"/>
                      <a:ext cx="2940685" cy="7620"/>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2"/>
          <w:szCs w:val="12"/>
          <w:b w:val="1"/>
          <w:bCs w:val="1"/>
          <w:color w:val="auto"/>
        </w:rPr>
        <w:t>Jacky Wu</w:t>
      </w:r>
    </w:p>
    <w:p>
      <w:pPr>
        <w:jc w:val="center"/>
        <w:ind w:left="6560"/>
        <w:spacing w:after="0"/>
        <w:rPr>
          <w:sz w:val="20"/>
          <w:szCs w:val="20"/>
          <w:color w:val="auto"/>
        </w:rPr>
      </w:pPr>
      <w:r>
        <w:rPr>
          <w:rFonts w:ascii="Arial" w:cs="Arial" w:eastAsia="Arial" w:hAnsi="Arial"/>
          <w:sz w:val="12"/>
          <w:szCs w:val="12"/>
          <w:b w:val="1"/>
          <w:bCs w:val="1"/>
          <w:color w:val="auto"/>
        </w:rPr>
        <w:t>Chief Financial Officer</w:t>
      </w:r>
    </w:p>
    <w:p>
      <w:pPr>
        <w:sectPr>
          <w:pgSz w:w="11900" w:h="16838" w:orient="portrait"/>
          <w:cols w:equalWidth="0" w:num="1">
            <w:col w:w="11266"/>
          </w:cols>
          <w:pgMar w:left="314" w:top="787" w:right="3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6"/>
          <w:szCs w:val="16"/>
          <w:b w:val="1"/>
          <w:bCs w:val="1"/>
          <w:color w:val="auto"/>
        </w:rPr>
        <w:t>Exhibit 32.1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43" w:lineRule="exact"/>
        <w:rPr>
          <w:sz w:val="20"/>
          <w:szCs w:val="20"/>
          <w:color w:val="auto"/>
        </w:rPr>
      </w:pPr>
    </w:p>
    <w:p>
      <w:pPr>
        <w:ind w:right="260" w:firstLine="386"/>
        <w:spacing w:after="0" w:line="246" w:lineRule="auto"/>
        <w:rPr>
          <w:sz w:val="20"/>
          <w:szCs w:val="20"/>
          <w:color w:val="auto"/>
        </w:rPr>
      </w:pPr>
      <w:r>
        <w:rPr>
          <w:rFonts w:ascii="Arial" w:cs="Arial" w:eastAsia="Arial" w:hAnsi="Arial"/>
          <w:sz w:val="16"/>
          <w:szCs w:val="16"/>
          <w:color w:val="auto"/>
        </w:rPr>
        <w:t>In connection with the Annual Report of DigitalBridge Group, Inc. (the “Company”) on Form 10-K for the year ended December 31, 2021 as filed with the Securities and Exchange Commission on the date hereof (the “Report”), I, Marc C. Ganzi, Chief Executive Officer of the Company, certify, pursuant to 18 U.S.C. §1350, as adopted pursuant to §906 of the Sarbanes-Oxley Act of 2002, that, to my knowledge:</w:t>
      </w:r>
    </w:p>
    <w:p>
      <w:pPr>
        <w:spacing w:after="0" w:line="77" w:lineRule="exact"/>
        <w:rPr>
          <w:sz w:val="20"/>
          <w:szCs w:val="20"/>
          <w:color w:val="auto"/>
        </w:rPr>
      </w:pPr>
    </w:p>
    <w:p>
      <w:pPr>
        <w:ind w:left="940" w:hanging="175"/>
        <w:spacing w:after="0"/>
        <w:tabs>
          <w:tab w:leader="none" w:pos="9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73" w:lineRule="exact"/>
        <w:rPr>
          <w:rFonts w:ascii="Arial" w:cs="Arial" w:eastAsia="Arial" w:hAnsi="Arial"/>
          <w:sz w:val="16"/>
          <w:szCs w:val="16"/>
          <w:color w:val="auto"/>
        </w:rPr>
      </w:pPr>
    </w:p>
    <w:p>
      <w:pPr>
        <w:ind w:left="980" w:hanging="215"/>
        <w:spacing w:after="0"/>
        <w:tabs>
          <w:tab w:leader="none" w:pos="9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spacing w:after="0"/>
        <w:tabs>
          <w:tab w:leader="none" w:pos="660" w:val="left"/>
          <w:tab w:leader="none" w:pos="79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28, 2022</w:t>
      </w:r>
      <w:r>
        <w:rPr>
          <w:sz w:val="20"/>
          <w:szCs w:val="20"/>
          <w:color w:val="auto"/>
        </w:rPr>
        <w:tab/>
      </w:r>
      <w:r>
        <w:rPr>
          <w:rFonts w:ascii="Arial" w:cs="Arial" w:eastAsia="Arial" w:hAnsi="Arial"/>
          <w:sz w:val="14"/>
          <w:szCs w:val="14"/>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2540</wp:posOffset>
            </wp:positionV>
            <wp:extent cx="339344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0">
                      <a:extLst>
                        <a:ext uri="{28A0092B-C50C-407E-A947-70E740481C1C}"/>
                      </a:extLst>
                    </a:blip>
                    <a:srcRect/>
                    <a:stretch>
                      <a:fillRect/>
                    </a:stretch>
                  </pic:blipFill>
                  <pic:spPr bwMode="auto">
                    <a:xfrm>
                      <a:off x="0" y="0"/>
                      <a:ext cx="3393440" cy="7620"/>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2"/>
          <w:szCs w:val="12"/>
          <w:b w:val="1"/>
          <w:bCs w:val="1"/>
          <w:color w:val="auto"/>
        </w:rPr>
        <w:t>Marc C. Ganzi</w:t>
      </w:r>
    </w:p>
    <w:p>
      <w:pPr>
        <w:jc w:val="center"/>
        <w:ind w:left="5840"/>
        <w:spacing w:after="0"/>
        <w:rPr>
          <w:sz w:val="20"/>
          <w:szCs w:val="20"/>
          <w:color w:val="auto"/>
        </w:rPr>
      </w:pPr>
      <w:r>
        <w:rPr>
          <w:rFonts w:ascii="Arial" w:cs="Arial" w:eastAsia="Arial" w:hAnsi="Arial"/>
          <w:sz w:val="12"/>
          <w:szCs w:val="12"/>
          <w:b w:val="1"/>
          <w:bCs w:val="1"/>
          <w:color w:val="auto"/>
        </w:rPr>
        <w:t>Chief Executive Officer and President</w:t>
      </w:r>
    </w:p>
    <w:p>
      <w:pPr>
        <w:spacing w:after="0" w:line="149" w:lineRule="exact"/>
        <w:rPr>
          <w:sz w:val="20"/>
          <w:szCs w:val="20"/>
          <w:color w:val="auto"/>
        </w:rPr>
      </w:pPr>
    </w:p>
    <w:p>
      <w:pPr>
        <w:jc w:val="both"/>
        <w:ind w:right="20" w:firstLine="386"/>
        <w:spacing w:after="0" w:line="246" w:lineRule="auto"/>
        <w:rPr>
          <w:sz w:val="20"/>
          <w:szCs w:val="20"/>
          <w:color w:val="auto"/>
        </w:rPr>
      </w:pPr>
      <w:r>
        <w:rPr>
          <w:rFonts w:ascii="Arial" w:cs="Arial" w:eastAsia="Arial" w:hAnsi="Arial"/>
          <w:sz w:val="16"/>
          <w:szCs w:val="16"/>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36" w:lineRule="exact"/>
        <w:rPr>
          <w:sz w:val="20"/>
          <w:szCs w:val="20"/>
          <w:color w:val="auto"/>
        </w:rPr>
      </w:pPr>
    </w:p>
    <w:p>
      <w:pPr>
        <w:ind w:right="160" w:firstLine="386"/>
        <w:spacing w:after="0" w:line="248"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60"/>
          </w:cols>
          <w:pgMar w:left="320" w:top="787" w:right="319" w:bottom="1440" w:gutter="0" w:footer="0" w:header="0"/>
        </w:sectPr>
      </w:pPr>
    </w:p>
    <w:bookmarkStart w:id="384" w:name="page385"/>
    <w:bookmarkEnd w:id="384"/>
    <w:p>
      <w:pPr>
        <w:jc w:val="right"/>
        <w:spacing w:after="0"/>
        <w:rPr>
          <w:sz w:val="20"/>
          <w:szCs w:val="20"/>
          <w:color w:val="auto"/>
        </w:rPr>
      </w:pPr>
      <w:r>
        <w:rPr>
          <w:rFonts w:ascii="Arial" w:cs="Arial" w:eastAsia="Arial" w:hAnsi="Arial"/>
          <w:sz w:val="16"/>
          <w:szCs w:val="16"/>
          <w:b w:val="1"/>
          <w:bCs w:val="1"/>
          <w:color w:val="auto"/>
        </w:rPr>
        <w:t>Exhibit 32.2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43" w:lineRule="exact"/>
        <w:rPr>
          <w:sz w:val="20"/>
          <w:szCs w:val="20"/>
          <w:color w:val="auto"/>
        </w:rPr>
      </w:pPr>
    </w:p>
    <w:p>
      <w:pPr>
        <w:ind w:right="120" w:firstLine="386"/>
        <w:spacing w:after="0" w:line="246" w:lineRule="auto"/>
        <w:rPr>
          <w:sz w:val="20"/>
          <w:szCs w:val="20"/>
          <w:color w:val="auto"/>
        </w:rPr>
      </w:pPr>
      <w:r>
        <w:rPr>
          <w:rFonts w:ascii="Arial" w:cs="Arial" w:eastAsia="Arial" w:hAnsi="Arial"/>
          <w:sz w:val="16"/>
          <w:szCs w:val="16"/>
          <w:color w:val="auto"/>
        </w:rPr>
        <w:t>In connection with the Annual Report of DigitalBridge Group, Inc. (the “Company”) on Form 10-K for the year ended December 31, 2021 as filed with the Securities and Exchange Commission on the date hereof (the “Report”), I, Jacky Wu, Chief Financial Officer of the Company, certify, pursuant to 18 U.S.C. §1350, as adopted pursuant to §906 of the Sarbanes-Oxley Act of 2002, that, to my knowledge:</w:t>
      </w:r>
    </w:p>
    <w:p>
      <w:pPr>
        <w:spacing w:after="0" w:line="77" w:lineRule="exact"/>
        <w:rPr>
          <w:sz w:val="20"/>
          <w:szCs w:val="20"/>
          <w:color w:val="auto"/>
        </w:rPr>
      </w:pPr>
    </w:p>
    <w:p>
      <w:pPr>
        <w:ind w:left="940" w:hanging="175"/>
        <w:spacing w:after="0"/>
        <w:tabs>
          <w:tab w:leader="none" w:pos="9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73" w:lineRule="exact"/>
        <w:rPr>
          <w:rFonts w:ascii="Arial" w:cs="Arial" w:eastAsia="Arial" w:hAnsi="Arial"/>
          <w:sz w:val="16"/>
          <w:szCs w:val="16"/>
          <w:color w:val="auto"/>
        </w:rPr>
      </w:pPr>
    </w:p>
    <w:p>
      <w:pPr>
        <w:ind w:left="980" w:hanging="215"/>
        <w:spacing w:after="0"/>
        <w:tabs>
          <w:tab w:leader="none" w:pos="98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spacing w:after="0"/>
        <w:tabs>
          <w:tab w:leader="none" w:pos="660" w:val="left"/>
          <w:tab w:leader="none" w:pos="81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28, 2022</w:t>
      </w:r>
      <w:r>
        <w:rPr>
          <w:sz w:val="20"/>
          <w:szCs w:val="20"/>
          <w:color w:val="auto"/>
        </w:rPr>
        <w:tab/>
      </w:r>
      <w:r>
        <w:rPr>
          <w:rFonts w:ascii="Arial" w:cs="Arial" w:eastAsia="Arial" w:hAnsi="Arial"/>
          <w:sz w:val="14"/>
          <w:szCs w:val="14"/>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2540</wp:posOffset>
            </wp:positionV>
            <wp:extent cx="334137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1">
                      <a:extLst>
                        <a:ext uri="{28A0092B-C50C-407E-A947-70E740481C1C}"/>
                      </a:extLst>
                    </a:blip>
                    <a:srcRect/>
                    <a:stretch>
                      <a:fillRect/>
                    </a:stretch>
                  </pic:blipFill>
                  <pic:spPr bwMode="auto">
                    <a:xfrm>
                      <a:off x="0" y="0"/>
                      <a:ext cx="3341370" cy="7620"/>
                    </a:xfrm>
                    <a:prstGeom prst="rect">
                      <a:avLst/>
                    </a:prstGeom>
                    <a:noFill/>
                  </pic:spPr>
                </pic:pic>
              </a:graphicData>
            </a:graphic>
          </wp:anchor>
        </w:drawing>
      </w:r>
    </w:p>
    <w:p>
      <w:pPr>
        <w:jc w:val="center"/>
        <w:ind w:left="5920"/>
        <w:spacing w:after="0"/>
        <w:rPr>
          <w:sz w:val="20"/>
          <w:szCs w:val="20"/>
          <w:color w:val="auto"/>
        </w:rPr>
      </w:pPr>
      <w:r>
        <w:rPr>
          <w:rFonts w:ascii="Arial" w:cs="Arial" w:eastAsia="Arial" w:hAnsi="Arial"/>
          <w:sz w:val="12"/>
          <w:szCs w:val="12"/>
          <w:b w:val="1"/>
          <w:bCs w:val="1"/>
          <w:color w:val="auto"/>
        </w:rPr>
        <w:t>Jacky Wu</w:t>
      </w:r>
    </w:p>
    <w:p>
      <w:pPr>
        <w:jc w:val="center"/>
        <w:ind w:left="5920"/>
        <w:spacing w:after="0"/>
        <w:rPr>
          <w:sz w:val="20"/>
          <w:szCs w:val="20"/>
          <w:color w:val="auto"/>
        </w:rPr>
      </w:pPr>
      <w:r>
        <w:rPr>
          <w:rFonts w:ascii="Arial" w:cs="Arial" w:eastAsia="Arial" w:hAnsi="Arial"/>
          <w:sz w:val="12"/>
          <w:szCs w:val="12"/>
          <w:b w:val="1"/>
          <w:bCs w:val="1"/>
          <w:color w:val="auto"/>
        </w:rPr>
        <w:t>Chief Financial Officer</w:t>
      </w:r>
    </w:p>
    <w:p>
      <w:pPr>
        <w:spacing w:after="0" w:line="149" w:lineRule="exact"/>
        <w:rPr>
          <w:sz w:val="20"/>
          <w:szCs w:val="20"/>
          <w:color w:val="auto"/>
        </w:rPr>
      </w:pPr>
    </w:p>
    <w:p>
      <w:pPr>
        <w:jc w:val="both"/>
        <w:ind w:right="20" w:firstLine="386"/>
        <w:spacing w:after="0" w:line="246" w:lineRule="auto"/>
        <w:rPr>
          <w:sz w:val="20"/>
          <w:szCs w:val="20"/>
          <w:color w:val="auto"/>
        </w:rPr>
      </w:pPr>
      <w:r>
        <w:rPr>
          <w:rFonts w:ascii="Arial" w:cs="Arial" w:eastAsia="Arial" w:hAnsi="Arial"/>
          <w:sz w:val="16"/>
          <w:szCs w:val="16"/>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36" w:lineRule="exact"/>
        <w:rPr>
          <w:sz w:val="20"/>
          <w:szCs w:val="20"/>
          <w:color w:val="auto"/>
        </w:rPr>
      </w:pPr>
    </w:p>
    <w:p>
      <w:pPr>
        <w:ind w:right="160" w:firstLine="386"/>
        <w:spacing w:after="0" w:line="248"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60"/>
      </w:cols>
      <w:pgMar w:left="320" w:top="78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56867"/>
    <w:multiLevelType w:val="hybridMultilevel"/>
    <w:lvl w:ilvl="0">
      <w:lvlJc w:val="left"/>
      <w:lvlText w:val="☒"/>
      <w:numFmt w:val="bullet"/>
      <w:start w:val="1"/>
    </w:lvl>
  </w:abstractNum>
  <w:abstractNum w:abstractNumId="1">
    <w:nsid w:val="11B1CC33"/>
    <w:multiLevelType w:val="hybridMultilevel"/>
    <w:lvl w:ilvl="0">
      <w:lvlJc w:val="left"/>
      <w:lvlText w:val="☐"/>
      <w:numFmt w:val="bullet"/>
      <w:start w:val="1"/>
    </w:lvl>
  </w:abstractNum>
  <w:abstractNum w:abstractNumId="2">
    <w:nsid w:val="2E22FBB7"/>
    <w:multiLevelType w:val="hybridMultilevel"/>
    <w:lvl w:ilvl="0">
      <w:lvlJc w:val="left"/>
      <w:lvlText w:val="•"/>
      <w:numFmt w:val="bullet"/>
      <w:start w:val="1"/>
    </w:lvl>
  </w:abstractNum>
  <w:abstractNum w:abstractNumId="3">
    <w:nsid w:val="29934699"/>
    <w:multiLevelType w:val="hybridMultilevel"/>
    <w:lvl w:ilvl="0">
      <w:lvlJc w:val="left"/>
      <w:lvlText w:val="•"/>
      <w:numFmt w:val="bullet"/>
      <w:start w:val="1"/>
    </w:lvl>
  </w:abstractNum>
  <w:abstractNum w:abstractNumId="4">
    <w:nsid w:val="77485850"/>
    <w:multiLevelType w:val="hybridMultilevel"/>
    <w:lvl w:ilvl="0">
      <w:lvlJc w:val="left"/>
      <w:lvlText w:val="•"/>
      <w:numFmt w:val="bullet"/>
      <w:start w:val="1"/>
    </w:lvl>
  </w:abstractNum>
  <w:abstractNum w:abstractNumId="5">
    <w:nsid w:val="744939A3"/>
    <w:multiLevelType w:val="hybridMultilevel"/>
    <w:lvl w:ilvl="0">
      <w:lvlJc w:val="left"/>
      <w:lvlText w:val="•"/>
      <w:numFmt w:val="bullet"/>
      <w:start w:val="1"/>
    </w:lvl>
  </w:abstractNum>
  <w:abstractNum w:abstractNumId="6">
    <w:nsid w:val="4FA0D2E3"/>
    <w:multiLevelType w:val="hybridMultilevel"/>
    <w:lvl w:ilvl="0">
      <w:lvlJc w:val="left"/>
      <w:lvlText w:val="▪"/>
      <w:numFmt w:val="bullet"/>
      <w:start w:val="1"/>
    </w:lvl>
  </w:abstractNum>
  <w:abstractNum w:abstractNumId="7">
    <w:nsid w:val="6B1D2C14"/>
    <w:multiLevelType w:val="hybridMultilevel"/>
    <w:lvl w:ilvl="0">
      <w:lvlJc w:val="left"/>
      <w:lvlText w:val="•"/>
      <w:numFmt w:val="bullet"/>
      <w:start w:val="1"/>
    </w:lvl>
  </w:abstractNum>
  <w:abstractNum w:abstractNumId="8">
    <w:nsid w:val="68B867D3"/>
    <w:multiLevelType w:val="hybridMultilevel"/>
    <w:lvl w:ilvl="0">
      <w:lvlJc w:val="left"/>
      <w:lvlText w:val="•"/>
      <w:numFmt w:val="bullet"/>
      <w:start w:val="1"/>
    </w:lvl>
  </w:abstractNum>
  <w:abstractNum w:abstractNumId="9">
    <w:nsid w:val="3F7F5DD9"/>
    <w:multiLevelType w:val="hybridMultilevel"/>
    <w:lvl w:ilvl="0">
      <w:lvlJc w:val="left"/>
      <w:lvlText w:val="•"/>
      <w:numFmt w:val="bullet"/>
      <w:start w:val="1"/>
    </w:lvl>
  </w:abstractNum>
  <w:abstractNum w:abstractNumId="10">
    <w:nsid w:val="2AE05A34"/>
    <w:multiLevelType w:val="hybridMultilevel"/>
    <w:lvl w:ilvl="0">
      <w:lvlJc w:val="left"/>
      <w:lvlText w:val="•"/>
      <w:numFmt w:val="bullet"/>
      <w:start w:val="1"/>
    </w:lvl>
  </w:abstractNum>
  <w:abstractNum w:abstractNumId="11">
    <w:nsid w:val="32794FF7"/>
    <w:multiLevelType w:val="hybridMultilevel"/>
    <w:lvl w:ilvl="0">
      <w:lvlJc w:val="left"/>
      <w:lvlText w:val="•"/>
      <w:numFmt w:val="bullet"/>
      <w:start w:val="1"/>
    </w:lvl>
  </w:abstractNum>
  <w:abstractNum w:abstractNumId="12">
    <w:nsid w:val="5454945E"/>
    <w:multiLevelType w:val="hybridMultilevel"/>
    <w:lvl w:ilvl="0">
      <w:lvlJc w:val="left"/>
      <w:lvlText w:val="•"/>
      <w:numFmt w:val="bullet"/>
      <w:start w:val="1"/>
    </w:lvl>
  </w:abstractNum>
  <w:abstractNum w:abstractNumId="13">
    <w:nsid w:val="4DEFDFA0"/>
    <w:multiLevelType w:val="hybridMultilevel"/>
    <w:lvl w:ilvl="0">
      <w:lvlJc w:val="left"/>
      <w:lvlText w:val="•"/>
      <w:numFmt w:val="bullet"/>
      <w:start w:val="1"/>
    </w:lvl>
    <w:lvl w:ilvl="1">
      <w:lvlJc w:val="left"/>
      <w:lvlText w:val="•"/>
      <w:numFmt w:val="bullet"/>
      <w:start w:val="1"/>
    </w:lvl>
  </w:abstractNum>
  <w:abstractNum w:abstractNumId="14">
    <w:nsid w:val="2123D5F2"/>
    <w:multiLevelType w:val="hybridMultilevel"/>
    <w:lvl w:ilvl="0">
      <w:lvlJc w:val="left"/>
      <w:lvlText w:val="•"/>
      <w:numFmt w:val="bullet"/>
      <w:start w:val="1"/>
    </w:lvl>
  </w:abstractNum>
  <w:abstractNum w:abstractNumId="15">
    <w:nsid w:val="135B8110"/>
    <w:multiLevelType w:val="hybridMultilevel"/>
    <w:lvl w:ilvl="0">
      <w:lvlJc w:val="left"/>
      <w:lvlText w:val="◦"/>
      <w:numFmt w:val="bullet"/>
      <w:start w:val="1"/>
    </w:lvl>
  </w:abstractNum>
  <w:abstractNum w:abstractNumId="16">
    <w:nsid w:val="94927A8"/>
    <w:multiLevelType w:val="hybridMultilevel"/>
    <w:lvl w:ilvl="0">
      <w:lvlJc w:val="left"/>
      <w:lvlText w:val="(%1)"/>
      <w:numFmt w:val="lowerRoman"/>
      <w:start w:val="2"/>
    </w:lvl>
  </w:abstractNum>
  <w:abstractNum w:abstractNumId="17">
    <w:nsid w:val="DCDF8F6"/>
    <w:multiLevelType w:val="hybridMultilevel"/>
    <w:lvl w:ilvl="0">
      <w:lvlJc w:val="left"/>
      <w:lvlText w:val="•"/>
      <w:numFmt w:val="bullet"/>
      <w:start w:val="1"/>
    </w:lvl>
  </w:abstractNum>
  <w:abstractNum w:abstractNumId="18">
    <w:nsid w:val="52D7B105"/>
    <w:multiLevelType w:val="hybridMultilevel"/>
    <w:lvl w:ilvl="0">
      <w:lvlJc w:val="left"/>
      <w:lvlText w:val="•"/>
      <w:numFmt w:val="bullet"/>
      <w:start w:val="1"/>
    </w:lvl>
  </w:abstractNum>
  <w:abstractNum w:abstractNumId="19">
    <w:nsid w:val="2E8A6394"/>
    <w:multiLevelType w:val="hybridMultilevel"/>
    <w:lvl w:ilvl="0">
      <w:lvlJc w:val="left"/>
      <w:lvlText w:val="•"/>
      <w:numFmt w:val="bullet"/>
      <w:start w:val="1"/>
    </w:lvl>
  </w:abstractNum>
  <w:abstractNum w:abstractNumId="20">
    <w:nsid w:val="24E60401"/>
    <w:multiLevelType w:val="hybridMultilevel"/>
    <w:lvl w:ilvl="0">
      <w:lvlJc w:val="left"/>
      <w:lvlText w:val="•"/>
      <w:numFmt w:val="bullet"/>
      <w:start w:val="1"/>
    </w:lvl>
  </w:abstractNum>
  <w:abstractNum w:abstractNumId="21">
    <w:nsid w:val="2A6AD9BE"/>
    <w:multiLevelType w:val="hybridMultilevel"/>
    <w:lvl w:ilvl="0">
      <w:lvlJc w:val="left"/>
      <w:lvlText w:val="•"/>
      <w:numFmt w:val="bullet"/>
      <w:start w:val="1"/>
    </w:lvl>
  </w:abstractNum>
  <w:abstractNum w:abstractNumId="22">
    <w:nsid w:val="BAAC1B4"/>
    <w:multiLevelType w:val="hybridMultilevel"/>
    <w:lvl w:ilvl="0">
      <w:lvlJc w:val="left"/>
      <w:lvlText w:val="•"/>
      <w:numFmt w:val="bullet"/>
      <w:start w:val="1"/>
    </w:lvl>
  </w:abstractNum>
  <w:abstractNum w:abstractNumId="23">
    <w:nsid w:val="36B2ACBC"/>
    <w:multiLevelType w:val="hybridMultilevel"/>
    <w:lvl w:ilvl="0">
      <w:lvlJc w:val="left"/>
      <w:lvlText w:val="•"/>
      <w:numFmt w:val="bullet"/>
      <w:start w:val="1"/>
    </w:lvl>
  </w:abstractNum>
  <w:abstractNum w:abstractNumId="24">
    <w:nsid w:val="779D8544"/>
    <w:multiLevelType w:val="hybridMultilevel"/>
    <w:lvl w:ilvl="0">
      <w:lvlJc w:val="left"/>
      <w:lvlText w:val="•"/>
      <w:numFmt w:val="bullet"/>
      <w:start w:val="1"/>
    </w:lvl>
  </w:abstractNum>
  <w:abstractNum w:abstractNumId="25">
    <w:nsid w:val="4AB26E78"/>
    <w:multiLevelType w:val="hybridMultilevel"/>
    <w:lvl w:ilvl="0">
      <w:lvlJc w:val="left"/>
      <w:lvlText w:val="•"/>
      <w:numFmt w:val="bullet"/>
      <w:start w:val="1"/>
    </w:lvl>
  </w:abstractNum>
  <w:abstractNum w:abstractNumId="26">
    <w:nsid w:val="21FAA2FA"/>
    <w:multiLevelType w:val="hybridMultilevel"/>
    <w:lvl w:ilvl="0">
      <w:lvlJc w:val="left"/>
      <w:lvlText w:val="•"/>
      <w:numFmt w:val="bullet"/>
      <w:start w:val="1"/>
    </w:lvl>
  </w:abstractNum>
  <w:abstractNum w:abstractNumId="27">
    <w:nsid w:val="5451CF49"/>
    <w:multiLevelType w:val="hybridMultilevel"/>
    <w:lvl w:ilvl="0">
      <w:lvlJc w:val="left"/>
      <w:lvlText w:val="•"/>
      <w:numFmt w:val="bullet"/>
      <w:start w:val="1"/>
    </w:lvl>
  </w:abstractNum>
  <w:abstractNum w:abstractNumId="28">
    <w:nsid w:val="6181EF69"/>
    <w:multiLevelType w:val="hybridMultilevel"/>
    <w:lvl w:ilvl="0">
      <w:lvlJc w:val="left"/>
      <w:lvlText w:val="•"/>
      <w:numFmt w:val="bullet"/>
      <w:start w:val="1"/>
    </w:lvl>
  </w:abstractNum>
  <w:abstractNum w:abstractNumId="29">
    <w:nsid w:val="3E6400E6"/>
    <w:multiLevelType w:val="hybridMultilevel"/>
    <w:lvl w:ilvl="0">
      <w:lvlJc w:val="left"/>
      <w:lvlText w:val="•"/>
      <w:numFmt w:val="bullet"/>
      <w:start w:val="1"/>
    </w:lvl>
  </w:abstractNum>
  <w:abstractNum w:abstractNumId="30">
    <w:nsid w:val="14217E23"/>
    <w:multiLevelType w:val="hybridMultilevel"/>
    <w:lvl w:ilvl="0">
      <w:lvlJc w:val="left"/>
      <w:lvlText w:val="•"/>
      <w:numFmt w:val="bullet"/>
      <w:start w:val="1"/>
    </w:lvl>
  </w:abstractNum>
  <w:abstractNum w:abstractNumId="31">
    <w:nsid w:val="710757D0"/>
    <w:multiLevelType w:val="hybridMultilevel"/>
    <w:lvl w:ilvl="0">
      <w:lvlJc w:val="left"/>
      <w:lvlText w:val="•"/>
      <w:numFmt w:val="bullet"/>
      <w:start w:val="1"/>
    </w:lvl>
  </w:abstractNum>
  <w:abstractNum w:abstractNumId="32">
    <w:nsid w:val="5015CD1A"/>
    <w:multiLevelType w:val="hybridMultilevel"/>
    <w:lvl w:ilvl="0">
      <w:lvlJc w:val="left"/>
      <w:lvlText w:val="•"/>
      <w:numFmt w:val="bullet"/>
      <w:start w:val="1"/>
    </w:lvl>
  </w:abstractNum>
  <w:abstractNum w:abstractNumId="33">
    <w:nsid w:val="424479DA"/>
    <w:multiLevelType w:val="hybridMultilevel"/>
    <w:lvl w:ilvl="0">
      <w:lvlJc w:val="left"/>
      <w:lvlText w:val="(%1)"/>
      <w:numFmt w:val="decimal"/>
      <w:start w:val="1"/>
    </w:lvl>
  </w:abstractNum>
  <w:abstractNum w:abstractNumId="34">
    <w:nsid w:val="1A9A9E69"/>
    <w:multiLevelType w:val="hybridMultilevel"/>
    <w:lvl w:ilvl="0">
      <w:lvlJc w:val="left"/>
      <w:lvlText w:val="(%1)"/>
      <w:numFmt w:val="decimal"/>
      <w:start w:val="1"/>
    </w:lvl>
  </w:abstractNum>
  <w:abstractNum w:abstractNumId="35">
    <w:nsid w:val="475E256A"/>
    <w:multiLevelType w:val="hybridMultilevel"/>
    <w:lvl w:ilvl="0">
      <w:lvlJc w:val="left"/>
      <w:lvlText w:val="•"/>
      <w:numFmt w:val="bullet"/>
      <w:start w:val="1"/>
    </w:lvl>
    <w:lvl w:ilvl="1">
      <w:lvlJc w:val="left"/>
      <w:lvlText w:val="▪"/>
      <w:numFmt w:val="bullet"/>
      <w:start w:val="1"/>
    </w:lvl>
  </w:abstractNum>
  <w:abstractNum w:abstractNumId="36">
    <w:nsid w:val="368DB37E"/>
    <w:multiLevelType w:val="hybridMultilevel"/>
    <w:lvl w:ilvl="0">
      <w:lvlJc w:val="left"/>
      <w:lvlText w:val="•"/>
      <w:numFmt w:val="bullet"/>
      <w:start w:val="1"/>
    </w:lvl>
  </w:abstractNum>
  <w:abstractNum w:abstractNumId="37">
    <w:nsid w:val="6A3B714C"/>
    <w:multiLevelType w:val="hybridMultilevel"/>
    <w:lvl w:ilvl="0">
      <w:lvlJc w:val="left"/>
      <w:lvlText w:val="•"/>
      <w:numFmt w:val="bullet"/>
      <w:start w:val="1"/>
    </w:lvl>
  </w:abstractNum>
  <w:abstractNum w:abstractNumId="38">
    <w:nsid w:val="327B517E"/>
    <w:multiLevelType w:val="hybridMultilevel"/>
    <w:lvl w:ilvl="0">
      <w:lvlJc w:val="left"/>
      <w:lvlText w:val="•"/>
      <w:numFmt w:val="bullet"/>
      <w:start w:val="1"/>
    </w:lvl>
  </w:abstractNum>
  <w:abstractNum w:abstractNumId="39">
    <w:nsid w:val="1F461B51"/>
    <w:multiLevelType w:val="hybridMultilevel"/>
    <w:lvl w:ilvl="0">
      <w:lvlJc w:val="left"/>
      <w:lvlText w:val="•"/>
      <w:numFmt w:val="bullet"/>
      <w:start w:val="1"/>
    </w:lvl>
    <w:lvl w:ilvl="1">
      <w:lvlJc w:val="left"/>
      <w:lvlText w:val="•"/>
      <w:numFmt w:val="bullet"/>
      <w:start w:val="1"/>
    </w:lvl>
  </w:abstractNum>
  <w:abstractNum w:abstractNumId="40">
    <w:nsid w:val="29BACF25"/>
    <w:multiLevelType w:val="hybridMultilevel"/>
    <w:lvl w:ilvl="0">
      <w:lvlJc w:val="left"/>
      <w:lvlText w:val="•"/>
      <w:numFmt w:val="bullet"/>
      <w:start w:val="1"/>
    </w:lvl>
  </w:abstractNum>
  <w:abstractNum w:abstractNumId="41">
    <w:nsid w:val="5D5BABB3"/>
    <w:multiLevelType w:val="hybridMultilevel"/>
    <w:lvl w:ilvl="0">
      <w:lvlJc w:val="left"/>
      <w:lvlText w:val="(%1)"/>
      <w:numFmt w:val="decimal"/>
      <w:start w:val="1"/>
    </w:lvl>
    <w:lvl w:ilvl="1">
      <w:lvlJc w:val="left"/>
      <w:lvlText w:val="•"/>
      <w:numFmt w:val="bullet"/>
      <w:start w:val="1"/>
    </w:lvl>
  </w:abstractNum>
  <w:abstractNum w:abstractNumId="42">
    <w:nsid w:val="51BF6B48"/>
    <w:multiLevelType w:val="hybridMultilevel"/>
    <w:lvl w:ilvl="0">
      <w:lvlJc w:val="left"/>
      <w:lvlText w:val="•"/>
      <w:numFmt w:val="bullet"/>
      <w:start w:val="1"/>
    </w:lvl>
  </w:abstractNum>
  <w:abstractNum w:abstractNumId="43">
    <w:nsid w:val="7E0F6384"/>
    <w:multiLevelType w:val="hybridMultilevel"/>
    <w:lvl w:ilvl="0">
      <w:lvlJc w:val="left"/>
      <w:lvlText w:val="(%1)"/>
      <w:numFmt w:val="decimal"/>
      <w:start w:val="1"/>
    </w:lvl>
  </w:abstractNum>
  <w:abstractNum w:abstractNumId="44">
    <w:nsid w:val="2B4B8B53"/>
    <w:multiLevelType w:val="hybridMultilevel"/>
    <w:lvl w:ilvl="0">
      <w:lvlJc w:val="left"/>
      <w:lvlText w:val="•"/>
      <w:numFmt w:val="bullet"/>
      <w:start w:val="1"/>
    </w:lvl>
  </w:abstractNum>
  <w:abstractNum w:abstractNumId="45">
    <w:nsid w:val="72E3413A"/>
    <w:multiLevelType w:val="hybridMultilevel"/>
    <w:lvl w:ilvl="0">
      <w:lvlJc w:val="left"/>
      <w:lvlText w:val="•"/>
      <w:numFmt w:val="bullet"/>
      <w:start w:val="1"/>
    </w:lvl>
  </w:abstractNum>
  <w:abstractNum w:abstractNumId="46">
    <w:nsid w:val="116AE494"/>
    <w:multiLevelType w:val="hybridMultilevel"/>
    <w:lvl w:ilvl="0">
      <w:lvlJc w:val="left"/>
      <w:lvlText w:val="•"/>
      <w:numFmt w:val="bullet"/>
      <w:start w:val="1"/>
    </w:lvl>
  </w:abstractNum>
  <w:abstractNum w:abstractNumId="47">
    <w:nsid w:val="3494B2FB"/>
    <w:multiLevelType w:val="hybridMultilevel"/>
    <w:lvl w:ilvl="0">
      <w:lvlJc w:val="left"/>
      <w:lvlText w:val="•"/>
      <w:numFmt w:val="bullet"/>
      <w:start w:val="1"/>
    </w:lvl>
  </w:abstractNum>
  <w:abstractNum w:abstractNumId="48">
    <w:nsid w:val="B13A31"/>
    <w:multiLevelType w:val="hybridMultilevel"/>
    <w:lvl w:ilvl="0">
      <w:lvlJc w:val="left"/>
      <w:lvlText w:val="(%1)"/>
      <w:numFmt w:val="decimal"/>
      <w:start w:val="1"/>
    </w:lvl>
  </w:abstractNum>
  <w:abstractNum w:abstractNumId="49">
    <w:nsid w:val="64429599"/>
    <w:multiLevelType w:val="hybridMultilevel"/>
    <w:lvl w:ilvl="0">
      <w:lvlJc w:val="left"/>
      <w:lvlText w:val="•"/>
      <w:numFmt w:val="bullet"/>
      <w:start w:val="1"/>
    </w:lvl>
  </w:abstractNum>
  <w:abstractNum w:abstractNumId="50">
    <w:nsid w:val="631F1690"/>
    <w:multiLevelType w:val="hybridMultilevel"/>
    <w:lvl w:ilvl="0">
      <w:lvlJc w:val="left"/>
      <w:lvlText w:val="•"/>
      <w:numFmt w:val="bullet"/>
      <w:start w:val="1"/>
    </w:lvl>
  </w:abstractNum>
  <w:abstractNum w:abstractNumId="51">
    <w:nsid w:val="25973E32"/>
    <w:multiLevelType w:val="hybridMultilevel"/>
    <w:lvl w:ilvl="0">
      <w:lvlJc w:val="left"/>
      <w:lvlText w:val="•"/>
      <w:numFmt w:val="bullet"/>
      <w:start w:val="1"/>
    </w:lvl>
  </w:abstractNum>
  <w:abstractNum w:abstractNumId="52">
    <w:nsid w:val="EAD6F57"/>
    <w:multiLevelType w:val="hybridMultilevel"/>
    <w:lvl w:ilvl="0">
      <w:lvlJc w:val="left"/>
      <w:lvlText w:val="•"/>
      <w:numFmt w:val="bullet"/>
      <w:start w:val="1"/>
    </w:lvl>
  </w:abstractNum>
  <w:abstractNum w:abstractNumId="53">
    <w:nsid w:val="6EC9D844"/>
    <w:multiLevelType w:val="hybridMultilevel"/>
    <w:lvl w:ilvl="0">
      <w:lvlJc w:val="left"/>
      <w:lvlText w:val="(%1)"/>
      <w:numFmt w:val="decimal"/>
      <w:start w:val="1"/>
    </w:lvl>
  </w:abstractNum>
  <w:abstractNum w:abstractNumId="54">
    <w:nsid w:val="5C49EAEE"/>
    <w:multiLevelType w:val="hybridMultilevel"/>
    <w:lvl w:ilvl="0">
      <w:lvlJc w:val="left"/>
      <w:lvlText w:val="•"/>
      <w:numFmt w:val="bullet"/>
      <w:start w:val="1"/>
    </w:lvl>
  </w:abstractNum>
  <w:abstractNum w:abstractNumId="55">
    <w:nsid w:val="64AF49B"/>
    <w:multiLevelType w:val="hybridMultilevel"/>
    <w:lvl w:ilvl="0">
      <w:lvlJc w:val="left"/>
      <w:lvlText w:val="•"/>
      <w:numFmt w:val="bullet"/>
      <w:start w:val="1"/>
    </w:lvl>
  </w:abstractNum>
  <w:abstractNum w:abstractNumId="56">
    <w:nsid w:val="397C46BC"/>
    <w:multiLevelType w:val="hybridMultilevel"/>
    <w:lvl w:ilvl="0">
      <w:lvlJc w:val="left"/>
      <w:lvlText w:val="•"/>
      <w:numFmt w:val="bullet"/>
      <w:start w:val="1"/>
    </w:lvl>
  </w:abstractNum>
  <w:abstractNum w:abstractNumId="57">
    <w:nsid w:val="7E448DE9"/>
    <w:multiLevelType w:val="hybridMultilevel"/>
    <w:lvl w:ilvl="0">
      <w:lvlJc w:val="left"/>
      <w:lvlText w:val="•"/>
      <w:numFmt w:val="bullet"/>
      <w:start w:val="1"/>
    </w:lvl>
  </w:abstractNum>
  <w:abstractNum w:abstractNumId="58">
    <w:nsid w:val="5A9CC3E5"/>
    <w:multiLevelType w:val="hybridMultilevel"/>
    <w:lvl w:ilvl="0">
      <w:lvlJc w:val="left"/>
      <w:lvlText w:val="•"/>
      <w:numFmt w:val="bullet"/>
      <w:start w:val="1"/>
    </w:lvl>
  </w:abstractNum>
  <w:abstractNum w:abstractNumId="59">
    <w:nsid w:val="1AFE3625"/>
    <w:multiLevelType w:val="hybridMultilevel"/>
    <w:lvl w:ilvl="0">
      <w:lvlJc w:val="left"/>
      <w:lvlText w:val="•"/>
      <w:numFmt w:val="bullet"/>
      <w:start w:val="1"/>
    </w:lvl>
  </w:abstractNum>
  <w:abstractNum w:abstractNumId="60">
    <w:nsid w:val="3CA88ECF"/>
    <w:multiLevelType w:val="hybridMultilevel"/>
    <w:lvl w:ilvl="0">
      <w:lvlJc w:val="left"/>
      <w:lvlText w:val="•"/>
      <w:numFmt w:val="bullet"/>
      <w:start w:val="1"/>
    </w:lvl>
  </w:abstractNum>
  <w:abstractNum w:abstractNumId="61">
    <w:nsid w:val="6EBE4208"/>
    <w:multiLevelType w:val="hybridMultilevel"/>
    <w:lvl w:ilvl="0">
      <w:lvlJc w:val="left"/>
      <w:lvlText w:val="•"/>
      <w:numFmt w:val="bullet"/>
      <w:start w:val="1"/>
    </w:lvl>
  </w:abstractNum>
  <w:abstractNum w:abstractNumId="62">
    <w:nsid w:val="C058DF5"/>
    <w:multiLevelType w:val="hybridMultilevel"/>
    <w:lvl w:ilvl="0">
      <w:lvlJc w:val="left"/>
      <w:lvlText w:val="•"/>
      <w:numFmt w:val="bullet"/>
      <w:start w:val="1"/>
    </w:lvl>
    <w:lvl w:ilvl="1">
      <w:lvlJc w:val="left"/>
      <w:lvlText w:val="◦"/>
      <w:numFmt w:val="bullet"/>
      <w:start w:val="1"/>
    </w:lvl>
  </w:abstractNum>
  <w:abstractNum w:abstractNumId="63">
    <w:nsid w:val="CBE5BE9"/>
    <w:multiLevelType w:val="hybridMultilevel"/>
    <w:lvl w:ilvl="0">
      <w:lvlJc w:val="left"/>
      <w:lvlText w:val="•"/>
      <w:numFmt w:val="bullet"/>
      <w:start w:val="1"/>
    </w:lvl>
  </w:abstractNum>
  <w:abstractNum w:abstractNumId="64">
    <w:nsid w:val="3102BBE2"/>
    <w:multiLevelType w:val="hybridMultilevel"/>
    <w:lvl w:ilvl="0">
      <w:lvlJc w:val="left"/>
      <w:lvlText w:val="%1."/>
      <w:numFmt w:val="decimal"/>
      <w:start w:val="1"/>
    </w:lvl>
  </w:abstractNum>
  <w:abstractNum w:abstractNumId="65">
    <w:nsid w:val="26A02C5E"/>
    <w:multiLevelType w:val="hybridMultilevel"/>
    <w:lvl w:ilvl="0">
      <w:lvlJc w:val="left"/>
      <w:lvlText w:val="•"/>
      <w:numFmt w:val="bullet"/>
      <w:start w:val="1"/>
    </w:lvl>
  </w:abstractNum>
  <w:abstractNum w:abstractNumId="66">
    <w:nsid w:val="541C8153"/>
    <w:multiLevelType w:val="hybridMultilevel"/>
    <w:lvl w:ilvl="0">
      <w:lvlJc w:val="left"/>
      <w:lvlText w:val="•"/>
      <w:numFmt w:val="bullet"/>
      <w:start w:val="1"/>
    </w:lvl>
  </w:abstractNum>
  <w:abstractNum w:abstractNumId="67">
    <w:nsid w:val="67906F60"/>
    <w:multiLevelType w:val="hybridMultilevel"/>
    <w:lvl w:ilvl="0">
      <w:lvlJc w:val="left"/>
      <w:lvlText w:val="•"/>
      <w:numFmt w:val="bullet"/>
      <w:start w:val="1"/>
    </w:lvl>
  </w:abstractNum>
  <w:abstractNum w:abstractNumId="68">
    <w:nsid w:val="10DB9DAA"/>
    <w:multiLevelType w:val="hybridMultilevel"/>
    <w:lvl w:ilvl="0">
      <w:lvlJc w:val="left"/>
      <w:lvlText w:val="•"/>
      <w:numFmt w:val="bullet"/>
      <w:start w:val="1"/>
    </w:lvl>
  </w:abstractNum>
  <w:abstractNum w:abstractNumId="69">
    <w:nsid w:val="697D2D2"/>
    <w:multiLevelType w:val="hybridMultilevel"/>
    <w:lvl w:ilvl="0">
      <w:lvlJc w:val="left"/>
      <w:lvlText w:val="•"/>
      <w:numFmt w:val="bullet"/>
      <w:start w:val="1"/>
    </w:lvl>
  </w:abstractNum>
  <w:abstractNum w:abstractNumId="70">
    <w:nsid w:val="6D68AB2"/>
    <w:multiLevelType w:val="hybridMultilevel"/>
    <w:lvl w:ilvl="0">
      <w:lvlJc w:val="left"/>
      <w:lvlText w:val="•"/>
      <w:numFmt w:val="bullet"/>
      <w:start w:val="1"/>
    </w:lvl>
  </w:abstractNum>
  <w:abstractNum w:abstractNumId="71">
    <w:nsid w:val="3A966CD0"/>
    <w:multiLevelType w:val="hybridMultilevel"/>
    <w:lvl w:ilvl="0">
      <w:lvlJc w:val="left"/>
      <w:lvlText w:val="•"/>
      <w:numFmt w:val="bullet"/>
      <w:start w:val="1"/>
    </w:lvl>
  </w:abstractNum>
  <w:abstractNum w:abstractNumId="72">
    <w:nsid w:val="63F37E85"/>
    <w:multiLevelType w:val="hybridMultilevel"/>
    <w:lvl w:ilvl="0">
      <w:lvlJc w:val="left"/>
      <w:lvlText w:val="•"/>
      <w:numFmt w:val="bullet"/>
      <w:start w:val="1"/>
    </w:lvl>
  </w:abstractNum>
  <w:abstractNum w:abstractNumId="73">
    <w:nsid w:val="5895F5FA"/>
    <w:multiLevelType w:val="hybridMultilevel"/>
    <w:lvl w:ilvl="0">
      <w:lvlJc w:val="left"/>
      <w:lvlText w:val="•"/>
      <w:numFmt w:val="bullet"/>
      <w:start w:val="1"/>
    </w:lvl>
  </w:abstractNum>
  <w:abstractNum w:abstractNumId="74">
    <w:nsid w:val="38A5D054"/>
    <w:multiLevelType w:val="hybridMultilevel"/>
    <w:lvl w:ilvl="0">
      <w:lvlJc w:val="left"/>
      <w:lvlText w:val="•"/>
      <w:numFmt w:val="bullet"/>
      <w:start w:val="1"/>
    </w:lvl>
  </w:abstractNum>
  <w:abstractNum w:abstractNumId="75">
    <w:nsid w:val="F3F09D8"/>
    <w:multiLevelType w:val="hybridMultilevel"/>
    <w:lvl w:ilvl="0">
      <w:lvlJc w:val="left"/>
      <w:lvlText w:val="•"/>
      <w:numFmt w:val="bullet"/>
      <w:start w:val="1"/>
    </w:lvl>
  </w:abstractNum>
  <w:abstractNum w:abstractNumId="76">
    <w:nsid w:val="4B793735"/>
    <w:multiLevelType w:val="hybridMultilevel"/>
    <w:lvl w:ilvl="0">
      <w:lvlJc w:val="left"/>
      <w:lvlText w:val="•"/>
      <w:numFmt w:val="bullet"/>
      <w:start w:val="1"/>
    </w:lvl>
  </w:abstractNum>
  <w:abstractNum w:abstractNumId="77">
    <w:nsid w:val="4A10B4E8"/>
    <w:multiLevelType w:val="hybridMultilevel"/>
    <w:lvl w:ilvl="0">
      <w:lvlJc w:val="left"/>
      <w:lvlText w:val="•"/>
      <w:numFmt w:val="bullet"/>
      <w:start w:val="1"/>
    </w:lvl>
  </w:abstractNum>
  <w:abstractNum w:abstractNumId="78">
    <w:nsid w:val="43D3BCD4"/>
    <w:multiLevelType w:val="hybridMultilevel"/>
    <w:lvl w:ilvl="0">
      <w:lvlJc w:val="left"/>
      <w:lvlText w:val="•"/>
      <w:numFmt w:val="bullet"/>
      <w:start w:val="1"/>
    </w:lvl>
  </w:abstractNum>
  <w:abstractNum w:abstractNumId="79">
    <w:nsid w:val="4C2A7166"/>
    <w:multiLevelType w:val="hybridMultilevel"/>
    <w:lvl w:ilvl="0">
      <w:lvlJc w:val="left"/>
      <w:lvlText w:val="•"/>
      <w:numFmt w:val="bullet"/>
      <w:start w:val="1"/>
    </w:lvl>
  </w:abstractNum>
  <w:abstractNum w:abstractNumId="80">
    <w:nsid w:val="2E534A82"/>
    <w:multiLevelType w:val="hybridMultilevel"/>
    <w:lvl w:ilvl="0">
      <w:lvlJc w:val="left"/>
      <w:lvlText w:val="•"/>
      <w:numFmt w:val="bullet"/>
      <w:start w:val="1"/>
    </w:lvl>
  </w:abstractNum>
  <w:abstractNum w:abstractNumId="81">
    <w:nsid w:val="26F2D364"/>
    <w:multiLevelType w:val="hybridMultilevel"/>
    <w:lvl w:ilvl="0">
      <w:lvlJc w:val="left"/>
      <w:lvlText w:val="•"/>
      <w:numFmt w:val="bullet"/>
      <w:start w:val="1"/>
    </w:lvl>
  </w:abstractNum>
  <w:abstractNum w:abstractNumId="82">
    <w:nsid w:val="71C1AF98"/>
    <w:multiLevelType w:val="hybridMultilevel"/>
    <w:lvl w:ilvl="0">
      <w:lvlJc w:val="left"/>
      <w:lvlText w:val="•"/>
      <w:numFmt w:val="bullet"/>
      <w:start w:val="1"/>
    </w:lvl>
  </w:abstractNum>
  <w:abstractNum w:abstractNumId="83">
    <w:nsid w:val="3D00B9D9"/>
    <w:multiLevelType w:val="hybridMultilevel"/>
    <w:lvl w:ilvl="0">
      <w:lvlJc w:val="left"/>
      <w:lvlText w:val="•"/>
      <w:numFmt w:val="bullet"/>
      <w:start w:val="1"/>
    </w:lvl>
  </w:abstractNum>
  <w:abstractNum w:abstractNumId="84">
    <w:nsid w:val="15BCABA8"/>
    <w:multiLevelType w:val="hybridMultilevel"/>
    <w:lvl w:ilvl="0">
      <w:lvlJc w:val="left"/>
      <w:lvlText w:val="•"/>
      <w:numFmt w:val="bullet"/>
      <w:start w:val="1"/>
    </w:lvl>
  </w:abstractNum>
  <w:abstractNum w:abstractNumId="85">
    <w:nsid w:val="4E0B9A87"/>
    <w:multiLevelType w:val="hybridMultilevel"/>
    <w:lvl w:ilvl="0">
      <w:lvlJc w:val="left"/>
      <w:lvlText w:val="•"/>
      <w:numFmt w:val="bullet"/>
      <w:start w:val="1"/>
    </w:lvl>
  </w:abstractNum>
  <w:abstractNum w:abstractNumId="86">
    <w:nsid w:val="434BAE75"/>
    <w:multiLevelType w:val="hybridMultilevel"/>
    <w:lvl w:ilvl="0">
      <w:lvlJc w:val="left"/>
      <w:lvlText w:val="•"/>
      <w:numFmt w:val="bullet"/>
      <w:start w:val="1"/>
    </w:lvl>
  </w:abstractNum>
  <w:abstractNum w:abstractNumId="87">
    <w:nsid w:val="4F38F265"/>
    <w:multiLevelType w:val="hybridMultilevel"/>
    <w:lvl w:ilvl="0">
      <w:lvlJc w:val="left"/>
      <w:lvlText w:val="•"/>
      <w:numFmt w:val="bullet"/>
      <w:start w:val="1"/>
    </w:lvl>
  </w:abstractNum>
  <w:abstractNum w:abstractNumId="88">
    <w:nsid w:val="4C502870"/>
    <w:multiLevelType w:val="hybridMultilevel"/>
    <w:lvl w:ilvl="0">
      <w:lvlJc w:val="left"/>
      <w:lvlText w:val="▪"/>
      <w:numFmt w:val="bullet"/>
      <w:start w:val="1"/>
    </w:lvl>
  </w:abstractNum>
  <w:abstractNum w:abstractNumId="89">
    <w:nsid w:val="1DE8725A"/>
    <w:multiLevelType w:val="hybridMultilevel"/>
    <w:lvl w:ilvl="0">
      <w:lvlJc w:val="left"/>
      <w:lvlText w:val="•"/>
      <w:numFmt w:val="bullet"/>
      <w:start w:val="1"/>
    </w:lvl>
  </w:abstractNum>
  <w:abstractNum w:abstractNumId="90">
    <w:nsid w:val="6A37288A"/>
    <w:multiLevelType w:val="hybridMultilevel"/>
    <w:lvl w:ilvl="0">
      <w:lvlJc w:val="left"/>
      <w:lvlText w:val="(%1)"/>
      <w:numFmt w:val="decimal"/>
      <w:start w:val="1"/>
    </w:lvl>
    <w:lvl w:ilvl="1">
      <w:lvlJc w:val="left"/>
      <w:lvlText w:val="•"/>
      <w:numFmt w:val="bullet"/>
      <w:start w:val="1"/>
    </w:lvl>
  </w:abstractNum>
  <w:abstractNum w:abstractNumId="91">
    <w:nsid w:val="8F8B73F"/>
    <w:multiLevelType w:val="hybridMultilevel"/>
    <w:lvl w:ilvl="0">
      <w:lvlJc w:val="left"/>
      <w:lvlText w:val="•"/>
      <w:numFmt w:val="bullet"/>
      <w:start w:val="1"/>
    </w:lvl>
    <w:lvl w:ilvl="1">
      <w:lvlJc w:val="left"/>
      <w:lvlText w:val="•"/>
      <w:numFmt w:val="bullet"/>
      <w:start w:val="1"/>
    </w:lvl>
  </w:abstractNum>
  <w:abstractNum w:abstractNumId="92">
    <w:nsid w:val="CA6B462"/>
    <w:multiLevelType w:val="hybridMultilevel"/>
    <w:lvl w:ilvl="0">
      <w:lvlJc w:val="left"/>
      <w:lvlText w:val="(%1)"/>
      <w:numFmt w:val="decimal"/>
      <w:start w:val="1"/>
    </w:lvl>
  </w:abstractNum>
  <w:abstractNum w:abstractNumId="93">
    <w:nsid w:val="763CB680"/>
    <w:multiLevelType w:val="hybridMultilevel"/>
    <w:lvl w:ilvl="0">
      <w:lvlJc w:val="left"/>
      <w:lvlText w:val="%1."/>
      <w:numFmt w:val="decimal"/>
      <w:start w:val="6"/>
    </w:lvl>
  </w:abstractNum>
  <w:abstractNum w:abstractNumId="94">
    <w:nsid w:val="15B71329"/>
    <w:multiLevelType w:val="hybridMultilevel"/>
    <w:lvl w:ilvl="0">
      <w:lvlJc w:val="left"/>
      <w:lvlText w:val="(%1)"/>
      <w:numFmt w:val="decimal"/>
      <w:start w:val="1"/>
    </w:lvl>
  </w:abstractNum>
  <w:abstractNum w:abstractNumId="95">
    <w:nsid w:val="3DA97044"/>
    <w:multiLevelType w:val="hybridMultilevel"/>
    <w:lvl w:ilvl="0">
      <w:lvlJc w:val="left"/>
      <w:lvlText w:val="(%1)"/>
      <w:numFmt w:val="decimal"/>
      <w:start w:val="1"/>
    </w:lvl>
  </w:abstractNum>
  <w:abstractNum w:abstractNumId="96">
    <w:nsid w:val="1CDCE2DE"/>
    <w:multiLevelType w:val="hybridMultilevel"/>
    <w:lvl w:ilvl="0">
      <w:lvlJc w:val="left"/>
      <w:lvlText w:val="(%1)"/>
      <w:numFmt w:val="decimal"/>
      <w:start w:val="1"/>
    </w:lvl>
  </w:abstractNum>
  <w:abstractNum w:abstractNumId="97">
    <w:nsid w:val="69D3947C"/>
    <w:multiLevelType w:val="hybridMultilevel"/>
    <w:lvl w:ilvl="0">
      <w:lvlJc w:val="left"/>
      <w:lvlText w:val="(%1)"/>
      <w:numFmt w:val="decimal"/>
      <w:start w:val="1"/>
    </w:lvl>
  </w:abstractNum>
  <w:abstractNum w:abstractNumId="98">
    <w:nsid w:val="2539DFA5"/>
    <w:multiLevelType w:val="hybridMultilevel"/>
    <w:lvl w:ilvl="0">
      <w:lvlJc w:val="left"/>
      <w:lvlText w:val="(%1)"/>
      <w:numFmt w:val="decimal"/>
      <w:start w:val="1"/>
    </w:lvl>
  </w:abstractNum>
  <w:abstractNum w:abstractNumId="99">
    <w:nsid w:val="2DB88089"/>
    <w:multiLevelType w:val="hybridMultilevel"/>
    <w:lvl w:ilvl="0">
      <w:lvlJc w:val="left"/>
      <w:lvlText w:val="(%1)"/>
      <w:numFmt w:val="decimal"/>
      <w:start w:val="1"/>
    </w:lvl>
  </w:abstractNum>
  <w:abstractNum w:abstractNumId="100">
    <w:nsid w:val="706B674E"/>
    <w:multiLevelType w:val="hybridMultilevel"/>
    <w:lvl w:ilvl="0">
      <w:lvlJc w:val="left"/>
      <w:lvlText w:val="(%1)"/>
      <w:numFmt w:val="decimal"/>
      <w:start w:val="1"/>
    </w:lvl>
  </w:abstractNum>
  <w:abstractNum w:abstractNumId="101">
    <w:nsid w:val="2C106A57"/>
    <w:multiLevelType w:val="hybridMultilevel"/>
    <w:lvl w:ilvl="0">
      <w:lvlJc w:val="left"/>
      <w:lvlText w:val="(%1)"/>
      <w:numFmt w:val="decimal"/>
      <w:start w:val="1"/>
    </w:lvl>
  </w:abstractNum>
  <w:abstractNum w:abstractNumId="102">
    <w:nsid w:val="684EED59"/>
    <w:multiLevelType w:val="hybridMultilevel"/>
    <w:lvl w:ilvl="0">
      <w:lvlJc w:val="left"/>
      <w:lvlText w:val="(%1)"/>
      <w:numFmt w:val="decimal"/>
      <w:start w:val="1"/>
    </w:lvl>
  </w:abstractNum>
  <w:abstractNum w:abstractNumId="103">
    <w:nsid w:val="545EE5D3"/>
    <w:multiLevelType w:val="hybridMultilevel"/>
    <w:lvl w:ilvl="0">
      <w:lvlJc w:val="left"/>
      <w:lvlText w:val="(%1)"/>
      <w:numFmt w:val="decimal"/>
      <w:start w:val="1"/>
    </w:lvl>
  </w:abstractNum>
  <w:abstractNum w:abstractNumId="104">
    <w:nsid w:val="4A66051"/>
    <w:multiLevelType w:val="hybridMultilevel"/>
    <w:lvl w:ilvl="0">
      <w:lvlJc w:val="left"/>
      <w:lvlText w:val="•"/>
      <w:numFmt w:val="bullet"/>
      <w:start w:val="1"/>
    </w:lvl>
  </w:abstractNum>
  <w:abstractNum w:abstractNumId="105">
    <w:nsid w:val="20F4BDAD"/>
    <w:multiLevelType w:val="hybridMultilevel"/>
    <w:lvl w:ilvl="0">
      <w:lvlJc w:val="left"/>
      <w:lvlText w:val="(%1)"/>
      <w:numFmt w:val="decimal"/>
      <w:start w:val="1"/>
    </w:lvl>
  </w:abstractNum>
  <w:abstractNum w:abstractNumId="106">
    <w:nsid w:val="639DEFAC"/>
    <w:multiLevelType w:val="hybridMultilevel"/>
    <w:lvl w:ilvl="0">
      <w:lvlJc w:val="left"/>
      <w:lvlText w:val="(%1)"/>
      <w:numFmt w:val="decimal"/>
      <w:start w:val="3"/>
    </w:lvl>
  </w:abstractNum>
  <w:abstractNum w:abstractNumId="107">
    <w:nsid w:val="501F9786"/>
    <w:multiLevelType w:val="hybridMultilevel"/>
    <w:lvl w:ilvl="0">
      <w:lvlJc w:val="left"/>
      <w:lvlText w:val="(%1)"/>
      <w:numFmt w:val="decimal"/>
      <w:start w:val="1"/>
    </w:lvl>
  </w:abstractNum>
  <w:abstractNum w:abstractNumId="108">
    <w:nsid w:val="6B057295"/>
    <w:multiLevelType w:val="hybridMultilevel"/>
    <w:lvl w:ilvl="0">
      <w:lvlJc w:val="left"/>
      <w:lvlText w:val="(%1)"/>
      <w:numFmt w:val="decimal"/>
      <w:start w:val="1"/>
    </w:lvl>
  </w:abstractNum>
  <w:abstractNum w:abstractNumId="109">
    <w:nsid w:val="2771AC80"/>
    <w:multiLevelType w:val="hybridMultilevel"/>
    <w:lvl w:ilvl="0">
      <w:lvlJc w:val="left"/>
      <w:lvlText w:val="(%1)"/>
      <w:numFmt w:val="decimal"/>
      <w:start w:val="1"/>
    </w:lvl>
  </w:abstractNum>
  <w:abstractNum w:abstractNumId="110">
    <w:nsid w:val="1C4A08EC"/>
    <w:multiLevelType w:val="hybridMultilevel"/>
    <w:lvl w:ilvl="0">
      <w:lvlJc w:val="left"/>
      <w:lvlText w:val="(%1)"/>
      <w:numFmt w:val="decimal"/>
      <w:start w:val="1"/>
    </w:lvl>
  </w:abstractNum>
  <w:abstractNum w:abstractNumId="111">
    <w:nsid w:val="1958BD17"/>
    <w:multiLevelType w:val="hybridMultilevel"/>
    <w:lvl w:ilvl="0">
      <w:lvlJc w:val="left"/>
      <w:lvlText w:val="(%1)"/>
      <w:numFmt w:val="decimal"/>
      <w:start w:val="1"/>
    </w:lvl>
  </w:abstractNum>
  <w:abstractNum w:abstractNumId="112">
    <w:nsid w:val="4E647FE4"/>
    <w:multiLevelType w:val="hybridMultilevel"/>
    <w:lvl w:ilvl="0">
      <w:lvlJc w:val="left"/>
      <w:lvlText w:val="•"/>
      <w:numFmt w:val="bullet"/>
      <w:start w:val="1"/>
    </w:lvl>
  </w:abstractNum>
  <w:abstractNum w:abstractNumId="113">
    <w:nsid w:val="E0BB885"/>
    <w:multiLevelType w:val="hybridMultilevel"/>
    <w:lvl w:ilvl="0">
      <w:lvlJc w:val="left"/>
      <w:lvlText w:val="•"/>
      <w:numFmt w:val="bullet"/>
      <w:start w:val="1"/>
    </w:lvl>
  </w:abstractNum>
  <w:abstractNum w:abstractNumId="114">
    <w:nsid w:val="565976F1"/>
    <w:multiLevelType w:val="hybridMultilevel"/>
    <w:lvl w:ilvl="0">
      <w:lvlJc w:val="left"/>
      <w:lvlText w:val="•"/>
      <w:numFmt w:val="bullet"/>
      <w:start w:val="1"/>
    </w:lvl>
  </w:abstractNum>
  <w:abstractNum w:abstractNumId="115">
    <w:nsid w:val="64212B8C"/>
    <w:multiLevelType w:val="hybridMultilevel"/>
    <w:lvl w:ilvl="0">
      <w:lvlJc w:val="left"/>
      <w:lvlText w:val="(%1)"/>
      <w:numFmt w:val="decimal"/>
      <w:start w:val="1"/>
    </w:lvl>
  </w:abstractNum>
  <w:abstractNum w:abstractNumId="116">
    <w:nsid w:val="5C17530C"/>
    <w:multiLevelType w:val="hybridMultilevel"/>
    <w:lvl w:ilvl="0">
      <w:lvlJc w:val="left"/>
      <w:lvlText w:val="(%1)"/>
      <w:numFmt w:val="decimal"/>
      <w:start w:val="1"/>
    </w:lvl>
  </w:abstractNum>
  <w:abstractNum w:abstractNumId="117">
    <w:nsid w:val="19A52566"/>
    <w:multiLevelType w:val="hybridMultilevel"/>
    <w:lvl w:ilvl="0">
      <w:lvlJc w:val="left"/>
      <w:lvlText w:val="(%1)"/>
      <w:numFmt w:val="decimal"/>
      <w:start w:val="1"/>
    </w:lvl>
  </w:abstractNum>
  <w:abstractNum w:abstractNumId="118">
    <w:nsid w:val="335A1DF1"/>
    <w:multiLevelType w:val="hybridMultilevel"/>
    <w:lvl w:ilvl="0">
      <w:lvlJc w:val="left"/>
      <w:lvlText w:val="(%1)"/>
      <w:numFmt w:val="decimal"/>
      <w:start w:val="1"/>
    </w:lvl>
  </w:abstractNum>
  <w:abstractNum w:abstractNumId="119">
    <w:nsid w:val="28677B7C"/>
    <w:multiLevelType w:val="hybridMultilevel"/>
    <w:lvl w:ilvl="0">
      <w:lvlJc w:val="left"/>
      <w:lvlText w:val="(%1)"/>
      <w:numFmt w:val="decimal"/>
      <w:start w:val="1"/>
    </w:lvl>
  </w:abstractNum>
  <w:abstractNum w:abstractNumId="120">
    <w:nsid w:val="378D97C0"/>
    <w:multiLevelType w:val="hybridMultilevel"/>
    <w:lvl w:ilvl="0">
      <w:lvlJc w:val="left"/>
      <w:lvlText w:val="†"/>
      <w:numFmt w:val="bullet"/>
      <w:start w:val="1"/>
    </w:lvl>
  </w:abstractNum>
  <w:abstractNum w:abstractNumId="121">
    <w:nsid w:val="1D91467C"/>
    <w:multiLevelType w:val="hybridMultilevel"/>
    <w:lvl w:ilvl="0">
      <w:lvlJc w:val="left"/>
      <w:lvlText w:val="***"/>
      <w:numFmt w:val="bullet"/>
      <w:start w:val="1"/>
    </w:lvl>
  </w:abstractNum>
  <w:abstractNum w:abstractNumId="122">
    <w:nsid w:val="316032BB"/>
    <w:multiLevelType w:val="hybridMultilevel"/>
    <w:lvl w:ilvl="0">
      <w:lvlJc w:val="left"/>
      <w:lvlText w:val="(%1)"/>
      <w:numFmt w:val="lowerLetter"/>
      <w:start w:val="2"/>
    </w:lvl>
  </w:abstractNum>
  <w:abstractNum w:abstractNumId="123">
    <w:nsid w:val="44344C22"/>
    <w:multiLevelType w:val="hybridMultilevel"/>
    <w:lvl w:ilvl="0">
      <w:lvlJc w:val="left"/>
      <w:lvlText w:val="(%1)"/>
      <w:numFmt w:val="lowerRoman"/>
      <w:start w:val="2"/>
    </w:lvl>
  </w:abstractNum>
  <w:abstractNum w:abstractNumId="124">
    <w:nsid w:val="13CDFCFC"/>
    <w:multiLevelType w:val="hybridMultilevel"/>
    <w:lvl w:ilvl="0">
      <w:lvlJc w:val="left"/>
      <w:lvlText w:val="(%1)"/>
      <w:numFmt w:val="lowerLetter"/>
      <w:start w:val="2"/>
    </w:lvl>
  </w:abstractNum>
  <w:abstractNum w:abstractNumId="125">
    <w:nsid w:val="471745E4"/>
    <w:multiLevelType w:val="hybridMultilevel"/>
    <w:lvl w:ilvl="0">
      <w:lvlJc w:val="left"/>
      <w:lvlText w:val="(%1)"/>
      <w:numFmt w:val="lowerLetter"/>
      <w:start w:val="1"/>
    </w:lvl>
    <w:lvl w:ilvl="1">
      <w:lvlJc w:val="left"/>
      <w:lvlText w:val="(%2)"/>
      <w:numFmt w:val="lowerLetter"/>
      <w:start w:val="9"/>
    </w:lvl>
  </w:abstractNum>
  <w:abstractNum w:abstractNumId="126">
    <w:nsid w:val="1DDBC66"/>
    <w:multiLevelType w:val="hybridMultilevel"/>
    <w:lvl w:ilvl="0">
      <w:lvlJc w:val="left"/>
      <w:lvlText w:val="(%1)"/>
      <w:numFmt w:val="lowerLetter"/>
      <w:start w:val="35"/>
    </w:lvl>
    <w:lvl w:ilvl="1">
      <w:lvlJc w:val="left"/>
      <w:lvlText w:val="(%2)"/>
      <w:numFmt w:val="lowerLetter"/>
      <w:start w:val="24"/>
    </w:lvl>
  </w:abstractNum>
  <w:abstractNum w:abstractNumId="127">
    <w:nsid w:val="30AADFDA"/>
    <w:multiLevelType w:val="hybridMultilevel"/>
    <w:lvl w:ilvl="0">
      <w:lvlJc w:val="left"/>
      <w:lvlText w:val="(%1)"/>
      <w:numFmt w:val="lowerLetter"/>
      <w:start w:val="2"/>
    </w:lvl>
  </w:abstractNum>
  <w:abstractNum w:abstractNumId="128">
    <w:nsid w:val="30EADA61"/>
    <w:multiLevelType w:val="hybridMultilevel"/>
    <w:lvl w:ilvl="0">
      <w:lvlJc w:val="left"/>
      <w:lvlText w:val="(%1)"/>
      <w:numFmt w:val="lowerLetter"/>
      <w:start w:val="2"/>
    </w:lvl>
  </w:abstractNum>
  <w:abstractNum w:abstractNumId="129">
    <w:nsid w:val="27179C0B"/>
    <w:multiLevelType w:val="hybridMultilevel"/>
    <w:lvl w:ilvl="0">
      <w:lvlJc w:val="left"/>
      <w:lvlText w:val="(%1)"/>
      <w:numFmt w:val="decimal"/>
      <w:start w:val="3"/>
    </w:lvl>
  </w:abstractNum>
  <w:abstractNum w:abstractNumId="130">
    <w:nsid w:val="5E636063"/>
    <w:multiLevelType w:val="hybridMultilevel"/>
    <w:lvl w:ilvl="0">
      <w:lvlJc w:val="left"/>
      <w:lvlText w:val="(%1)"/>
      <w:numFmt w:val="lowerLetter"/>
      <w:start w:val="3"/>
    </w:lvl>
  </w:abstractNum>
  <w:abstractNum w:abstractNumId="131">
    <w:nsid w:val="215641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32">
    <w:nsid w:val="5328066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133">
    <w:nsid w:val="46B24DBC"/>
    <w:multiLevelType w:val="hybridMultilevel"/>
    <w:lvl w:ilvl="0">
      <w:lvlJc w:val="left"/>
      <w:lvlText w:val="%1"/>
      <w:numFmt w:val="lowerLetter"/>
      <w:start w:val="1"/>
    </w:lvl>
    <w:lvl w:ilvl="1">
      <w:lvlJc w:val="left"/>
      <w:lvlText w:val="(%2)"/>
      <w:numFmt w:val="lowerLetter"/>
      <w:start w:val="61"/>
    </w:lvl>
  </w:abstractNum>
  <w:abstractNum w:abstractNumId="134">
    <w:nsid w:val="75B52783"/>
    <w:multiLevelType w:val="hybridMultilevel"/>
    <w:lvl w:ilvl="0">
      <w:lvlJc w:val="left"/>
      <w:lvlText w:val="(%1)"/>
      <w:numFmt w:val="lowerLetter"/>
      <w:start w:val="2"/>
    </w:lvl>
    <w:lvl w:ilvl="1">
      <w:lvlJc w:val="left"/>
      <w:lvlText w:val="(%2)"/>
      <w:numFmt w:val="lowerLetter"/>
      <w:start w:val="9"/>
    </w:lvl>
  </w:abstractNum>
  <w:abstractNum w:abstractNumId="135">
    <w:nsid w:val="57CE66B4"/>
    <w:multiLevelType w:val="hybridMultilevel"/>
    <w:lvl w:ilvl="0">
      <w:lvlJc w:val="left"/>
      <w:lvlText w:val="(%1)"/>
      <w:numFmt w:val="lowerRoman"/>
      <w:start w:val="2"/>
    </w:lvl>
  </w:abstractNum>
  <w:abstractNum w:abstractNumId="136">
    <w:nsid w:val="67A70B69"/>
    <w:multiLevelType w:val="hybridMultilevel"/>
    <w:lvl w:ilvl="0">
      <w:lvlJc w:val="left"/>
      <w:lvlText w:val="(%1)"/>
      <w:numFmt w:val="lowerRoman"/>
      <w:start w:val="3"/>
    </w:lvl>
  </w:abstractNum>
  <w:abstractNum w:abstractNumId="137">
    <w:nsid w:val="5953172F"/>
    <w:multiLevelType w:val="hybridMultilevel"/>
    <w:lvl w:ilvl="0">
      <w:lvlJc w:val="left"/>
      <w:lvlText w:val="(%1)"/>
      <w:numFmt w:val="lowerLetter"/>
      <w:start w:val="1"/>
    </w:lvl>
  </w:abstractNum>
  <w:abstractNum w:abstractNumId="138">
    <w:nsid w:val="27EDFE3A"/>
    <w:multiLevelType w:val="hybridMultilevel"/>
    <w:lvl w:ilvl="0">
      <w:lvlJc w:val="left"/>
      <w:lvlText w:val="(%1)"/>
      <w:numFmt w:val="lowerLetter"/>
      <w:start w:val="1"/>
    </w:lvl>
  </w:abstractNum>
  <w:abstractNum w:abstractNumId="139">
    <w:nsid w:val="52AC7DFF"/>
    <w:multiLevelType w:val="hybridMultilevel"/>
    <w:lvl w:ilvl="0">
      <w:lvlJc w:val="left"/>
      <w:lvlText w:val="(%1)"/>
      <w:numFmt w:val="lowerLetter"/>
      <w:start w:val="2"/>
    </w:lvl>
  </w:abstractNum>
  <w:abstractNum w:abstractNumId="140">
    <w:nsid w:val="C4C3AF"/>
    <w:multiLevelType w:val="hybridMultilevel"/>
    <w:lvl w:ilvl="0">
      <w:lvlJc w:val="left"/>
      <w:lvlText w:val="(%1)"/>
      <w:numFmt w:val="lowerRoman"/>
      <w:start w:val="4"/>
    </w:lvl>
  </w:abstractNum>
  <w:abstractNum w:abstractNumId="141">
    <w:nsid w:val="44380727"/>
    <w:multiLevelType w:val="hybridMultilevel"/>
    <w:lvl w:ilvl="0">
      <w:lvlJc w:val="left"/>
      <w:lvlText w:val="(%1)"/>
      <w:numFmt w:val="lowerRoman"/>
      <w:start w:val="2"/>
    </w:lvl>
  </w:abstractNum>
  <w:abstractNum w:abstractNumId="142">
    <w:nsid w:val="6C053B16"/>
    <w:multiLevelType w:val="hybridMultilevel"/>
    <w:lvl w:ilvl="0">
      <w:lvlJc w:val="left"/>
      <w:lvlText w:val="(%1)"/>
      <w:numFmt w:val="lowerLetter"/>
      <w:start w:val="2"/>
    </w:lvl>
  </w:abstractNum>
  <w:abstractNum w:abstractNumId="143">
    <w:nsid w:val="4F294393"/>
    <w:multiLevelType w:val="hybridMultilevel"/>
    <w:lvl w:ilvl="0">
      <w:lvlJc w:val="left"/>
      <w:lvlText w:val="(%1)"/>
      <w:numFmt w:val="lowerLetter"/>
      <w:start w:val="4"/>
    </w:lvl>
  </w:abstractNum>
  <w:abstractNum w:abstractNumId="144">
    <w:nsid w:val="5243BFAC"/>
    <w:multiLevelType w:val="hybridMultilevel"/>
    <w:lvl w:ilvl="0">
      <w:lvlJc w:val="left"/>
      <w:lvlText w:val="(%1)"/>
      <w:numFmt w:val="lowerLetter"/>
      <w:start w:val="2"/>
    </w:lvl>
  </w:abstractNum>
  <w:abstractNum w:abstractNumId="145">
    <w:nsid w:val="425EB207"/>
    <w:multiLevelType w:val="hybridMultilevel"/>
    <w:lvl w:ilvl="0">
      <w:lvlJc w:val="left"/>
      <w:lvlText w:val="(%1)"/>
      <w:numFmt w:val="lowerLetter"/>
      <w:start w:val="2"/>
    </w:lvl>
  </w:abstractNum>
  <w:abstractNum w:abstractNumId="146">
    <w:nsid w:val="334A6F1F"/>
    <w:multiLevelType w:val="hybridMultilevel"/>
    <w:lvl w:ilvl="0">
      <w:lvlJc w:val="left"/>
      <w:lvlText w:val="(%1)"/>
      <w:numFmt w:val="lowerLetter"/>
      <w:start w:val="4"/>
    </w:lvl>
  </w:abstractNum>
  <w:abstractNum w:abstractNumId="147">
    <w:nsid w:val="2E5B12B8"/>
    <w:multiLevelType w:val="hybridMultilevel"/>
    <w:lvl w:ilvl="0">
      <w:lvlJc w:val="left"/>
      <w:lvlText w:val="(%1)"/>
      <w:numFmt w:val="lowerLetter"/>
      <w:start w:val="1"/>
    </w:lvl>
  </w:abstractNum>
  <w:abstractNum w:abstractNumId="148">
    <w:nsid w:val="5C03D76D"/>
    <w:multiLevelType w:val="hybridMultilevel"/>
    <w:lvl w:ilvl="0">
      <w:lvlJc w:val="left"/>
      <w:lvlText w:val="(%1)"/>
      <w:numFmt w:val="lowerLetter"/>
      <w:start w:val="3"/>
    </w:lvl>
  </w:abstractNum>
  <w:abstractNum w:abstractNumId="149">
    <w:nsid w:val="66A48D11"/>
    <w:multiLevelType w:val="hybridMultilevel"/>
    <w:lvl w:ilvl="0">
      <w:lvlJc w:val="left"/>
      <w:lvlText w:val="(%1)"/>
      <w:numFmt w:val="lowerLetter"/>
      <w:start w:val="1"/>
    </w:lvl>
  </w:abstractNum>
  <w:abstractNum w:abstractNumId="150">
    <w:nsid w:val="56C28E34"/>
    <w:multiLevelType w:val="hybridMultilevel"/>
    <w:lvl w:ilvl="0">
      <w:lvlJc w:val="left"/>
      <w:lvlText w:val="(%1)"/>
      <w:numFmt w:val="lowerLetter"/>
      <w:start w:val="2"/>
    </w:lvl>
  </w:abstractNum>
  <w:abstractNum w:abstractNumId="151">
    <w:nsid w:val="13916F2D"/>
    <w:multiLevelType w:val="hybridMultilevel"/>
    <w:lvl w:ilvl="0">
      <w:lvlJc w:val="left"/>
      <w:lvlText w:val="(%1)"/>
      <w:numFmt w:val="lowerLetter"/>
      <w:start w:val="1"/>
    </w:lvl>
  </w:abstractNum>
  <w:abstractNum w:abstractNumId="152">
    <w:nsid w:val="435D38D"/>
    <w:multiLevelType w:val="hybridMultilevel"/>
    <w:lvl w:ilvl="0">
      <w:lvlJc w:val="left"/>
      <w:lvlText w:val="(%1)"/>
      <w:numFmt w:val="lowerLetter"/>
      <w:start w:val="2"/>
    </w:lvl>
  </w:abstractNum>
  <w:abstractNum w:abstractNumId="153">
    <w:nsid w:val="822C0EF"/>
    <w:multiLevelType w:val="hybridMultilevel"/>
    <w:lvl w:ilvl="0">
      <w:lvlJc w:val="left"/>
      <w:lvlText w:val="(%1)"/>
      <w:numFmt w:val="lowerLetter"/>
      <w:start w:val="2"/>
    </w:lvl>
  </w:abstractNum>
  <w:abstractNum w:abstractNumId="154">
    <w:nsid w:val="57C5BB4F"/>
    <w:multiLevelType w:val="hybridMultilevel"/>
    <w:lvl w:ilvl="0">
      <w:lvlJc w:val="left"/>
      <w:lvlText w:val="(%1)"/>
      <w:numFmt w:val="lowerLetter"/>
      <w:start w:val="2"/>
    </w:lvl>
  </w:abstractNum>
  <w:abstractNum w:abstractNumId="155">
    <w:nsid w:val="1803D089"/>
    <w:multiLevelType w:val="hybridMultilevel"/>
    <w:lvl w:ilvl="0">
      <w:lvlJc w:val="left"/>
      <w:lvlText w:val="(%1)"/>
      <w:numFmt w:val="lowerLetter"/>
      <w:start w:val="4"/>
    </w:lvl>
  </w:abstractNum>
  <w:abstractNum w:abstractNumId="156">
    <w:nsid w:val="4F3A06D4"/>
    <w:multiLevelType w:val="hybridMultilevel"/>
    <w:lvl w:ilvl="0">
      <w:lvlJc w:val="left"/>
      <w:lvlText w:val="(%1)"/>
      <w:numFmt w:val="lowerLetter"/>
      <w:start w:val="1"/>
    </w:lvl>
  </w:abstractNum>
  <w:abstractNum w:abstractNumId="157">
    <w:nsid w:val="59A377B6"/>
    <w:multiLevelType w:val="hybridMultilevel"/>
    <w:lvl w:ilvl="0">
      <w:lvlJc w:val="left"/>
      <w:lvlText w:val="(%1)"/>
      <w:numFmt w:val="lowerLetter"/>
      <w:start w:val="1"/>
    </w:lvl>
  </w:abstractNum>
  <w:abstractNum w:abstractNumId="158">
    <w:nsid w:val="48AEB063"/>
    <w:multiLevelType w:val="hybridMultilevel"/>
    <w:lvl w:ilvl="0">
      <w:lvlJc w:val="left"/>
      <w:lvlText w:val="(%1)"/>
      <w:numFmt w:val="lowerLetter"/>
      <w:start w:val="2"/>
    </w:lvl>
  </w:abstractNum>
  <w:abstractNum w:abstractNumId="159">
    <w:nsid w:val="24E135"/>
    <w:multiLevelType w:val="hybridMultilevel"/>
    <w:lvl w:ilvl="0">
      <w:lvlJc w:val="left"/>
      <w:lvlText w:val="(%1)"/>
      <w:numFmt w:val="lowerLetter"/>
      <w:start w:val="2"/>
    </w:lvl>
  </w:abstractNum>
  <w:abstractNum w:abstractNumId="160">
    <w:nsid w:val="BB13C1"/>
    <w:multiLevelType w:val="hybridMultilevel"/>
    <w:lvl w:ilvl="0">
      <w:lvlJc w:val="left"/>
      <w:lvlText w:val="(%1)"/>
      <w:numFmt w:val="lowerLetter"/>
      <w:start w:val="1"/>
    </w:lvl>
  </w:abstractNum>
  <w:abstractNum w:abstractNumId="161">
    <w:nsid w:val="271210C7"/>
    <w:multiLevelType w:val="hybridMultilevel"/>
    <w:lvl w:ilvl="0">
      <w:lvlJc w:val="left"/>
      <w:lvlText w:val="(%1)"/>
      <w:numFmt w:val="decimal"/>
      <w:start w:val="3"/>
    </w:lvl>
    <w:lvl w:ilvl="1">
      <w:lvlJc w:val="left"/>
      <w:lvlText w:val="(%2)"/>
      <w:numFmt w:val="lowerLetter"/>
      <w:start w:val="2"/>
    </w:lvl>
  </w:abstractNum>
  <w:abstractNum w:abstractNumId="162">
    <w:nsid w:val="217B22E4"/>
    <w:multiLevelType w:val="hybridMultilevel"/>
    <w:lvl w:ilvl="0">
      <w:lvlJc w:val="left"/>
      <w:lvlText w:val="(%1)"/>
      <w:numFmt w:val="lowerLetter"/>
      <w:start w:val="4"/>
    </w:lvl>
  </w:abstractNum>
  <w:abstractNum w:abstractNumId="163">
    <w:nsid w:val="53E31A24"/>
    <w:multiLevelType w:val="hybridMultilevel"/>
    <w:lvl w:ilvl="0">
      <w:lvlJc w:val="left"/>
      <w:lvlText w:val="(%1)"/>
      <w:numFmt w:val="lowerLetter"/>
      <w:start w:val="1"/>
    </w:lvl>
  </w:abstractNum>
  <w:abstractNum w:abstractNumId="164">
    <w:nsid w:val="6DC45E83"/>
    <w:multiLevelType w:val="hybridMultilevel"/>
    <w:lvl w:ilvl="0">
      <w:lvlJc w:val="left"/>
      <w:lvlText w:val="(%1)"/>
      <w:numFmt w:val="lowerLetter"/>
      <w:start w:val="2"/>
    </w:lvl>
  </w:abstractNum>
  <w:abstractNum w:abstractNumId="165">
    <w:nsid w:val="17304A67"/>
    <w:multiLevelType w:val="hybridMultilevel"/>
    <w:lvl w:ilvl="0">
      <w:lvlJc w:val="left"/>
      <w:lvlText w:val="%1"/>
      <w:numFmt w:val="lowerLetter"/>
      <w:start w:val="1"/>
    </w:lvl>
    <w:lvl w:ilvl="1">
      <w:lvlJc w:val="left"/>
      <w:lvlText w:val="(%2)"/>
      <w:numFmt w:val="lowerLetter"/>
      <w:start w:val="5"/>
    </w:lvl>
  </w:abstractNum>
  <w:abstractNum w:abstractNumId="166">
    <w:nsid w:val="2BB180D8"/>
    <w:multiLevelType w:val="hybridMultilevel"/>
    <w:lvl w:ilvl="0">
      <w:lvlJc w:val="left"/>
      <w:lvlText w:val="(%1)"/>
      <w:numFmt w:val="lowerLetter"/>
      <w:start w:val="22"/>
    </w:lvl>
    <w:lvl w:ilvl="1">
      <w:lvlJc w:val="left"/>
      <w:lvlText w:val="%2"/>
      <w:numFmt w:val="lowerLetter"/>
      <w:start w:val="1"/>
    </w:lvl>
  </w:abstractNum>
  <w:abstractNum w:abstractNumId="167">
    <w:nsid w:val="556B69ED"/>
    <w:multiLevelType w:val="hybridMultilevel"/>
    <w:lvl w:ilvl="0">
      <w:lvlJc w:val="left"/>
      <w:lvlText w:val="%1"/>
      <w:numFmt w:val="lowerLetter"/>
      <w:start w:val="1"/>
    </w:lvl>
    <w:lvl w:ilvl="1">
      <w:lvlJc w:val="left"/>
      <w:lvlText w:val="(%2)"/>
      <w:numFmt w:val="lowerLetter"/>
      <w:start w:val="9"/>
    </w:lvl>
  </w:abstractNum>
  <w:abstractNum w:abstractNumId="168">
    <w:nsid w:val="70836196"/>
    <w:multiLevelType w:val="hybridMultilevel"/>
    <w:lvl w:ilvl="0">
      <w:lvlJc w:val="left"/>
      <w:lvlText w:val="(%1)"/>
      <w:numFmt w:val="lowerLetter"/>
      <w:start w:val="9"/>
    </w:lvl>
    <w:lvl w:ilvl="1">
      <w:lvlJc w:val="left"/>
      <w:lvlText w:val="(%2)"/>
      <w:numFmt w:val="lowerLetter"/>
      <w:start w:val="11"/>
    </w:lvl>
  </w:abstractNum>
  <w:abstractNum w:abstractNumId="169">
    <w:nsid w:val="539F7F12"/>
    <w:multiLevelType w:val="hybridMultilevel"/>
    <w:lvl w:ilvl="0">
      <w:lvlJc w:val="left"/>
      <w:lvlText w:val="(%1)"/>
      <w:numFmt w:val="lowerLetter"/>
      <w:start w:val="13"/>
    </w:lvl>
  </w:abstractNum>
  <w:abstractNum w:abstractNumId="170">
    <w:nsid w:val="2817E7EC"/>
    <w:multiLevelType w:val="hybridMultilevel"/>
    <w:lvl w:ilvl="0">
      <w:lvlJc w:val="left"/>
      <w:lvlText w:val="(%1)"/>
      <w:numFmt w:val="lowerLetter"/>
      <w:start w:val="1"/>
    </w:lvl>
  </w:abstractNum>
  <w:abstractNum w:abstractNumId="171">
    <w:nsid w:val="71482545"/>
    <w:multiLevelType w:val="hybridMultilevel"/>
    <w:lvl w:ilvl="0">
      <w:lvlJc w:val="left"/>
      <w:lvlText w:val="(%1)"/>
      <w:numFmt w:val="lowerLetter"/>
      <w:start w:val="1"/>
    </w:lvl>
  </w:abstractNum>
  <w:abstractNum w:abstractNumId="172">
    <w:nsid w:val="17D78639"/>
    <w:multiLevelType w:val="hybridMultilevel"/>
    <w:lvl w:ilvl="0">
      <w:lvlJc w:val="left"/>
      <w:lvlText w:val="(%1)"/>
      <w:numFmt w:val="lowerLetter"/>
      <w:start w:val="2"/>
    </w:lvl>
  </w:abstractNum>
  <w:abstractNum w:abstractNumId="173">
    <w:nsid w:val="141D2302"/>
    <w:multiLevelType w:val="hybridMultilevel"/>
    <w:lvl w:ilvl="0">
      <w:lvlJc w:val="left"/>
      <w:lvlText w:val="(%1)"/>
      <w:numFmt w:val="lowerLetter"/>
      <w:start w:val="4"/>
    </w:lvl>
  </w:abstractNum>
  <w:abstractNum w:abstractNumId="174">
    <w:nsid w:val="407168D8"/>
    <w:multiLevelType w:val="hybridMultilevel"/>
    <w:lvl w:ilvl="0">
      <w:lvlJc w:val="left"/>
      <w:lvlText w:val="(%1)"/>
      <w:numFmt w:val="lowerLetter"/>
      <w:start w:val="2"/>
    </w:lvl>
  </w:abstractNum>
  <w:abstractNum w:abstractNumId="175">
    <w:nsid w:val="6A1B45E5"/>
    <w:multiLevelType w:val="hybridMultilevel"/>
    <w:lvl w:ilvl="0">
      <w:lvlJc w:val="left"/>
      <w:lvlText w:val="(%1)"/>
      <w:numFmt w:val="lowerLetter"/>
      <w:start w:val="1"/>
    </w:lvl>
  </w:abstractNum>
  <w:abstractNum w:abstractNumId="176">
    <w:nsid w:val="567BD50A"/>
    <w:multiLevelType w:val="hybridMultilevel"/>
    <w:lvl w:ilvl="0">
      <w:lvlJc w:val="left"/>
      <w:lvlText w:val="(%1)"/>
      <w:numFmt w:val="lowerLetter"/>
      <w:start w:val="2"/>
    </w:lvl>
  </w:abstractNum>
  <w:abstractNum w:abstractNumId="177">
    <w:nsid w:val="73BBD7F8"/>
    <w:multiLevelType w:val="hybridMultilevel"/>
    <w:lvl w:ilvl="0">
      <w:lvlJc w:val="left"/>
      <w:lvlText w:val="(%1)"/>
      <w:numFmt w:val="lowerLetter"/>
      <w:start w:val="4"/>
    </w:lvl>
  </w:abstractNum>
  <w:abstractNum w:abstractNumId="178">
    <w:nsid w:val="1876589D"/>
    <w:multiLevelType w:val="hybridMultilevel"/>
    <w:lvl w:ilvl="0">
      <w:lvlJc w:val="left"/>
      <w:lvlText w:val="(%1)"/>
      <w:numFmt w:val="lowerLetter"/>
      <w:start w:val="1"/>
    </w:lvl>
  </w:abstractNum>
  <w:abstractNum w:abstractNumId="179">
    <w:nsid w:val="327FAC77"/>
    <w:multiLevelType w:val="hybridMultilevel"/>
    <w:lvl w:ilvl="0">
      <w:lvlJc w:val="left"/>
      <w:lvlText w:val="(%1)"/>
      <w:numFmt w:val="lowerLetter"/>
      <w:start w:val="3"/>
    </w:lvl>
  </w:abstractNum>
  <w:abstractNum w:abstractNumId="180">
    <w:nsid w:val="5A606509"/>
    <w:multiLevelType w:val="hybridMultilevel"/>
    <w:lvl w:ilvl="0">
      <w:lvlJc w:val="left"/>
      <w:lvlText w:val="%1"/>
      <w:numFmt w:val="lowerLetter"/>
      <w:start w:val="1"/>
    </w:lvl>
    <w:lvl w:ilvl="1">
      <w:lvlJc w:val="left"/>
      <w:lvlText w:val="(%2)"/>
      <w:numFmt w:val="lowerLetter"/>
      <w:start w:val="7"/>
    </w:lvl>
  </w:abstractNum>
  <w:abstractNum w:abstractNumId="181">
    <w:nsid w:val="6F38E6D1"/>
    <w:multiLevelType w:val="hybridMultilevel"/>
    <w:lvl w:ilvl="0">
      <w:lvlJc w:val="left"/>
      <w:lvlText w:val="(%1)"/>
      <w:numFmt w:val="lowerLetter"/>
      <w:start w:val="22"/>
    </w:lvl>
    <w:lvl w:ilvl="1">
      <w:lvlJc w:val="left"/>
      <w:lvlText w:val="(%2)"/>
      <w:numFmt w:val="lowerLetter"/>
      <w:start w:val="9"/>
    </w:lvl>
  </w:abstractNum>
  <w:abstractNum w:abstractNumId="182">
    <w:nsid w:val="46111BA5"/>
    <w:multiLevelType w:val="hybridMultilevel"/>
    <w:lvl w:ilvl="0">
      <w:lvlJc w:val="left"/>
      <w:lvlText w:val="(%1)"/>
      <w:numFmt w:val="lowerLetter"/>
      <w:start w:val="10"/>
    </w:lvl>
  </w:abstractNum>
  <w:abstractNum w:abstractNumId="183">
    <w:nsid w:val="5E963896"/>
    <w:multiLevelType w:val="hybridMultilevel"/>
    <w:lvl w:ilvl="0">
      <w:lvlJc w:val="left"/>
      <w:lvlText w:val="(%1)"/>
      <w:numFmt w:val="lowerLetter"/>
      <w:start w:val="15"/>
    </w:lvl>
  </w:abstractNum>
  <w:abstractNum w:abstractNumId="184">
    <w:nsid w:val="775BA7C1"/>
    <w:multiLevelType w:val="hybridMultilevel"/>
    <w:lvl w:ilvl="0">
      <w:lvlJc w:val="left"/>
      <w:lvlText w:val="(%1)"/>
      <w:numFmt w:val="lowerLetter"/>
      <w:start w:val="1"/>
    </w:lvl>
  </w:abstractNum>
  <w:abstractNum w:abstractNumId="185">
    <w:nsid w:val="1DD6D6F4"/>
    <w:multiLevelType w:val="hybridMultilevel"/>
    <w:lvl w:ilvl="0">
      <w:lvlJc w:val="left"/>
      <w:lvlText w:val="(%1)"/>
      <w:numFmt w:val="lowerLetter"/>
      <w:start w:val="3"/>
    </w:lvl>
  </w:abstractNum>
  <w:abstractNum w:abstractNumId="186">
    <w:nsid w:val="769A091F"/>
    <w:multiLevelType w:val="hybridMultilevel"/>
    <w:lvl w:ilvl="0">
      <w:lvlJc w:val="left"/>
      <w:lvlText w:val="(%1)"/>
      <w:numFmt w:val="lowerLetter"/>
      <w:start w:val="1"/>
    </w:lvl>
  </w:abstractNum>
  <w:abstractNum w:abstractNumId="187">
    <w:nsid w:val="4695AE95"/>
    <w:multiLevelType w:val="hybridMultilevel"/>
    <w:lvl w:ilvl="0">
      <w:lvlJc w:val="left"/>
      <w:lvlText w:val="(%1)"/>
      <w:numFmt w:val="lowerLetter"/>
      <w:start w:val="2"/>
    </w:lvl>
  </w:abstractNum>
  <w:abstractNum w:abstractNumId="188">
    <w:nsid w:val="777A4EAA"/>
    <w:multiLevelType w:val="hybridMultilevel"/>
    <w:lvl w:ilvl="0">
      <w:lvlJc w:val="left"/>
      <w:lvlText w:val="(%1)"/>
      <w:numFmt w:val="lowerLetter"/>
      <w:start w:val="2"/>
    </w:lvl>
  </w:abstractNum>
  <w:abstractNum w:abstractNumId="189">
    <w:nsid w:val="3F48B982"/>
    <w:multiLevelType w:val="hybridMultilevel"/>
    <w:lvl w:ilvl="0">
      <w:lvlJc w:val="left"/>
      <w:lvlText w:val="(%1)"/>
      <w:numFmt w:val="lowerLetter"/>
      <w:start w:val="2"/>
    </w:lvl>
  </w:abstractNum>
  <w:abstractNum w:abstractNumId="190">
    <w:nsid w:val="46BA8FCA"/>
    <w:multiLevelType w:val="hybridMultilevel"/>
    <w:lvl w:ilvl="0">
      <w:lvlJc w:val="left"/>
      <w:lvlText w:val="(%1)"/>
      <w:numFmt w:val="lowerLetter"/>
      <w:start w:val="1"/>
    </w:lvl>
  </w:abstractNum>
  <w:abstractNum w:abstractNumId="191">
    <w:nsid w:val="7835626C"/>
    <w:multiLevelType w:val="hybridMultilevel"/>
    <w:lvl w:ilvl="0">
      <w:lvlJc w:val="left"/>
      <w:lvlText w:val="(%1)"/>
      <w:numFmt w:val="lowerLetter"/>
      <w:start w:val="2"/>
    </w:lvl>
  </w:abstractNum>
  <w:abstractNum w:abstractNumId="192">
    <w:nsid w:val="665ACA49"/>
    <w:multiLevelType w:val="hybridMultilevel"/>
    <w:lvl w:ilvl="0">
      <w:lvlJc w:val="left"/>
      <w:lvlText w:val="(%1)"/>
      <w:numFmt w:val="lowerLetter"/>
      <w:start w:val="4"/>
    </w:lvl>
  </w:abstractNum>
  <w:abstractNum w:abstractNumId="193">
    <w:nsid w:val="6835B2AE"/>
    <w:multiLevelType w:val="hybridMultilevel"/>
    <w:lvl w:ilvl="0">
      <w:lvlJc w:val="left"/>
      <w:lvlText w:val="(%1)"/>
      <w:numFmt w:val="lowerLetter"/>
      <w:start w:val="1"/>
    </w:lvl>
  </w:abstractNum>
  <w:abstractNum w:abstractNumId="194">
    <w:nsid w:val="4C187C90"/>
    <w:multiLevelType w:val="hybridMultilevel"/>
    <w:lvl w:ilvl="0">
      <w:lvlJc w:val="left"/>
      <w:lvlText w:val="(%1)"/>
      <w:numFmt w:val="lowerLetter"/>
      <w:start w:val="2"/>
    </w:lvl>
  </w:abstractNum>
  <w:abstractNum w:abstractNumId="195">
    <w:nsid w:val="541F28CD"/>
    <w:multiLevelType w:val="hybridMultilevel"/>
    <w:lvl w:ilvl="0">
      <w:lvlJc w:val="left"/>
      <w:lvlText w:val="%1"/>
      <w:numFmt w:val="lowerLetter"/>
      <w:start w:val="1"/>
    </w:lvl>
    <w:lvl w:ilvl="1">
      <w:lvlJc w:val="left"/>
      <w:lvlText w:val="(%2)"/>
      <w:numFmt w:val="lowerLetter"/>
      <w:start w:val="5"/>
    </w:lvl>
  </w:abstractNum>
  <w:abstractNum w:abstractNumId="196">
    <w:nsid w:val="7F65FD16"/>
    <w:multiLevelType w:val="hybridMultilevel"/>
    <w:lvl w:ilvl="0">
      <w:lvlJc w:val="left"/>
      <w:lvlText w:val="(%1)"/>
      <w:numFmt w:val="lowerLetter"/>
      <w:start w:val="22"/>
    </w:lvl>
    <w:lvl w:ilvl="1">
      <w:lvlJc w:val="left"/>
      <w:lvlText w:val="%2"/>
      <w:numFmt w:val="lowerLetter"/>
      <w:start w:val="1"/>
    </w:lvl>
  </w:abstractNum>
  <w:abstractNum w:abstractNumId="197">
    <w:nsid w:val="77C9FD68"/>
    <w:multiLevelType w:val="hybridMultilevel"/>
    <w:lvl w:ilvl="0">
      <w:lvlJc w:val="left"/>
      <w:lvlText w:val="%1"/>
      <w:numFmt w:val="lowerLetter"/>
      <w:start w:val="1"/>
    </w:lvl>
    <w:lvl w:ilvl="1">
      <w:lvlJc w:val="left"/>
      <w:lvlText w:val="(%2)"/>
      <w:numFmt w:val="lowerLetter"/>
      <w:start w:val="9"/>
    </w:lvl>
  </w:abstractNum>
  <w:abstractNum w:abstractNumId="198">
    <w:nsid w:val="298A92BA"/>
    <w:multiLevelType w:val="hybridMultilevel"/>
    <w:lvl w:ilvl="0">
      <w:lvlJc w:val="left"/>
      <w:lvlText w:val="(%1)"/>
      <w:numFmt w:val="lowerLetter"/>
      <w:start w:val="9"/>
    </w:lvl>
    <w:lvl w:ilvl="1">
      <w:lvlJc w:val="left"/>
      <w:lvlText w:val="(%2)"/>
      <w:numFmt w:val="lowerLetter"/>
      <w:start w:val="11"/>
    </w:lvl>
  </w:abstractNum>
  <w:abstractNum w:abstractNumId="199">
    <w:nsid w:val="6FE95EAC"/>
    <w:multiLevelType w:val="hybridMultilevel"/>
    <w:lvl w:ilvl="0">
      <w:lvlJc w:val="left"/>
      <w:lvlText w:val="(%1)"/>
      <w:numFmt w:val="lowerLetter"/>
      <w:start w:val="13"/>
    </w:lvl>
  </w:abstractNum>
  <w:abstractNum w:abstractNumId="200">
    <w:nsid w:val="4B697C7A"/>
    <w:multiLevelType w:val="hybridMultilevel"/>
    <w:lvl w:ilvl="0">
      <w:lvlJc w:val="left"/>
      <w:lvlText w:val="(%1)"/>
      <w:numFmt w:val="lowerLetter"/>
      <w:start w:val="1"/>
    </w:lvl>
  </w:abstractNum>
  <w:abstractNum w:abstractNumId="201">
    <w:nsid w:val="51A27AA6"/>
    <w:multiLevelType w:val="hybridMultilevel"/>
    <w:lvl w:ilvl="0">
      <w:lvlJc w:val="left"/>
      <w:lvlText w:val="(%1)"/>
      <w:numFmt w:val="lowerLetter"/>
      <w:start w:val="1"/>
    </w:lvl>
  </w:abstractNum>
  <w:abstractNum w:abstractNumId="202">
    <w:nsid w:val="613183F2"/>
    <w:multiLevelType w:val="hybridMultilevel"/>
    <w:lvl w:ilvl="0">
      <w:lvlJc w:val="left"/>
      <w:lvlText w:val="%1"/>
      <w:numFmt w:val="lowerLetter"/>
      <w:start w:val="1"/>
    </w:lvl>
    <w:lvl w:ilvl="1">
      <w:lvlJc w:val="left"/>
      <w:lvlText w:val="(%2)"/>
      <w:numFmt w:val="decimal"/>
      <w:start w:val="1"/>
    </w:lvl>
  </w:abstractNum>
  <w:abstractNum w:abstractNumId="203">
    <w:nsid w:val="634102B4"/>
    <w:multiLevelType w:val="hybridMultilevel"/>
    <w:lvl w:ilvl="0">
      <w:lvlJc w:val="left"/>
      <w:lvlText w:val="(%1)"/>
      <w:numFmt w:val="lowerLetter"/>
      <w:start w:val="3"/>
    </w:lvl>
    <w:lvl w:ilvl="1">
      <w:lvlJc w:val="left"/>
      <w:lvlText w:val="%2"/>
      <w:numFmt w:val="decimal"/>
      <w:start w:val="1"/>
    </w:lvl>
  </w:abstractNum>
  <w:abstractNum w:abstractNumId="204">
    <w:nsid w:val="65BF9DA8"/>
    <w:multiLevelType w:val="hybridMultilevel"/>
    <w:lvl w:ilvl="0">
      <w:lvlJc w:val="left"/>
      <w:lvlText w:val="%1"/>
      <w:numFmt w:val="lowerLetter"/>
      <w:start w:val="1"/>
    </w:lvl>
    <w:lvl w:ilvl="1">
      <w:lvlJc w:val="left"/>
      <w:lvlText w:val="(%2)"/>
      <w:numFmt w:val="decimal"/>
      <w:start w:val="3"/>
    </w:lvl>
  </w:abstractNum>
  <w:abstractNum w:abstractNumId="205">
    <w:nsid w:val="21A2ECCA"/>
    <w:multiLevelType w:val="hybridMultilevel"/>
    <w:lvl w:ilvl="0">
      <w:lvlJc w:val="left"/>
      <w:lvlText w:val="(%1)"/>
      <w:numFmt w:val="lowerLetter"/>
      <w:start w:val="1"/>
    </w:lvl>
    <w:lvl w:ilvl="1">
      <w:lvlJc w:val="left"/>
      <w:lvlText w:val="%2"/>
      <w:numFmt w:val="decimal"/>
      <w:start w:val="1"/>
    </w:lvl>
  </w:abstractNum>
  <w:abstractNum w:abstractNumId="206">
    <w:nsid w:val="4D5C4899"/>
    <w:multiLevelType w:val="hybridMultilevel"/>
    <w:lvl w:ilvl="0">
      <w:lvlJc w:val="left"/>
      <w:lvlText w:val="(%1)"/>
      <w:numFmt w:val="lowerLetter"/>
      <w:start w:val="4"/>
    </w:lvl>
  </w:abstractNum>
  <w:abstractNum w:abstractNumId="207">
    <w:nsid w:val="3C3B72B2"/>
    <w:multiLevelType w:val="hybridMultilevel"/>
    <w:lvl w:ilvl="0">
      <w:lvlJc w:val="left"/>
      <w:lvlText w:val="(%1)"/>
      <w:numFmt w:val="lowerLetter"/>
      <w:start w:val="8"/>
    </w:lvl>
    <w:lvl w:ilvl="1">
      <w:lvlJc w:val="left"/>
      <w:lvlText w:val="(%2)"/>
      <w:numFmt w:val="decimal"/>
      <w:start w:val="4"/>
    </w:lvl>
  </w:abstractNum>
  <w:abstractNum w:abstractNumId="208">
    <w:nsid w:val="155EC4C2"/>
    <w:multiLevelType w:val="hybridMultilevel"/>
    <w:lvl w:ilvl="0">
      <w:lvlJc w:val="left"/>
      <w:lvlText w:val="(%1)"/>
      <w:numFmt w:val="lowerLetter"/>
      <w:start w:val="1"/>
    </w:lvl>
  </w:abstractNum>
  <w:abstractNum w:abstractNumId="209">
    <w:nsid w:val="65D2A137"/>
    <w:multiLevelType w:val="hybridMultilevel"/>
    <w:lvl w:ilvl="0">
      <w:lvlJc w:val="left"/>
      <w:lvlText w:val="(%1)"/>
      <w:numFmt w:val="lowerLetter"/>
      <w:start w:val="2"/>
    </w:lvl>
    <w:lvl w:ilvl="1">
      <w:lvlJc w:val="left"/>
      <w:lvlText w:val="(%2)"/>
      <w:numFmt w:val="decimal"/>
      <w:start w:val="5"/>
    </w:lvl>
  </w:abstractNum>
  <w:abstractNum w:abstractNumId="210">
    <w:nsid w:val="6EBB1F2A"/>
    <w:multiLevelType w:val="hybridMultilevel"/>
    <w:lvl w:ilvl="0">
      <w:lvlJc w:val="left"/>
      <w:lvlText w:val="(%1)"/>
      <w:numFmt w:val="lowerLetter"/>
      <w:start w:val="1"/>
    </w:lvl>
  </w:abstractNum>
  <w:abstractNum w:abstractNumId="211">
    <w:nsid w:val="6FBF29CB"/>
    <w:multiLevelType w:val="hybridMultilevel"/>
    <w:lvl w:ilvl="0">
      <w:lvlJc w:val="left"/>
      <w:lvlText w:val="%1"/>
      <w:numFmt w:val="lowerLetter"/>
      <w:start w:val="1"/>
    </w:lvl>
    <w:lvl w:ilvl="1">
      <w:lvlJc w:val="left"/>
      <w:lvlText w:val="(%2)"/>
      <w:numFmt w:val="lowerRoman"/>
      <w:start w:val="1"/>
    </w:lvl>
  </w:abstractNum>
  <w:abstractNum w:abstractNumId="212">
    <w:nsid w:val="550B8808"/>
    <w:multiLevelType w:val="hybridMultilevel"/>
    <w:lvl w:ilvl="0">
      <w:lvlJc w:val="left"/>
      <w:lvlText w:val="(%1)"/>
      <w:numFmt w:val="lowerLetter"/>
      <w:start w:val="3"/>
    </w:lvl>
    <w:lvl w:ilvl="1">
      <w:lvlJc w:val="left"/>
      <w:lvlText w:val="%2"/>
      <w:numFmt w:val="lowerRoman"/>
      <w:start w:val="1"/>
    </w:lvl>
  </w:abstractNum>
  <w:abstractNum w:abstractNumId="213">
    <w:nsid w:val="34CC3ACF"/>
    <w:multiLevelType w:val="hybridMultilevel"/>
    <w:lvl w:ilvl="0">
      <w:lvlJc w:val="left"/>
      <w:lvlText w:val="(%1)"/>
      <w:numFmt w:val="lowerRoman"/>
      <w:start w:val="1"/>
    </w:lvl>
  </w:abstractNum>
  <w:abstractNum w:abstractNumId="214">
    <w:nsid w:val="4E556261"/>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15">
    <w:nsid w:val="4C672FC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16">
    <w:nsid w:val="52A311C3"/>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217">
    <w:nsid w:val="44EF6B80"/>
    <w:multiLevelType w:val="hybridMultilevel"/>
    <w:lvl w:ilvl="0">
      <w:lvlJc w:val="left"/>
      <w:lvlText w:val="(%1)"/>
      <w:numFmt w:val="lowerRoman"/>
      <w:start w:val="1"/>
    </w:lvl>
  </w:abstractNum>
  <w:abstractNum w:abstractNumId="218">
    <w:nsid w:val="12FCDE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219">
    <w:nsid w:val="4A1D606E"/>
    <w:multiLevelType w:val="hybridMultilevel"/>
    <w:lvl w:ilvl="0">
      <w:lvlJc w:val="left"/>
      <w:lvlText w:val="(%1)"/>
      <w:numFmt w:val="lowerLetter"/>
      <w:start w:val="6"/>
    </w:lvl>
    <w:lvl w:ilvl="1">
      <w:lvlJc w:val="left"/>
      <w:lvlText w:val="(%2)"/>
      <w:numFmt w:val="decimal"/>
      <w:start w:val="6"/>
    </w:lvl>
    <w:lvl w:ilvl="2">
      <w:lvlJc w:val="left"/>
      <w:lvlText w:val="%3"/>
      <w:numFmt w:val="lowerRoman"/>
      <w:start w:val="1"/>
    </w:lvl>
  </w:abstractNum>
  <w:abstractNum w:abstractNumId="220">
    <w:nsid w:val="4382503"/>
    <w:multiLevelType w:val="hybridMultilevel"/>
    <w:lvl w:ilvl="0">
      <w:lvlJc w:val="left"/>
      <w:lvlText w:val="(%1)"/>
      <w:numFmt w:val="lowerLetter"/>
      <w:start w:val="1"/>
    </w:lvl>
  </w:abstractNum>
  <w:abstractNum w:abstractNumId="221">
    <w:nsid w:val="59B76E28"/>
    <w:multiLevelType w:val="hybridMultilevel"/>
    <w:lvl w:ilvl="0">
      <w:lvlJc w:val="left"/>
      <w:lvlText w:val="(%1)"/>
      <w:numFmt w:val="lowerLetter"/>
      <w:start w:val="2"/>
    </w:lvl>
    <w:lvl w:ilvl="1">
      <w:lvlJc w:val="left"/>
      <w:lvlText w:val="(%2)"/>
      <w:numFmt w:val="decimal"/>
      <w:start w:val="7"/>
    </w:lvl>
  </w:abstractNum>
  <w:abstractNum w:abstractNumId="222">
    <w:nsid w:val="4252C2D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8"/>
    </w:lvl>
  </w:abstractNum>
  <w:abstractNum w:abstractNumId="223">
    <w:nsid w:val="6A92EF4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24">
    <w:nsid w:val="41ED20D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25">
    <w:nsid w:val="E6B3F6A"/>
    <w:multiLevelType w:val="hybridMultilevel"/>
    <w:lvl w:ilvl="0">
      <w:lvlJc w:val="left"/>
      <w:lvlText w:val="(%1)"/>
      <w:numFmt w:val="lowerLetter"/>
      <w:start w:val="2"/>
    </w:lvl>
  </w:abstractNum>
  <w:abstractNum w:abstractNumId="226">
    <w:nsid w:val="3EB21819"/>
    <w:multiLevelType w:val="hybridMultilevel"/>
    <w:lvl w:ilvl="0">
      <w:lvlJc w:val="left"/>
      <w:lvlText w:val="(%1)"/>
      <w:numFmt w:val="lowerLetter"/>
      <w:start w:val="3"/>
    </w:lvl>
  </w:abstractNum>
  <w:abstractNum w:abstractNumId="227">
    <w:nsid w:val="41531DED"/>
    <w:multiLevelType w:val="hybridMultilevel"/>
    <w:lvl w:ilvl="0">
      <w:lvlJc w:val="left"/>
      <w:lvlText w:val="(%1)"/>
      <w:numFmt w:val="lowerLetter"/>
      <w:start w:val="7"/>
    </w:lvl>
    <w:lvl w:ilvl="1">
      <w:lvlJc w:val="left"/>
      <w:lvlText w:val="(%2)"/>
      <w:numFmt w:val="decimal"/>
      <w:start w:val="10"/>
    </w:lvl>
  </w:abstractNum>
  <w:abstractNum w:abstractNumId="228">
    <w:nsid w:val="6353CD2"/>
    <w:multiLevelType w:val="hybridMultilevel"/>
    <w:lvl w:ilvl="0">
      <w:lvlJc w:val="left"/>
      <w:lvlText w:val="%1"/>
      <w:numFmt w:val="lowerLetter"/>
      <w:start w:val="1"/>
    </w:lvl>
    <w:lvl w:ilvl="1">
      <w:lvlJc w:val="left"/>
      <w:lvlText w:val="(%2)"/>
      <w:numFmt w:val="decimal"/>
      <w:start w:val="1"/>
    </w:lvl>
  </w:abstractNum>
  <w:abstractNum w:abstractNumId="229">
    <w:nsid w:val="683CAAD3"/>
    <w:multiLevelType w:val="hybridMultilevel"/>
    <w:lvl w:ilvl="0">
      <w:lvlJc w:val="left"/>
      <w:lvlText w:val="(%1)"/>
      <w:numFmt w:val="lowerLetter"/>
      <w:start w:val="3"/>
    </w:lvl>
    <w:lvl w:ilvl="1">
      <w:lvlJc w:val="left"/>
      <w:lvlText w:val="%2"/>
      <w:numFmt w:val="decimal"/>
      <w:start w:val="1"/>
    </w:lvl>
  </w:abstractNum>
  <w:abstractNum w:abstractNumId="230">
    <w:nsid w:val="313C7C99"/>
    <w:multiLevelType w:val="hybridMultilevel"/>
    <w:lvl w:ilvl="0">
      <w:lvlJc w:val="left"/>
      <w:lvlText w:val="%1"/>
      <w:numFmt w:val="lowerLetter"/>
      <w:start w:val="1"/>
    </w:lvl>
    <w:lvl w:ilvl="1">
      <w:lvlJc w:val="left"/>
      <w:lvlText w:val="(%2)"/>
      <w:numFmt w:val="decimal"/>
      <w:start w:val="3"/>
    </w:lvl>
  </w:abstractNum>
  <w:abstractNum w:abstractNumId="231">
    <w:nsid w:val="519EB94C"/>
    <w:multiLevelType w:val="hybridMultilevel"/>
    <w:lvl w:ilvl="0">
      <w:lvlJc w:val="left"/>
      <w:lvlText w:val="(%1)"/>
      <w:numFmt w:val="lowerLetter"/>
      <w:start w:val="1"/>
    </w:lvl>
    <w:lvl w:ilvl="1">
      <w:lvlJc w:val="left"/>
      <w:lvlText w:val="%2"/>
      <w:numFmt w:val="decimal"/>
      <w:start w:val="1"/>
    </w:lvl>
  </w:abstractNum>
  <w:abstractNum w:abstractNumId="232">
    <w:nsid w:val="39DF2579"/>
    <w:multiLevelType w:val="hybridMultilevel"/>
    <w:lvl w:ilvl="0">
      <w:lvlJc w:val="left"/>
      <w:lvlText w:val="(%1)"/>
      <w:numFmt w:val="lowerLetter"/>
      <w:start w:val="4"/>
    </w:lvl>
  </w:abstractNum>
  <w:abstractNum w:abstractNumId="233">
    <w:nsid w:val="126E008B"/>
    <w:multiLevelType w:val="hybridMultilevel"/>
    <w:lvl w:ilvl="0">
      <w:lvlJc w:val="left"/>
      <w:lvlText w:val="(%1)"/>
      <w:numFmt w:val="lowerLetter"/>
      <w:start w:val="8"/>
    </w:lvl>
    <w:lvl w:ilvl="1">
      <w:lvlJc w:val="left"/>
      <w:lvlText w:val="(%2)"/>
      <w:numFmt w:val="decimal"/>
      <w:start w:val="4"/>
    </w:lvl>
  </w:abstractNum>
  <w:abstractNum w:abstractNumId="234">
    <w:nsid w:val="34DFBC00"/>
    <w:multiLevelType w:val="hybridMultilevel"/>
    <w:lvl w:ilvl="0">
      <w:lvlJc w:val="left"/>
      <w:lvlText w:val="(%1)"/>
      <w:numFmt w:val="lowerLetter"/>
      <w:start w:val="1"/>
    </w:lvl>
  </w:abstractNum>
  <w:abstractNum w:abstractNumId="235">
    <w:nsid w:val="1F9EC322"/>
    <w:multiLevelType w:val="hybridMultilevel"/>
    <w:lvl w:ilvl="0">
      <w:lvlJc w:val="left"/>
      <w:lvlText w:val="(%1)"/>
      <w:numFmt w:val="lowerLetter"/>
      <w:start w:val="2"/>
    </w:lvl>
    <w:lvl w:ilvl="1">
      <w:lvlJc w:val="left"/>
      <w:lvlText w:val="(%2)"/>
      <w:numFmt w:val="decimal"/>
      <w:start w:val="5"/>
    </w:lvl>
  </w:abstractNum>
  <w:abstractNum w:abstractNumId="236">
    <w:nsid w:val="3410ED56"/>
    <w:multiLevelType w:val="hybridMultilevel"/>
    <w:lvl w:ilvl="0">
      <w:lvlJc w:val="left"/>
      <w:lvlText w:val="(%1)"/>
      <w:numFmt w:val="lowerLetter"/>
      <w:start w:val="1"/>
    </w:lvl>
  </w:abstractNum>
  <w:abstractNum w:abstractNumId="237">
    <w:nsid w:val="23C049A"/>
    <w:multiLevelType w:val="hybridMultilevel"/>
    <w:lvl w:ilvl="0">
      <w:lvlJc w:val="left"/>
      <w:lvlText w:val="%1"/>
      <w:numFmt w:val="lowerLetter"/>
      <w:start w:val="1"/>
    </w:lvl>
    <w:lvl w:ilvl="1">
      <w:lvlJc w:val="left"/>
      <w:lvlText w:val="(%2)"/>
      <w:numFmt w:val="lowerRoman"/>
      <w:start w:val="1"/>
    </w:lvl>
  </w:abstractNum>
  <w:abstractNum w:abstractNumId="238">
    <w:nsid w:val="5BDA35D4"/>
    <w:multiLevelType w:val="hybridMultilevel"/>
    <w:lvl w:ilvl="0">
      <w:lvlJc w:val="left"/>
      <w:lvlText w:val="(%1)"/>
      <w:numFmt w:val="lowerLetter"/>
      <w:start w:val="3"/>
    </w:lvl>
    <w:lvl w:ilvl="1">
      <w:lvlJc w:val="left"/>
      <w:lvlText w:val="%2"/>
      <w:numFmt w:val="lowerRoman"/>
      <w:start w:val="1"/>
    </w:lvl>
  </w:abstractNum>
  <w:abstractNum w:abstractNumId="239">
    <w:nsid w:val="496FB218"/>
    <w:multiLevelType w:val="hybridMultilevel"/>
    <w:lvl w:ilvl="0">
      <w:lvlJc w:val="left"/>
      <w:lvlText w:val="(%1)"/>
      <w:numFmt w:val="lowerRoman"/>
      <w:start w:val="1"/>
    </w:lvl>
  </w:abstractNum>
  <w:abstractNum w:abstractNumId="240">
    <w:nsid w:val="680EA5D1"/>
    <w:multiLevelType w:val="hybridMultilevel"/>
    <w:lvl w:ilvl="0">
      <w:lvlJc w:val="left"/>
      <w:lvlText w:val="(%1)"/>
      <w:numFmt w:val="lowerLetter"/>
      <w:start w:val="4"/>
    </w:lvl>
    <w:lvl w:ilvl="1">
      <w:lvlJc w:val="left"/>
      <w:lvlText w:val="(%2)"/>
      <w:numFmt w:val="upperLetter"/>
      <w:start w:val="3"/>
    </w:lvl>
    <w:lvl w:ilvl="2">
      <w:lvlJc w:val="left"/>
      <w:lvlText w:val="(%3)"/>
      <w:numFmt w:val="lowerRoman"/>
      <w:start w:val="1"/>
    </w:lvl>
  </w:abstractNum>
  <w:abstractNum w:abstractNumId="241">
    <w:nsid w:val="4A9554F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42">
    <w:nsid w:val="392EDBE4"/>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243">
    <w:nsid w:val="3D1A2DD9"/>
    <w:multiLevelType w:val="hybridMultilevel"/>
    <w:lvl w:ilvl="0">
      <w:lvlJc w:val="left"/>
      <w:lvlText w:val="(%1)"/>
      <w:numFmt w:val="upperLetter"/>
      <w:start w:val="6"/>
    </w:lvl>
    <w:lvl w:ilvl="1">
      <w:lvlJc w:val="left"/>
      <w:lvlText w:val="(%2)"/>
      <w:numFmt w:val="lowerRoman"/>
      <w:start w:val="2"/>
    </w:lvl>
  </w:abstractNum>
  <w:abstractNum w:abstractNumId="244">
    <w:nsid w:val="7F618FCD"/>
    <w:multiLevelType w:val="hybridMultilevel"/>
    <w:lvl w:ilvl="0">
      <w:lvlJc w:val="left"/>
      <w:lvlText w:val="(%1)"/>
      <w:numFmt w:val="lowerLetter"/>
      <w:start w:val="6"/>
    </w:lvl>
    <w:lvl w:ilvl="1">
      <w:lvlJc w:val="left"/>
      <w:lvlText w:val="(%2)"/>
      <w:numFmt w:val="decimal"/>
      <w:start w:val="6"/>
    </w:lvl>
  </w:abstractNum>
  <w:abstractNum w:abstractNumId="245">
    <w:nsid w:val="7843E45"/>
    <w:multiLevelType w:val="hybridMultilevel"/>
    <w:lvl w:ilvl="0">
      <w:lvlJc w:val="left"/>
      <w:lvlText w:val="(%1)"/>
      <w:numFmt w:val="lowerLetter"/>
      <w:start w:val="1"/>
    </w:lvl>
  </w:abstractNum>
  <w:abstractNum w:abstractNumId="246">
    <w:nsid w:val="9815DA3"/>
    <w:multiLevelType w:val="hybridMultilevel"/>
    <w:lvl w:ilvl="0">
      <w:lvlJc w:val="left"/>
      <w:lvlText w:val="(%1)"/>
      <w:numFmt w:val="lowerLetter"/>
      <w:start w:val="3"/>
    </w:lvl>
    <w:lvl w:ilvl="1">
      <w:lvlJc w:val="left"/>
      <w:lvlText w:val="(%2)"/>
      <w:numFmt w:val="decimal"/>
      <w:start w:val="7"/>
    </w:lvl>
  </w:abstractNum>
  <w:abstractNum w:abstractNumId="247">
    <w:nsid w:val="5204A191"/>
    <w:multiLevelType w:val="hybridMultilevel"/>
    <w:lvl w:ilvl="0">
      <w:lvlJc w:val="left"/>
      <w:lvlText w:val="%1"/>
      <w:numFmt w:val="upperLetter"/>
      <w:start w:val="1"/>
    </w:lvl>
    <w:lvl w:ilvl="1">
      <w:lvlJc w:val="left"/>
      <w:lvlText w:val="(%2)"/>
      <w:numFmt w:val="lowerLetter"/>
      <w:start w:val="1"/>
    </w:lvl>
  </w:abstractNum>
  <w:abstractNum w:abstractNumId="248">
    <w:nsid w:val="4C73A9C6"/>
    <w:multiLevelType w:val="hybridMultilevel"/>
    <w:lvl w:ilvl="0">
      <w:lvlJc w:val="left"/>
      <w:lvlText w:val="(%1)"/>
      <w:numFmt w:val="upperLetter"/>
      <w:start w:val="1"/>
    </w:lvl>
    <w:lvl w:ilvl="1">
      <w:lvlJc w:val="left"/>
      <w:lvlText w:val="%2"/>
      <w:numFmt w:val="lowerLetter"/>
      <w:start w:val="1"/>
    </w:lvl>
  </w:abstractNum>
  <w:abstractNum w:abstractNumId="249">
    <w:nsid w:val="1C7E3C01"/>
    <w:multiLevelType w:val="hybridMultilevel"/>
    <w:lvl w:ilvl="0">
      <w:lvlJc w:val="left"/>
      <w:lvlText w:val="(%1)"/>
      <w:numFmt w:val="lowerLetter"/>
      <w:start w:val="2"/>
    </w:lvl>
  </w:abstractNum>
  <w:abstractNum w:abstractNumId="250">
    <w:nsid w:val="1C2201FF"/>
    <w:multiLevelType w:val="hybridMultilevel"/>
    <w:lvl w:ilvl="0">
      <w:lvlJc w:val="left"/>
      <w:lvlText w:val="(%1)"/>
      <w:numFmt w:val="lowerLetter"/>
      <w:start w:val="4"/>
    </w:lvl>
  </w:abstractNum>
  <w:abstractNum w:abstractNumId="251">
    <w:nsid w:val="50ABCEC9"/>
    <w:multiLevelType w:val="hybridMultilevel"/>
    <w:lvl w:ilvl="0">
      <w:lvlJc w:val="left"/>
      <w:lvlText w:val="(%1)"/>
      <w:numFmt w:val="decimal"/>
      <w:start w:val="10"/>
    </w:lvl>
  </w:abstractNum>
  <w:abstractNum w:abstractNumId="252">
    <w:nsid w:val="7635AA2A"/>
    <w:multiLevelType w:val="hybridMultilevel"/>
    <w:lvl w:ilvl="0">
      <w:lvlJc w:val="left"/>
      <w:lvlText w:val="(%1)"/>
      <w:numFmt w:val="decimal"/>
      <w:start w:val="1"/>
    </w:lvl>
  </w:abstractNum>
  <w:abstractNum w:abstractNumId="253">
    <w:nsid w:val="5E74C4D9"/>
    <w:multiLevelType w:val="hybridMultilevel"/>
    <w:lvl w:ilvl="0">
      <w:lvlJc w:val="left"/>
      <w:lvlText w:val="%1"/>
      <w:numFmt w:val="lowerLetter"/>
      <w:start w:val="1"/>
    </w:lvl>
    <w:lvl w:ilvl="1">
      <w:lvlJc w:val="left"/>
      <w:lvlText w:val="(%2)"/>
      <w:numFmt w:val="decimal"/>
      <w:start w:val="3"/>
    </w:lvl>
  </w:abstractNum>
  <w:abstractNum w:abstractNumId="254">
    <w:nsid w:val="3B3EBE15"/>
    <w:multiLevelType w:val="hybridMultilevel"/>
    <w:lvl w:ilvl="0">
      <w:lvlJc w:val="left"/>
      <w:lvlText w:val="(%1)"/>
      <w:numFmt w:val="lowerLetter"/>
      <w:start w:val="1"/>
    </w:lvl>
    <w:lvl w:ilvl="1">
      <w:lvlJc w:val="left"/>
      <w:lvlText w:val="%2"/>
      <w:numFmt w:val="decimal"/>
      <w:start w:val="1"/>
    </w:lvl>
  </w:abstractNum>
  <w:abstractNum w:abstractNumId="255">
    <w:nsid w:val="3822CB01"/>
    <w:multiLevelType w:val="hybridMultilevel"/>
    <w:lvl w:ilvl="0">
      <w:lvlJc w:val="left"/>
      <w:lvlText w:val="(%1)"/>
      <w:numFmt w:val="lowerLetter"/>
      <w:start w:val="4"/>
    </w:lvl>
  </w:abstractNum>
  <w:abstractNum w:abstractNumId="256">
    <w:nsid w:val="6CE00443"/>
    <w:multiLevelType w:val="hybridMultilevel"/>
    <w:lvl w:ilvl="0">
      <w:lvlJc w:val="left"/>
      <w:lvlText w:val="(%1)"/>
      <w:numFmt w:val="lowerLetter"/>
      <w:start w:val="8"/>
    </w:lvl>
    <w:lvl w:ilvl="1">
      <w:lvlJc w:val="left"/>
      <w:lvlText w:val="(%2)"/>
      <w:numFmt w:val="decimal"/>
      <w:start w:val="4"/>
    </w:lvl>
  </w:abstractNum>
  <w:abstractNum w:abstractNumId="257">
    <w:nsid w:val="79F0D62F"/>
    <w:multiLevelType w:val="hybridMultilevel"/>
    <w:lvl w:ilvl="0">
      <w:lvlJc w:val="left"/>
      <w:lvlText w:val="(%1)"/>
      <w:numFmt w:val="lowerLetter"/>
      <w:start w:val="1"/>
    </w:lvl>
  </w:abstractNum>
  <w:abstractNum w:abstractNumId="258">
    <w:nsid w:val="7975E8EE"/>
    <w:multiLevelType w:val="hybridMultilevel"/>
    <w:lvl w:ilvl="0">
      <w:lvlJc w:val="left"/>
      <w:lvlText w:val="(%1)"/>
      <w:numFmt w:val="lowerLetter"/>
      <w:start w:val="2"/>
    </w:lvl>
    <w:lvl w:ilvl="1">
      <w:lvlJc w:val="left"/>
      <w:lvlText w:val="(%2)"/>
      <w:numFmt w:val="decimal"/>
      <w:start w:val="5"/>
    </w:lvl>
  </w:abstractNum>
  <w:abstractNum w:abstractNumId="259">
    <w:nsid w:val="73154115"/>
    <w:multiLevelType w:val="hybridMultilevel"/>
    <w:lvl w:ilvl="0">
      <w:lvlJc w:val="left"/>
      <w:lvlText w:val="(%1)"/>
      <w:numFmt w:val="lowerLetter"/>
      <w:start w:val="1"/>
    </w:lvl>
  </w:abstractNum>
  <w:abstractNum w:abstractNumId="260">
    <w:nsid w:val="622D8102"/>
    <w:multiLevelType w:val="hybridMultilevel"/>
    <w:lvl w:ilvl="0">
      <w:lvlJc w:val="left"/>
      <w:lvlText w:val="(%1)"/>
      <w:numFmt w:val="lowerRoman"/>
      <w:start w:val="1"/>
    </w:lvl>
  </w:abstractNum>
  <w:abstractNum w:abstractNumId="261">
    <w:nsid w:val="2AB26587"/>
    <w:multiLevelType w:val="hybridMultilevel"/>
    <w:lvl w:ilvl="0">
      <w:lvlJc w:val="left"/>
      <w:lvlText w:val="%1"/>
      <w:numFmt w:val="lowerLetter"/>
      <w:start w:val="1"/>
    </w:lvl>
    <w:lvl w:ilvl="1">
      <w:lvlJc w:val="left"/>
      <w:lvlText w:val="(%2)"/>
      <w:numFmt w:val="lowerLetter"/>
      <w:start w:val="35"/>
    </w:lvl>
  </w:abstractNum>
  <w:abstractNum w:abstractNumId="262">
    <w:nsid w:val="44B3FA61"/>
    <w:multiLevelType w:val="hybridMultilevel"/>
    <w:lvl w:ilvl="0">
      <w:lvlJc w:val="left"/>
      <w:lvlText w:val="(%1)"/>
      <w:numFmt w:val="lowerLetter"/>
      <w:start w:val="3"/>
    </w:lvl>
    <w:lvl w:ilvl="1">
      <w:lvlJc w:val="left"/>
      <w:lvlText w:val="%2"/>
      <w:numFmt w:val="lowerLetter"/>
      <w:start w:val="1"/>
    </w:lvl>
  </w:abstractNum>
  <w:abstractNum w:abstractNumId="263">
    <w:nsid w:val="1C0CA67C"/>
    <w:multiLevelType w:val="hybridMultilevel"/>
    <w:lvl w:ilvl="0">
      <w:lvlJc w:val="left"/>
      <w:lvlText w:val="(%1)"/>
      <w:numFmt w:val="lowerRoman"/>
      <w:start w:val="1"/>
    </w:lvl>
  </w:abstractNum>
  <w:abstractNum w:abstractNumId="264">
    <w:nsid w:val="3D206613"/>
    <w:multiLevelType w:val="hybridMultilevel"/>
    <w:lvl w:ilvl="0">
      <w:lvlJc w:val="left"/>
      <w:lvlText w:val="(%1)"/>
      <w:numFmt w:val="lowerLetter"/>
      <w:start w:val="4"/>
    </w:lvl>
    <w:lvl w:ilvl="1">
      <w:lvlJc w:val="left"/>
      <w:lvlText w:val="(%2)"/>
      <w:numFmt w:val="upperLetter"/>
      <w:start w:val="3"/>
    </w:lvl>
    <w:lvl w:ilvl="2">
      <w:lvlJc w:val="left"/>
      <w:lvlText w:val="(%3)"/>
      <w:numFmt w:val="lowerRoman"/>
      <w:start w:val="1"/>
    </w:lvl>
  </w:abstractNum>
  <w:abstractNum w:abstractNumId="265">
    <w:nsid w:val="7993B66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66">
    <w:nsid w:val="3BAB699E"/>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267">
    <w:nsid w:val="71315369"/>
    <w:multiLevelType w:val="hybridMultilevel"/>
    <w:lvl w:ilvl="0">
      <w:lvlJc w:val="left"/>
      <w:lvlText w:val="(%1)"/>
      <w:numFmt w:val="lowerRoman"/>
      <w:start w:val="2"/>
    </w:lvl>
  </w:abstractNum>
  <w:abstractNum w:abstractNumId="268">
    <w:nsid w:val="7BCFBAFC"/>
    <w:multiLevelType w:val="hybridMultilevel"/>
    <w:lvl w:ilvl="0">
      <w:lvlJc w:val="left"/>
      <w:lvlText w:val="(%1)"/>
      <w:numFmt w:val="lowerLetter"/>
      <w:start w:val="6"/>
    </w:lvl>
    <w:lvl w:ilvl="1">
      <w:lvlJc w:val="left"/>
      <w:lvlText w:val="(%2)"/>
      <w:numFmt w:val="decimal"/>
      <w:start w:val="6"/>
    </w:lvl>
  </w:abstractNum>
  <w:abstractNum w:abstractNumId="269">
    <w:nsid w:val="17859F72"/>
    <w:multiLevelType w:val="hybridMultilevel"/>
    <w:lvl w:ilvl="0">
      <w:lvlJc w:val="left"/>
      <w:lvlText w:val="(%1)"/>
      <w:numFmt w:val="lowerLetter"/>
      <w:start w:val="1"/>
    </w:lvl>
  </w:abstractNum>
  <w:abstractNum w:abstractNumId="270">
    <w:nsid w:val="3AA10581"/>
    <w:multiLevelType w:val="hybridMultilevel"/>
    <w:lvl w:ilvl="0">
      <w:lvlJc w:val="left"/>
      <w:lvlText w:val="(%1)"/>
      <w:numFmt w:val="lowerLetter"/>
      <w:start w:val="3"/>
    </w:lvl>
    <w:lvl w:ilvl="1">
      <w:lvlJc w:val="left"/>
      <w:lvlText w:val="(%2)"/>
      <w:numFmt w:val="decimal"/>
      <w:start w:val="7"/>
    </w:lvl>
  </w:abstractNum>
  <w:abstractNum w:abstractNumId="271">
    <w:nsid w:val="63DE60CD"/>
    <w:multiLevelType w:val="hybridMultilevel"/>
    <w:lvl w:ilvl="0">
      <w:lvlJc w:val="left"/>
      <w:lvlText w:val="%1"/>
      <w:numFmt w:val="upperLetter"/>
      <w:start w:val="1"/>
    </w:lvl>
    <w:lvl w:ilvl="1">
      <w:lvlJc w:val="left"/>
      <w:lvlText w:val="(%2)"/>
      <w:numFmt w:val="lowerLetter"/>
      <w:start w:val="1"/>
    </w:lvl>
  </w:abstractNum>
  <w:abstractNum w:abstractNumId="272">
    <w:nsid w:val="621AF471"/>
    <w:multiLevelType w:val="hybridMultilevel"/>
    <w:lvl w:ilvl="0">
      <w:lvlJc w:val="left"/>
      <w:lvlText w:val="(%1)"/>
      <w:numFmt w:val="upperLetter"/>
      <w:start w:val="1"/>
    </w:lvl>
    <w:lvl w:ilvl="1">
      <w:lvlJc w:val="left"/>
      <w:lvlText w:val="%2"/>
      <w:numFmt w:val="lowerLetter"/>
      <w:start w:val="1"/>
    </w:lvl>
  </w:abstractNum>
  <w:abstractNum w:abstractNumId="273">
    <w:nsid w:val="73CFE165"/>
    <w:multiLevelType w:val="hybridMultilevel"/>
    <w:lvl w:ilvl="0">
      <w:lvlJc w:val="left"/>
      <w:lvlText w:val="(%1)"/>
      <w:numFmt w:val="lowerLetter"/>
      <w:start w:val="2"/>
    </w:lvl>
  </w:abstractNum>
  <w:abstractNum w:abstractNumId="274">
    <w:nsid w:val="20F88EA6"/>
    <w:multiLevelType w:val="hybridMultilevel"/>
    <w:lvl w:ilvl="0">
      <w:lvlJc w:val="left"/>
      <w:lvlText w:val="(%1)"/>
      <w:numFmt w:val="lowerLetter"/>
      <w:start w:val="4"/>
    </w:lvl>
  </w:abstractNum>
  <w:abstractNum w:abstractNumId="275">
    <w:nsid w:val="617C843E"/>
    <w:multiLevelType w:val="hybridMultilevel"/>
    <w:lvl w:ilvl="0">
      <w:lvlJc w:val="left"/>
      <w:lvlText w:val="(%1)"/>
      <w:numFmt w:val="decimal"/>
      <w:start w:val="10"/>
    </w:lvl>
  </w:abstractNum>
  <w:abstractNum w:abstractNumId="276">
    <w:nsid w:val="7B541FAB"/>
    <w:multiLevelType w:val="hybridMultilevel"/>
    <w:lvl w:ilvl="0">
      <w:lvlJc w:val="left"/>
      <w:lvlText w:val="•"/>
      <w:numFmt w:val="bullet"/>
      <w:start w:val="1"/>
    </w:lvl>
  </w:abstractNum>
  <w:abstractNum w:abstractNumId="277">
    <w:nsid w:val="2A79EC49"/>
    <w:multiLevelType w:val="hybridMultilevel"/>
    <w:lvl w:ilvl="0">
      <w:lvlJc w:val="left"/>
      <w:lvlText w:val="•"/>
      <w:numFmt w:val="bullet"/>
      <w:start w:val="1"/>
    </w:lvl>
  </w:abstractNum>
  <w:abstractNum w:abstractNumId="278">
    <w:nsid w:val="338125CF"/>
    <w:multiLevelType w:val="hybridMultilevel"/>
    <w:lvl w:ilvl="0">
      <w:lvlJc w:val="left"/>
      <w:lvlText w:val="•"/>
      <w:numFmt w:val="bullet"/>
      <w:start w:val="1"/>
    </w:lvl>
  </w:abstractNum>
  <w:abstractNum w:abstractNumId="279">
    <w:nsid w:val="47C7C971"/>
    <w:multiLevelType w:val="hybridMultilevel"/>
    <w:lvl w:ilvl="0">
      <w:lvlJc w:val="left"/>
      <w:lvlText w:val="•"/>
      <w:numFmt w:val="bullet"/>
      <w:start w:val="1"/>
    </w:lvl>
  </w:abstractNum>
  <w:abstractNum w:abstractNumId="280">
    <w:nsid w:val="46F8284B"/>
    <w:multiLevelType w:val="hybridMultilevel"/>
    <w:lvl w:ilvl="0">
      <w:lvlJc w:val="left"/>
      <w:lvlText w:val="•"/>
      <w:numFmt w:val="bullet"/>
      <w:start w:val="1"/>
    </w:lvl>
  </w:abstractNum>
  <w:abstractNum w:abstractNumId="281">
    <w:nsid w:val="4FA327CE"/>
    <w:multiLevelType w:val="hybridMultilevel"/>
    <w:lvl w:ilvl="0">
      <w:lvlJc w:val="left"/>
      <w:lvlText w:val="•"/>
      <w:numFmt w:val="bullet"/>
      <w:start w:val="1"/>
    </w:lvl>
  </w:abstractNum>
  <w:abstractNum w:abstractNumId="282">
    <w:nsid w:val="1873983A"/>
    <w:multiLevelType w:val="hybridMultilevel"/>
    <w:lvl w:ilvl="0">
      <w:lvlJc w:val="left"/>
      <w:lvlText w:val="•"/>
      <w:numFmt w:val="bullet"/>
      <w:start w:val="1"/>
    </w:lvl>
  </w:abstractNum>
  <w:abstractNum w:abstractNumId="283">
    <w:nsid w:val="3D2DD275"/>
    <w:multiLevelType w:val="hybridMultilevel"/>
    <w:lvl w:ilvl="0">
      <w:lvlJc w:val="left"/>
      <w:lvlText w:val="•"/>
      <w:numFmt w:val="bullet"/>
      <w:start w:val="1"/>
    </w:lvl>
  </w:abstractNum>
  <w:abstractNum w:abstractNumId="284">
    <w:nsid w:val="2E17ECA7"/>
    <w:multiLevelType w:val="hybridMultilevel"/>
    <w:lvl w:ilvl="0">
      <w:lvlJc w:val="left"/>
      <w:lvlText w:val="•"/>
      <w:numFmt w:val="bullet"/>
      <w:start w:val="1"/>
    </w:lvl>
  </w:abstractNum>
  <w:abstractNum w:abstractNumId="285">
    <w:nsid w:val="53B2564F"/>
    <w:multiLevelType w:val="hybridMultilevel"/>
    <w:lvl w:ilvl="0">
      <w:lvlJc w:val="left"/>
      <w:lvlText w:val="•"/>
      <w:numFmt w:val="bullet"/>
      <w:start w:val="1"/>
    </w:lvl>
  </w:abstractNum>
  <w:abstractNum w:abstractNumId="286">
    <w:nsid w:val="75509D76"/>
    <w:multiLevelType w:val="hybridMultilevel"/>
    <w:lvl w:ilvl="0">
      <w:lvlJc w:val="left"/>
      <w:lvlText w:val="•"/>
      <w:numFmt w:val="bullet"/>
      <w:start w:val="1"/>
    </w:lvl>
  </w:abstractNum>
  <w:abstractNum w:abstractNumId="287">
    <w:nsid w:val="1AF7F0EA"/>
    <w:multiLevelType w:val="hybridMultilevel"/>
    <w:lvl w:ilvl="0">
      <w:lvlJc w:val="left"/>
      <w:lvlText w:val="•"/>
      <w:numFmt w:val="bullet"/>
      <w:start w:val="1"/>
    </w:lvl>
  </w:abstractNum>
  <w:abstractNum w:abstractNumId="288">
    <w:nsid w:val="4DA32C7E"/>
    <w:multiLevelType w:val="hybridMultilevel"/>
    <w:lvl w:ilvl="0">
      <w:lvlJc w:val="left"/>
      <w:lvlText w:val="•"/>
      <w:numFmt w:val="bullet"/>
      <w:start w:val="1"/>
    </w:lvl>
  </w:abstractNum>
  <w:abstractNum w:abstractNumId="289">
    <w:nsid w:val="6EC68664"/>
    <w:multiLevelType w:val="hybridMultilevel"/>
    <w:lvl w:ilvl="0">
      <w:lvlJc w:val="left"/>
      <w:lvlText w:val="•"/>
      <w:numFmt w:val="bullet"/>
      <w:start w:val="1"/>
    </w:lvl>
  </w:abstractNum>
  <w:abstractNum w:abstractNumId="290">
    <w:nsid w:val="E0D31FF"/>
    <w:multiLevelType w:val="hybridMultilevel"/>
    <w:lvl w:ilvl="0">
      <w:lvlJc w:val="left"/>
      <w:lvlText w:val="(%1)"/>
      <w:numFmt w:val="lowerLetter"/>
      <w:start w:val="1"/>
    </w:lvl>
  </w:abstractNum>
  <w:abstractNum w:abstractNumId="291">
    <w:nsid w:val="2FD0AD81"/>
    <w:multiLevelType w:val="hybridMultilevel"/>
    <w:lvl w:ilvl="0">
      <w:lvlJc w:val="left"/>
      <w:lvlText w:val="1"/>
      <w:numFmt w:val="bullet"/>
      <w:start w:val="1"/>
    </w:lvl>
  </w:abstractNum>
  <w:abstractNum w:abstractNumId="292">
    <w:nsid w:val="1978EBEB"/>
    <w:multiLevelType w:val="hybridMultilevel"/>
    <w:lvl w:ilvl="0">
      <w:lvlJc w:val="left"/>
      <w:lvlText w:val="2"/>
      <w:numFmt w:val="bullet"/>
      <w:start w:val="1"/>
    </w:lvl>
  </w:abstractNum>
  <w:abstractNum w:abstractNumId="293">
    <w:nsid w:val="52C12C61"/>
    <w:multiLevelType w:val="hybridMultilevel"/>
    <w:lvl w:ilvl="0">
      <w:lvlJc w:val="left"/>
      <w:lvlText w:val="(%1)"/>
      <w:numFmt w:val="lowerLetter"/>
      <w:start w:val="4"/>
    </w:lvl>
    <w:lvl w:ilvl="1">
      <w:lvlJc w:val="left"/>
      <w:lvlText w:val="(%2)"/>
      <w:numFmt w:val="lowerRoman"/>
      <w:start w:val="1"/>
    </w:lvl>
  </w:abstractNum>
  <w:abstractNum w:abstractNumId="294">
    <w:nsid w:val="4BDD53FD"/>
    <w:multiLevelType w:val="hybridMultilevel"/>
    <w:lvl w:ilvl="0">
      <w:lvlJc w:val="left"/>
      <w:lvlText w:val="%1"/>
      <w:numFmt w:val="lowerLetter"/>
      <w:start w:val="1"/>
    </w:lvl>
    <w:lvl w:ilvl="1">
      <w:lvlJc w:val="left"/>
      <w:lvlText w:val="(%2)"/>
      <w:numFmt w:val="lowerRoman"/>
      <w:start w:val="4"/>
    </w:lvl>
  </w:abstractNum>
  <w:abstractNum w:abstractNumId="295">
    <w:nsid w:val="569951FE"/>
    <w:multiLevelType w:val="hybridMultilevel"/>
    <w:lvl w:ilvl="0">
      <w:lvlJc w:val="left"/>
      <w:lvlText w:val="(%1)"/>
      <w:numFmt w:val="lowerLetter"/>
      <w:start w:val="7"/>
    </w:lvl>
    <w:lvl w:ilvl="1">
      <w:lvlJc w:val="left"/>
      <w:lvlText w:val="%2"/>
      <w:numFmt w:val="lowerRoman"/>
      <w:start w:val="1"/>
    </w:lvl>
  </w:abstractNum>
  <w:abstractNum w:abstractNumId="296">
    <w:nsid w:val="4C54E2C3"/>
    <w:multiLevelType w:val="hybridMultilevel"/>
    <w:lvl w:ilvl="0">
      <w:lvlJc w:val="left"/>
      <w:lvlText w:val="(%1)"/>
      <w:numFmt w:val="lowerLetter"/>
      <w:start w:val="16"/>
    </w:lvl>
  </w:abstractNum>
  <w:abstractNum w:abstractNumId="297">
    <w:nsid w:val="788BD9B"/>
    <w:multiLevelType w:val="hybridMultilevel"/>
    <w:lvl w:ilvl="0">
      <w:lvlJc w:val="left"/>
      <w:lvlText w:val="(%1)"/>
      <w:numFmt w:val="lowerLetter"/>
      <w:start w:val="27"/>
    </w:lvl>
  </w:abstractNum>
  <w:abstractNum w:abstractNumId="298">
    <w:nsid w:val="47CAA567"/>
    <w:multiLevelType w:val="hybridMultilevel"/>
    <w:lvl w:ilvl="0">
      <w:lvlJc w:val="left"/>
      <w:lvlText w:val="(%1)"/>
      <w:numFmt w:val="lowerRoman"/>
      <w:start w:val="1"/>
    </w:lvl>
  </w:abstractNum>
  <w:abstractNum w:abstractNumId="299">
    <w:nsid w:val="48249DBF"/>
    <w:multiLevelType w:val="hybridMultilevel"/>
    <w:lvl w:ilvl="0">
      <w:lvlJc w:val="left"/>
      <w:lvlText w:val="(%1)"/>
      <w:numFmt w:val="lowerRoman"/>
      <w:start w:val="4"/>
    </w:lvl>
  </w:abstractNum>
  <w:abstractNum w:abstractNumId="300">
    <w:nsid w:val="1F0E5D0D"/>
    <w:multiLevelType w:val="hybridMultilevel"/>
    <w:lvl w:ilvl="0">
      <w:lvlJc w:val="left"/>
      <w:lvlText w:val="%1"/>
      <w:numFmt w:val="lowerLetter"/>
      <w:start w:val="1"/>
    </w:lvl>
    <w:lvl w:ilvl="1">
      <w:lvlJc w:val="left"/>
      <w:lvlText w:val="(%2)"/>
      <w:numFmt w:val="lowerLetter"/>
      <w:start w:val="1"/>
    </w:lvl>
  </w:abstractNum>
  <w:abstractNum w:abstractNumId="301">
    <w:nsid w:val="26BAAE9"/>
    <w:multiLevelType w:val="hybridMultilevel"/>
    <w:lvl w:ilvl="0">
      <w:lvlJc w:val="left"/>
      <w:lvlText w:val="(%1)"/>
      <w:numFmt w:val="lowerLetter"/>
      <w:start w:val="9"/>
    </w:lvl>
    <w:lvl w:ilvl="1">
      <w:lvlJc w:val="left"/>
      <w:lvlText w:val="(%2)"/>
      <w:numFmt w:val="lowerLetter"/>
      <w:start w:val="2"/>
    </w:lvl>
  </w:abstractNum>
  <w:abstractNum w:abstractNumId="302">
    <w:nsid w:val="2C02FE8C"/>
    <w:multiLevelType w:val="hybridMultilevel"/>
    <w:lvl w:ilvl="0">
      <w:lvlJc w:val="left"/>
      <w:lvlText w:val="(%1)"/>
      <w:numFmt w:val="lowerLetter"/>
      <w:start w:val="1"/>
    </w:lvl>
  </w:abstractNum>
  <w:abstractNum w:abstractNumId="303">
    <w:nsid w:val="129517E"/>
    <w:multiLevelType w:val="hybridMultilevel"/>
    <w:lvl w:ilvl="0">
      <w:lvlJc w:val="left"/>
      <w:lvlText w:val="(%1)"/>
      <w:numFmt w:val="lowerLetter"/>
      <w:start w:val="5"/>
    </w:lvl>
  </w:abstractNum>
  <w:abstractNum w:abstractNumId="304">
    <w:nsid w:val="763B8C4E"/>
    <w:multiLevelType w:val="hybridMultilevel"/>
    <w:lvl w:ilvl="0">
      <w:lvlJc w:val="left"/>
      <w:lvlText w:val="(%1)"/>
      <w:numFmt w:val="lowerLetter"/>
      <w:start w:val="1"/>
    </w:lvl>
    <w:lvl w:ilvl="1">
      <w:lvlJc w:val="left"/>
      <w:lvlText w:val="(%2)"/>
      <w:numFmt w:val="lowerRoman"/>
      <w:start w:val="1"/>
    </w:lvl>
  </w:abstractNum>
  <w:abstractNum w:abstractNumId="305">
    <w:nsid w:val="4CFB8D32"/>
    <w:multiLevelType w:val="hybridMultilevel"/>
    <w:lvl w:ilvl="0">
      <w:lvlJc w:val="left"/>
      <w:lvlText w:val="(%1)"/>
      <w:numFmt w:val="lowerLetter"/>
      <w:start w:val="4"/>
    </w:lvl>
    <w:lvl w:ilvl="1">
      <w:lvlJc w:val="left"/>
      <w:lvlText w:val="(%2)"/>
      <w:numFmt w:val="lowerRoman"/>
      <w:start w:val="1"/>
    </w:lvl>
  </w:abstractNum>
  <w:abstractNum w:abstractNumId="306">
    <w:nsid w:val="62A5D5BD"/>
    <w:multiLevelType w:val="hybridMultilevel"/>
    <w:lvl w:ilvl="0">
      <w:lvlJc w:val="left"/>
      <w:lvlText w:val="(%1)"/>
      <w:numFmt w:val="lowerLetter"/>
      <w:start w:val="1"/>
    </w:lvl>
  </w:abstractNum>
  <w:abstractNum w:abstractNumId="307">
    <w:nsid w:val="718FABF9"/>
    <w:multiLevelType w:val="hybridMultilevel"/>
    <w:lvl w:ilvl="0">
      <w:lvlJc w:val="left"/>
      <w:lvlText w:val="(%1)"/>
      <w:numFmt w:val="lowerLetter"/>
      <w:start w:val="2"/>
    </w:lvl>
  </w:abstractNum>
  <w:abstractNum w:abstractNumId="308">
    <w:nsid w:val="7775797C"/>
    <w:multiLevelType w:val="hybridMultilevel"/>
    <w:lvl w:ilvl="0">
      <w:lvlJc w:val="left"/>
      <w:lvlText w:val="(%1)"/>
      <w:numFmt w:val="lowerLetter"/>
      <w:start w:val="1"/>
    </w:lvl>
  </w:abstractNum>
  <w:abstractNum w:abstractNumId="309">
    <w:nsid w:val="1626FB8C"/>
    <w:multiLevelType w:val="hybridMultilevel"/>
    <w:lvl w:ilvl="0">
      <w:lvlJc w:val="left"/>
      <w:lvlText w:val="(%1)"/>
      <w:numFmt w:val="lowerLetter"/>
      <w:start w:val="2"/>
    </w:lvl>
  </w:abstractNum>
  <w:abstractNum w:abstractNumId="310">
    <w:nsid w:val="3957756A"/>
    <w:multiLevelType w:val="hybridMultilevel"/>
    <w:lvl w:ilvl="0">
      <w:lvlJc w:val="left"/>
      <w:lvlText w:val="(%1)"/>
      <w:numFmt w:val="lowerLetter"/>
      <w:start w:val="1"/>
    </w:lvl>
  </w:abstractNum>
  <w:abstractNum w:abstractNumId="311">
    <w:nsid w:val="3E6DA1C7"/>
    <w:multiLevelType w:val="hybridMultilevel"/>
    <w:lvl w:ilvl="0">
      <w:lvlJc w:val="left"/>
      <w:lvlText w:val="(%1)"/>
      <w:numFmt w:val="lowerLetter"/>
      <w:start w:val="2"/>
    </w:lvl>
  </w:abstractNum>
  <w:abstractNum w:abstractNumId="312">
    <w:nsid w:val="65CA235B"/>
    <w:multiLevelType w:val="hybridMultilevel"/>
    <w:lvl w:ilvl="0">
      <w:lvlJc w:val="left"/>
      <w:lvlText w:val="(%1)"/>
      <w:numFmt w:val="lowerLetter"/>
      <w:start w:val="1"/>
    </w:lvl>
  </w:abstractNum>
  <w:abstractNum w:abstractNumId="313">
    <w:nsid w:val="51CB0DA4"/>
    <w:multiLevelType w:val="hybridMultilevel"/>
    <w:lvl w:ilvl="0">
      <w:lvlJc w:val="left"/>
      <w:lvlText w:val="(%1)"/>
      <w:numFmt w:val="lowerLetter"/>
      <w:start w:val="2"/>
    </w:lvl>
  </w:abstractNum>
  <w:abstractNum w:abstractNumId="314">
    <w:nsid w:val="7B9B743C"/>
    <w:multiLevelType w:val="hybridMultilevel"/>
    <w:lvl w:ilvl="0">
      <w:lvlJc w:val="left"/>
      <w:lvlText w:val="(%1)"/>
      <w:numFmt w:val="lowerLetter"/>
      <w:start w:val="1"/>
    </w:lvl>
  </w:abstractNum>
  <w:abstractNum w:abstractNumId="315">
    <w:nsid w:val="13E21002"/>
    <w:multiLevelType w:val="hybridMultilevel"/>
    <w:lvl w:ilvl="0">
      <w:lvlJc w:val="left"/>
      <w:lvlText w:val="(%1)"/>
      <w:numFmt w:val="lowerLetter"/>
      <w:start w:val="3"/>
    </w:lvl>
  </w:abstractNum>
  <w:abstractNum w:abstractNumId="316">
    <w:nsid w:val="257D63F4"/>
    <w:multiLevelType w:val="hybridMultilevel"/>
    <w:lvl w:ilvl="0">
      <w:lvlJc w:val="left"/>
      <w:lvlText w:val="(%1)"/>
      <w:numFmt w:val="lowerLetter"/>
      <w:start w:val="1"/>
    </w:lvl>
  </w:abstractNum>
  <w:abstractNum w:abstractNumId="317">
    <w:nsid w:val="70EC11B2"/>
    <w:multiLevelType w:val="hybridMultilevel"/>
    <w:lvl w:ilvl="0">
      <w:lvlJc w:val="left"/>
      <w:lvlText w:val="(%1)"/>
      <w:numFmt w:val="lowerLetter"/>
      <w:start w:val="2"/>
    </w:lvl>
    <w:lvl w:ilvl="1">
      <w:lvlJc w:val="left"/>
      <w:lvlText w:val="(%2)"/>
      <w:numFmt w:val="lowerRoman"/>
      <w:start w:val="1"/>
    </w:lvl>
  </w:abstractNum>
  <w:abstractNum w:abstractNumId="318">
    <w:nsid w:val="2EDA00ED"/>
    <w:multiLevelType w:val="hybridMultilevel"/>
    <w:lvl w:ilvl="0">
      <w:lvlJc w:val="left"/>
      <w:lvlText w:val="%1"/>
      <w:numFmt w:val="lowerLetter"/>
      <w:start w:val="1"/>
    </w:lvl>
    <w:lvl w:ilvl="1">
      <w:lvlJc w:val="left"/>
      <w:lvlText w:val="(%2)"/>
      <w:numFmt w:val="lowerRoman"/>
      <w:start w:val="3"/>
    </w:lvl>
  </w:abstractNum>
  <w:abstractNum w:abstractNumId="319">
    <w:nsid w:val="73209072"/>
    <w:multiLevelType w:val="hybridMultilevel"/>
    <w:lvl w:ilvl="0">
      <w:lvlJc w:val="left"/>
      <w:lvlText w:val="(%1)"/>
      <w:numFmt w:val="lowerLetter"/>
      <w:start w:val="4"/>
    </w:lvl>
    <w:lvl w:ilvl="1">
      <w:lvlJc w:val="left"/>
      <w:lvlText w:val="%2"/>
      <w:numFmt w:val="lowerRoman"/>
      <w:start w:val="1"/>
    </w:lvl>
  </w:abstractNum>
  <w:abstractNum w:abstractNumId="320">
    <w:nsid w:val="5FB29816"/>
    <w:multiLevelType w:val="hybridMultilevel"/>
    <w:lvl w:ilvl="0">
      <w:lvlJc w:val="left"/>
      <w:lvlText w:val="(%1)"/>
      <w:numFmt w:val="decimal"/>
      <w:start w:val="1"/>
    </w:lvl>
  </w:abstractNum>
  <w:abstractNum w:abstractNumId="321">
    <w:nsid w:val="3CE732EC"/>
    <w:multiLevelType w:val="hybridMultilevel"/>
    <w:lvl w:ilvl="0">
      <w:lvlJc w:val="left"/>
      <w:lvlText w:val="%1."/>
      <w:numFmt w:val="decimal"/>
      <w:start w:val="1"/>
    </w:lvl>
    <w:lvl w:ilvl="1">
      <w:lvlJc w:val="left"/>
      <w:lvlText w:val="(%2)"/>
      <w:numFmt w:val="lowerLetter"/>
      <w:start w:val="1"/>
    </w:lvl>
  </w:abstractNum>
  <w:abstractNum w:abstractNumId="322">
    <w:nsid w:val="22F13DF3"/>
    <w:multiLevelType w:val="hybridMultilevel"/>
    <w:lvl w:ilvl="0">
      <w:lvlJc w:val="left"/>
      <w:lvlText w:val="%1."/>
      <w:numFmt w:val="decimal"/>
      <w:start w:val="1"/>
    </w:lvl>
    <w:lvl w:ilvl="1">
      <w:lvlJc w:val="left"/>
      <w:lvlText w:val="(%2)"/>
      <w:numFmt w:val="lowerLetter"/>
      <w:start w:val="1"/>
    </w:lvl>
  </w:abstractNum>
  <w:abstractNum w:abstractNumId="323">
    <w:nsid w:val="792B8401"/>
    <w:multiLevelType w:val="hybridMultilevel"/>
    <w:lvl w:ilvl="0">
      <w:lvlJc w:val="left"/>
      <w:lvlText w:val="(%1)"/>
      <w:numFmt w:val="lowerRoman"/>
      <w:start w:val="1"/>
    </w:lvl>
  </w:abstractNum>
  <w:abstractNum w:abstractNumId="324">
    <w:nsid w:val="FA85F4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10" Type="http://schemas.openxmlformats.org/officeDocument/2006/relationships/image" Target="media/image200.png"/><Relationship Id="rId213" Type="http://schemas.openxmlformats.org/officeDocument/2006/relationships/image" Target="media/image201.png"/><Relationship Id="rId216" Type="http://schemas.openxmlformats.org/officeDocument/2006/relationships/image" Target="media/image202.png"/><Relationship Id="rId219" Type="http://schemas.openxmlformats.org/officeDocument/2006/relationships/image" Target="media/image203.png"/><Relationship Id="rId221" Type="http://schemas.openxmlformats.org/officeDocument/2006/relationships/image" Target="media/image204.png"/><Relationship Id="rId224" Type="http://schemas.openxmlformats.org/officeDocument/2006/relationships/image" Target="media/image205.png"/><Relationship Id="rId226" Type="http://schemas.openxmlformats.org/officeDocument/2006/relationships/image" Target="media/image206.png"/><Relationship Id="rId229" Type="http://schemas.openxmlformats.org/officeDocument/2006/relationships/image" Target="media/image207.png"/><Relationship Id="rId231" Type="http://schemas.openxmlformats.org/officeDocument/2006/relationships/image" Target="media/image208.png"/><Relationship Id="rId234" Type="http://schemas.openxmlformats.org/officeDocument/2006/relationships/image" Target="media/image209.png"/><Relationship Id="rId237" Type="http://schemas.openxmlformats.org/officeDocument/2006/relationships/image" Target="media/image210.png"/><Relationship Id="rId241"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4"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8" Type="http://schemas.openxmlformats.org/officeDocument/2006/relationships/image" Target="media/image222.png"/><Relationship Id="rId289" Type="http://schemas.openxmlformats.org/officeDocument/2006/relationships/image" Target="media/image223.png"/><Relationship Id="rId290" Type="http://schemas.openxmlformats.org/officeDocument/2006/relationships/image" Target="media/image224.png"/><Relationship Id="rId291" Type="http://schemas.openxmlformats.org/officeDocument/2006/relationships/image" Target="media/image225.png"/><Relationship Id="rId205" Type="http://schemas.openxmlformats.org/officeDocument/2006/relationships/hyperlink" Target="https://www.sec.gov/Archives/edgar/data/1679688/000104746916016661/a2230112zs-4a.htm" TargetMode="External"/><Relationship Id="rId208" Type="http://schemas.openxmlformats.org/officeDocument/2006/relationships/hyperlink" Target="https://www.sec.gov/Archives/edgar/data/1679688/000167968821000065/dbrg8-k06212021exhibit32.htm" TargetMode="External"/><Relationship Id="rId209" Type="http://schemas.openxmlformats.org/officeDocument/2006/relationships/hyperlink" Target="https://www.sec.gov/Archives/edgar/data/1679688/000119312517194566/d357646dex32.htm" TargetMode="External"/><Relationship Id="rId211" Type="http://schemas.openxmlformats.org/officeDocument/2006/relationships/hyperlink" Target="https://www.sec.gov/Archives/edgar/data/1679688/000119312517291385/d456005dex33.htm" TargetMode="External"/><Relationship Id="rId212" Type="http://schemas.openxmlformats.org/officeDocument/2006/relationships/hyperlink" Target="https://www.sec.gov/Archives/edgar/data/1679688/000119312517291385/d456005dex41.htm" TargetMode="External"/><Relationship Id="rId214" Type="http://schemas.openxmlformats.org/officeDocument/2006/relationships/hyperlink" Target="https://www.sec.gov/Archives/edgar/data/1679688/000119312517194566/d357646dex41.htm" TargetMode="External"/><Relationship Id="rId215" Type="http://schemas.openxmlformats.org/officeDocument/2006/relationships/hyperlink" Target="https://www.sec.gov/Archives/edgar/data/1467076/000119312513149233/d519159dex41.htm" TargetMode="External"/><Relationship Id="rId217" Type="http://schemas.openxmlformats.org/officeDocument/2006/relationships/hyperlink" Target="https://www.sec.gov/Archives/edgar/data/1467076/000119312513149233/d519159dex42.htm" TargetMode="External"/><Relationship Id="rId218" Type="http://schemas.openxmlformats.org/officeDocument/2006/relationships/hyperlink" Target="https://www.sec.gov/Archives/edgar/data/1679688/000119312517006878/d305175dex102.htm" TargetMode="External"/><Relationship Id="rId220" Type="http://schemas.openxmlformats.org/officeDocument/2006/relationships/hyperlink" Target="http://www.sec.gov/Archives/edgar/data/1273801/000110465913050145/a13-15210_1ex4d4.htm" TargetMode="External"/><Relationship Id="rId222" Type="http://schemas.openxmlformats.org/officeDocument/2006/relationships/hyperlink" Target="https://www.sec.gov/Archives/edgar/data/1679688/000167968820000047/clny8-k07172020ex41.htm" TargetMode="External"/><Relationship Id="rId223" Type="http://schemas.openxmlformats.org/officeDocument/2006/relationships/hyperlink" Target="https://www.sec.gov/Archives/edgar/data/1679688/000167968820000047/clny8-k07172020ex42.htm" TargetMode="External"/><Relationship Id="rId225" Type="http://schemas.openxmlformats.org/officeDocument/2006/relationships/hyperlink" Target="https://www.sec.gov/Archives/edgar/data/1679688/000167968820000047/clny8-k07172020ex107.htm" TargetMode="External"/><Relationship Id="rId227" Type="http://schemas.openxmlformats.org/officeDocument/2006/relationships/hyperlink" Target="https://www.sec.gov/Archives/edgar/data/0001679688/000167968821000074/dbrg8-k07092021exhibit41.htm" TargetMode="External"/><Relationship Id="rId228" Type="http://schemas.openxmlformats.org/officeDocument/2006/relationships/hyperlink" Target="https://www.sec.gov/Archives/edgar/data/0001679688/000167968821000074/dbrg8-k07092021exhibit42.htm" TargetMode="External"/><Relationship Id="rId230" Type="http://schemas.openxmlformats.org/officeDocument/2006/relationships/hyperlink" Target="http://www.sec.gov/Archives/edgar/data/1679688/000119312517006878/d305175dex101.htm" TargetMode="External"/><Relationship Id="rId232" Type="http://schemas.openxmlformats.org/officeDocument/2006/relationships/hyperlink" Target="http://www.sec.gov/Archives/edgar/data/1679688/000167968817000043/exhibit101amdno1toopagreem.htm" TargetMode="External"/><Relationship Id="rId233" Type="http://schemas.openxmlformats.org/officeDocument/2006/relationships/hyperlink" Target="http://www.sec.gov/Archives/edgar/data/1679688/000167968817000053/exhibit101clnsq32017.htm" TargetMode="External"/><Relationship Id="rId235" Type="http://schemas.openxmlformats.org/officeDocument/2006/relationships/hyperlink" Target="http://www.sec.gov/Archives/edgar/data/1679688/000167968817000053/exhibit102clnsq32017.htm" TargetMode="External"/><Relationship Id="rId236" Type="http://schemas.openxmlformats.org/officeDocument/2006/relationships/hyperlink" Target="http://www.sec.gov/Archives/edgar/data/1679688/000167968818000053/exhibit102clny2018q3.htm" TargetMode="External"/><Relationship Id="rId238" Type="http://schemas.openxmlformats.org/officeDocument/2006/relationships/hyperlink" Target="https://www.sec.gov/Archives/edgar/data/1679688/000167968821000085/exhibit101dbrg2021q2.htm" TargetMode="External"/><Relationship Id="rId239" Type="http://schemas.openxmlformats.org/officeDocument/2006/relationships/hyperlink" Target="http://www.sec.gov/Archives/edgar/data/1679688/000119312517006878/d305175dex1017.htm" TargetMode="External"/><Relationship Id="rId240" Type="http://schemas.openxmlformats.org/officeDocument/2006/relationships/hyperlink" Target="http://www.sec.gov/Archives/edgar/data/1467076/000119312514452937/d841958dex102.htm" TargetMode="External"/><Relationship Id="rId242" Type="http://schemas.openxmlformats.org/officeDocument/2006/relationships/hyperlink" Target="http://www.sec.gov/Archives/edgar/data/1679688/000167968819000032/exhibit101clny2019q1.htm" TargetMode="External"/><Relationship Id="rId243" Type="http://schemas.openxmlformats.org/officeDocument/2006/relationships/hyperlink" Target="http://www.sec.gov/Archives/edgar/data/1467076/000119312514452937/d841958dex104.htm" TargetMode="External"/><Relationship Id="rId244" Type="http://schemas.openxmlformats.org/officeDocument/2006/relationships/hyperlink" Target="http://www.sec.gov/Archives/edgar/data/1467076/000119312516616826/d192780dex102.htm" TargetMode="External"/><Relationship Id="rId245" Type="http://schemas.openxmlformats.org/officeDocument/2006/relationships/hyperlink" Target="https://www.sec.gov/Archives/edgar/data/1679688/000167968821000054/exhibit104clny2021q1.htm" TargetMode="External"/><Relationship Id="rId246" Type="http://schemas.openxmlformats.org/officeDocument/2006/relationships/hyperlink" Target="https://www.sec.gov/Archives/edgar/data/1679688/000167968821000018/exhibit1051clny2020q4.htm" TargetMode="External"/><Relationship Id="rId247" Type="http://schemas.openxmlformats.org/officeDocument/2006/relationships/hyperlink" Target="https://www.sec.gov/Archives/edgar/data/1679688/000167968820000091/exhibit1012clny2020q3.htm" TargetMode="External"/><Relationship Id="rId248" Type="http://schemas.openxmlformats.org/officeDocument/2006/relationships/hyperlink" Target="https://www.sec.gov/Archives/edgar/data/1679688/000167968820000091/exhibit1013clny2020q3.htm" TargetMode="External"/><Relationship Id="rId249" Type="http://schemas.openxmlformats.org/officeDocument/2006/relationships/hyperlink" Target="https://www.sec.gov/Archives/edgar/data/1679688/000167968821000018/exhibit1055clny2020q4.htm" TargetMode="External"/><Relationship Id="rId250" Type="http://schemas.openxmlformats.org/officeDocument/2006/relationships/hyperlink" Target="https://www.sec.gov/Archives/edgar/data/1679688/000167968821000029/clnyexhibit10103112021.htm" TargetMode="External"/><Relationship Id="rId251" Type="http://schemas.openxmlformats.org/officeDocument/2006/relationships/hyperlink" Target="https://www.sec.gov/Archives/edgar/data/1679688/000167968821000054/exhibit105clny2021q1.htm" TargetMode="External"/><Relationship Id="rId252" Type="http://schemas.openxmlformats.org/officeDocument/2006/relationships/hyperlink" Target="https://www.sec.gov/Archives/edgar/data/1467076/000119312515117064/d899752dex103.htm" TargetMode="External"/><Relationship Id="rId253" Type="http://schemas.openxmlformats.org/officeDocument/2006/relationships/hyperlink" Target="http://www.sec.gov/Archives/edgar/data/1679688/000167968819000041/clny8-k07252019exhibit101.htm" TargetMode="External"/><Relationship Id="rId254" Type="http://schemas.openxmlformats.org/officeDocument/2006/relationships/hyperlink" Target="https://www.sec.gov/Archives/edgar/data/1679688/000167968819000015/exhibit1030restrictedstock.htm" TargetMode="External"/><Relationship Id="rId255" Type="http://schemas.openxmlformats.org/officeDocument/2006/relationships/hyperlink" Target="https://www.sec.gov/Archives/edgar/data/1679688/000167968819000015/exhibit1031performancersua.htm" TargetMode="External"/><Relationship Id="rId256" Type="http://schemas.openxmlformats.org/officeDocument/2006/relationships/hyperlink" Target="https://www.sec.gov/Archives/edgar/data/1679688/000167968820000044/cny8-k07072020ex101.htm" TargetMode="External"/><Relationship Id="rId257" Type="http://schemas.openxmlformats.org/officeDocument/2006/relationships/hyperlink" Target="https://www.sec.gov/Archives/edgar/data/1679688/000167968820000059/exhibit104clny2020q2.htm" TargetMode="External"/><Relationship Id="rId258" Type="http://schemas.openxmlformats.org/officeDocument/2006/relationships/hyperlink" Target="https://www.sec.gov/Archives/edgar/data/1679688/000167968820000047/clny8-k07172020ex102.htm" TargetMode="External"/><Relationship Id="rId263" Type="http://schemas.openxmlformats.org/officeDocument/2006/relationships/hyperlink" Target="https://www.sec.gov/Archives/edgar/data/1679688/000167968820000047/clny8-k07172020ex103.htm" TargetMode="External"/><Relationship Id="rId265" Type="http://schemas.openxmlformats.org/officeDocument/2006/relationships/hyperlink" Target="https://www.sec.gov/Archives/edgar/data/1679688/000167968820000047/clny8-k07172020ex104.htm" TargetMode="External"/><Relationship Id="rId266" Type="http://schemas.openxmlformats.org/officeDocument/2006/relationships/hyperlink" Target="https://www.sec.gov/Archives/edgar/data/1679688/000167968820000047/clny8-k07172020ex105.htm" TargetMode="External"/><Relationship Id="rId267" Type="http://schemas.openxmlformats.org/officeDocument/2006/relationships/hyperlink" Target="https://www.sec.gov/Archives/edgar/data/1679688/000167968820000047/clny8-k07172020ex106.htm" TargetMode="External"/><Relationship Id="rId268" Type="http://schemas.openxmlformats.org/officeDocument/2006/relationships/hyperlink" Target="https://www.sec.gov/Archives/edgar/data/1679688/000167968820000059/exhibit1011clny2020q2.htm" TargetMode="External"/><Relationship Id="rId269" Type="http://schemas.openxmlformats.org/officeDocument/2006/relationships/hyperlink" Target="https://www.sec.gov/Archives/edgar/data/1679688/000167968820000059/exhibit1012clny2020q2.htm" TargetMode="External"/><Relationship Id="rId270" Type="http://schemas.openxmlformats.org/officeDocument/2006/relationships/hyperlink" Target="https://www.sec.gov/Archives/edgar/data/1679688/000167968820000059/exhibit1013clny2020q2.htm" TargetMode="External"/><Relationship Id="rId271" Type="http://schemas.openxmlformats.org/officeDocument/2006/relationships/hyperlink" Target="https://www.sec.gov/Archives/edgar/data/1679688/000119312520074926/d897811dex101.htm" TargetMode="External"/><Relationship Id="rId272" Type="http://schemas.openxmlformats.org/officeDocument/2006/relationships/hyperlink" Target="https://www.sec.gov/Archives/edgar/data/1679688/000167968821000054/exhibit108clny2021q1.htm" TargetMode="External"/><Relationship Id="rId273" Type="http://schemas.openxmlformats.org/officeDocument/2006/relationships/hyperlink" Target="https://www.sec.gov/Archives/edgar/data/1679688/000119312518029387/d514676dex103.htm" TargetMode="External"/><Relationship Id="rId274" Type="http://schemas.openxmlformats.org/officeDocument/2006/relationships/hyperlink" Target="https://www.sec.gov/Archives/edgar/data/1679688/000167968821000041/clny8-k04042021exhibit101.htm" TargetMode="External"/><Relationship Id="rId275" Type="http://schemas.openxmlformats.org/officeDocument/2006/relationships/hyperlink" Target="https://www.sec.gov/Archives/edgar/data/0001679688/000167968821000045/clny8-k04302021exhibit101.htm" TargetMode="External"/><Relationship Id="rId276" Type="http://schemas.openxmlformats.org/officeDocument/2006/relationships/hyperlink" Target="https://www.sec.gov/Archives/edgar/data/0001679688/000167968821000060/clny8-k06052021exhibit101.htm" TargetMode="External"/><Relationship Id="rId277" Type="http://schemas.openxmlformats.org/officeDocument/2006/relationships/hyperlink" Target="https://www.sec.gov/Archives/edgar/data/0001679688/000167968821000074/dbrg8-k07092021exhibit101.htm" TargetMode="External"/><Relationship Id="rId278" Type="http://schemas.openxmlformats.org/officeDocument/2006/relationships/hyperlink" Target="https://www.sec.gov/Archives/edgar/data/0001679688/000167968821000074/dbrg8-k07092021exhibit102.htm" TargetMode="External"/><Relationship Id="rId279" Type="http://schemas.openxmlformats.org/officeDocument/2006/relationships/hyperlink" Target="https://www.sec.gov/Archives/edgar/data/0001679688/000167968821000074/dbrg8-k07092021exhibit103.htm" TargetMode="External"/><Relationship Id="rId280" Type="http://schemas.openxmlformats.org/officeDocument/2006/relationships/hyperlink" Target="https://www.sec.gov/Archives/edgar/data/0001679688/000167968821000074/dbrg8-k07092021exhibit104.htm" TargetMode="External"/><Relationship Id="rId281" Type="http://schemas.openxmlformats.org/officeDocument/2006/relationships/hyperlink" Target="https://www.sec.gov/Archives/edgar/data/0001679688/000167968821000090/dbrg8-k09062021exhibit21.htm" TargetMode="External"/><Relationship Id="rId287" Type="http://schemas.openxmlformats.org/officeDocument/2006/relationships/hyperlink" Target="https://www.sec.gov/Archives/edgar/data/1679688/000119312517006878/d3051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2022-02-28T19:01:40Z</dcterms:created>
  <dcterms:modified xsi:type="dcterms:W3CDTF">2022-02-28T19:01:40Z</dcterms:modified>
</cp:coreProperties>
</file>