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8437.xml.htm"/>
      <w:bookmarkStart w:id="1" w:name="kswkform4_17909784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Tolley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58,997</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rFonts w:ascii="Times;serif" w:hAnsi="Times;serif"/>
                <w:color w:val="008000"/>
                <w:position w:val="7"/>
                <w:sz w:val="16"/>
                <w:sz w:val="20"/>
                <w:shd w:fill="FFFFFF" w:val="clear"/>
              </w:rPr>
              <w:t>(1)(2)</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pursuant to an Agreement and Plan of Merger, dated as of December 29, 2025 (the "Merger Agreement"), by and among DigitalBridge Group, Inc. (the "Issuer"), Duncan Holdco LLC, Duncan Sub I Inc. ("Merger Sub I"), Duncan Sub II LLC and DigitalBridge Operating Company, LLC, among other things, Merger Sub I merged with and into the Issuer (the "Merger") with the Issuer surviving the Merger. At the effective time of the Merger (the "Effective Time"), each issued and outstanding share of the Issuer's common stock, par value $0.01 per share, (other than certain excluded shares) automatically converted into the right to receive $16.00 per share in cash, without interest and less any applicable withholding tax (the "Per Share Merger Consideration"). Pursuant to the Merger Agreement, as of the Effective Time, each deferred stock unit outstanding became fully vested, was cancelled and converted into the right to receive the Per Share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11,190 shares of restricted Class A Common Stock. As of immediately prior to the Effective Time, each outstanding share of restricted Class A Common Stock granted to the reporting person by the Issuer became fully vested, and as of the Effective Time, automatically converted into the right to receive the Per Share Merger Consideration plus a cash payment equal to the accumulated dividend equivalents as of immediately prior to the Effective Time (if any) in respect of such share of restricted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6359"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814</Words>
  <Characters>4384</Characters>
  <CharactersWithSpaces>5129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