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00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BARRACK THOMAS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359" w:lineRule="auto"/>
        <w:rPr>
          <w:sz w:val="20"/>
          <w:szCs w:val="20"/>
          <w:color w:val="auto"/>
        </w:rPr>
      </w:pPr>
      <w:r>
        <w:rPr>
          <w:rFonts w:ascii="Arial" w:cs="Arial" w:eastAsia="Arial" w:hAnsi="Arial"/>
          <w:sz w:val="16"/>
          <w:szCs w:val="16"/>
          <w:color w:val="0000FF"/>
        </w:rPr>
        <w:t>C/O COLONY NORTHSTAR, INC., 515 SOUTH FLOWER STREET, 44TH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Colony NorthStar,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CLNS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11/15/2017</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2"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2"/>
        <w:spacing w:after="0"/>
        <w:rPr>
          <w:sz w:val="20"/>
          <w:szCs w:val="20"/>
          <w:color w:val="auto"/>
        </w:rPr>
      </w:pPr>
      <w:r>
        <w:rPr>
          <w:rFonts w:ascii="Arial" w:cs="Arial" w:eastAsia="Arial" w:hAnsi="Arial"/>
          <w:sz w:val="17"/>
          <w:szCs w:val="17"/>
          <w:color w:val="0000FF"/>
        </w:rPr>
        <w:t>Executive Chairman</w:t>
      </w:r>
    </w:p>
    <w:p>
      <w:pPr>
        <w:spacing w:after="0" w:line="422"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p>
      <w:pPr>
        <w:spacing w:after="0" w:line="21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LOS ANGELES</w:t>
            </w:r>
          </w:p>
        </w:tc>
        <w:tc>
          <w:tcPr>
            <w:tcW w:w="900" w:type="dxa"/>
            <w:vAlign w:val="bottom"/>
          </w:tcPr>
          <w:p>
            <w:pPr>
              <w:ind w:left="60"/>
              <w:spacing w:after="0"/>
              <w:rPr>
                <w:sz w:val="20"/>
                <w:szCs w:val="20"/>
                <w:color w:val="auto"/>
              </w:rPr>
            </w:pPr>
            <w:r>
              <w:rPr>
                <w:rFonts w:ascii="Arial" w:cs="Arial" w:eastAsia="Arial" w:hAnsi="Arial"/>
                <w:sz w:val="17"/>
                <w:szCs w:val="17"/>
                <w:color w:val="0000FF"/>
              </w:rPr>
              <w:t>CA</w:t>
            </w:r>
          </w:p>
        </w:tc>
        <w:tc>
          <w:tcPr>
            <w:tcW w:w="1680" w:type="dxa"/>
            <w:vAlign w:val="bottom"/>
          </w:tcPr>
          <w:p>
            <w:pPr>
              <w:ind w:left="420"/>
              <w:spacing w:after="0"/>
              <w:rPr>
                <w:sz w:val="20"/>
                <w:szCs w:val="20"/>
                <w:color w:val="auto"/>
              </w:rPr>
            </w:pPr>
            <w:r>
              <w:rPr>
                <w:rFonts w:ascii="Arial" w:cs="Arial" w:eastAsia="Arial" w:hAnsi="Arial"/>
                <w:sz w:val="17"/>
                <w:szCs w:val="17"/>
                <w:color w:val="0000FF"/>
              </w:rPr>
              <w:t>90071</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4"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9"/>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jc w:val="center"/>
              <w:ind w:left="691"/>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920" w:type="dxa"/>
            <w:vAlign w:val="bottom"/>
            <w:gridSpan w:val="3"/>
          </w:tcPr>
          <w:p>
            <w:pPr>
              <w:jc w:val="center"/>
              <w:ind w:left="711"/>
              <w:spacing w:after="0"/>
              <w:rPr>
                <w:sz w:val="20"/>
                <w:szCs w:val="20"/>
                <w:color w:val="auto"/>
              </w:rPr>
            </w:pPr>
            <w:r>
              <w:rPr>
                <w:rFonts w:ascii="Arial" w:cs="Arial" w:eastAsia="Arial" w:hAnsi="Arial"/>
                <w:sz w:val="17"/>
                <w:szCs w:val="17"/>
                <w:color w:val="0000FF"/>
                <w:w w:val="91"/>
              </w:rPr>
              <w:t>11/15/2017</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163"/>
              <w:spacing w:after="0" w:line="212"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(1)</w:t>
            </w:r>
          </w:p>
        </w:tc>
        <w:tc>
          <w:tcPr>
            <w:tcW w:w="780" w:type="dxa"/>
            <w:vAlign w:val="bottom"/>
          </w:tcPr>
          <w:p>
            <w:pPr>
              <w:jc w:val="right"/>
              <w:spacing w:after="0"/>
              <w:rPr>
                <w:sz w:val="20"/>
                <w:szCs w:val="20"/>
                <w:color w:val="auto"/>
              </w:rPr>
            </w:pPr>
            <w:r>
              <w:rPr>
                <w:rFonts w:ascii="Arial" w:cs="Arial" w:eastAsia="Arial" w:hAnsi="Arial"/>
                <w:sz w:val="17"/>
                <w:szCs w:val="17"/>
                <w:color w:val="0000FF"/>
              </w:rPr>
              <w:t>5,634</w:t>
            </w:r>
          </w:p>
        </w:tc>
        <w:tc>
          <w:tcPr>
            <w:tcW w:w="640" w:type="dxa"/>
            <w:vAlign w:val="bottom"/>
          </w:tcPr>
          <w:p>
            <w:pPr>
              <w:ind w:left="400"/>
              <w:spacing w:after="0"/>
              <w:rPr>
                <w:sz w:val="20"/>
                <w:szCs w:val="20"/>
                <w:color w:val="auto"/>
              </w:rPr>
            </w:pPr>
            <w:r>
              <w:rPr>
                <w:rFonts w:ascii="Arial" w:cs="Arial" w:eastAsia="Arial" w:hAnsi="Arial"/>
                <w:sz w:val="17"/>
                <w:szCs w:val="17"/>
                <w:color w:val="0000FF"/>
              </w:rPr>
              <w:t>D</w:t>
            </w:r>
          </w:p>
        </w:tc>
        <w:tc>
          <w:tcPr>
            <w:tcW w:w="700" w:type="dxa"/>
            <w:vAlign w:val="bottom"/>
            <w:gridSpan w:val="2"/>
          </w:tcPr>
          <w:p>
            <w:pPr>
              <w:ind w:left="160"/>
              <w:spacing w:after="0" w:line="212" w:lineRule="exact"/>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(1)</w:t>
            </w:r>
          </w:p>
        </w:tc>
        <w:tc>
          <w:tcPr>
            <w:tcW w:w="1300" w:type="dxa"/>
            <w:vAlign w:val="bottom"/>
            <w:gridSpan w:val="3"/>
          </w:tcPr>
          <w:p>
            <w:pPr>
              <w:jc w:val="right"/>
              <w:ind w:right="300"/>
              <w:spacing w:after="0"/>
              <w:rPr>
                <w:sz w:val="20"/>
                <w:szCs w:val="20"/>
                <w:color w:val="auto"/>
              </w:rPr>
            </w:pPr>
            <w:r>
              <w:rPr>
                <w:rFonts w:ascii="Arial" w:cs="Arial" w:eastAsia="Arial" w:hAnsi="Arial"/>
                <w:sz w:val="17"/>
                <w:szCs w:val="17"/>
                <w:color w:val="0000FF"/>
              </w:rPr>
              <w:t>736,240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gridSpan w:val="3"/>
          </w:tcPr>
          <w:p>
            <w:pPr>
              <w:jc w:val="center"/>
              <w:ind w:left="711"/>
              <w:spacing w:after="0"/>
              <w:rPr>
                <w:sz w:val="20"/>
                <w:szCs w:val="20"/>
                <w:color w:val="auto"/>
              </w:rPr>
            </w:pPr>
            <w:r>
              <w:rPr>
                <w:rFonts w:ascii="Arial" w:cs="Arial" w:eastAsia="Arial" w:hAnsi="Arial"/>
                <w:sz w:val="17"/>
                <w:szCs w:val="17"/>
                <w:color w:val="0000FF"/>
                <w:w w:val="91"/>
              </w:rPr>
              <w:t>11/15/2017</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163"/>
              <w:spacing w:after="0" w:line="212"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(1)</w:t>
            </w:r>
          </w:p>
        </w:tc>
        <w:tc>
          <w:tcPr>
            <w:tcW w:w="780" w:type="dxa"/>
            <w:vAlign w:val="bottom"/>
          </w:tcPr>
          <w:p>
            <w:pPr>
              <w:jc w:val="right"/>
              <w:spacing w:after="0"/>
              <w:rPr>
                <w:sz w:val="20"/>
                <w:szCs w:val="20"/>
                <w:color w:val="auto"/>
              </w:rPr>
            </w:pPr>
            <w:r>
              <w:rPr>
                <w:rFonts w:ascii="Arial" w:cs="Arial" w:eastAsia="Arial" w:hAnsi="Arial"/>
                <w:sz w:val="17"/>
                <w:szCs w:val="17"/>
                <w:color w:val="0000FF"/>
              </w:rPr>
              <w:t>5,634</w:t>
            </w:r>
          </w:p>
        </w:tc>
        <w:tc>
          <w:tcPr>
            <w:tcW w:w="640" w:type="dxa"/>
            <w:vAlign w:val="bottom"/>
          </w:tcPr>
          <w:p>
            <w:pPr>
              <w:ind w:left="4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ind w:left="160"/>
              <w:spacing w:after="0" w:line="212" w:lineRule="exact"/>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(1)</w:t>
            </w:r>
          </w:p>
        </w:tc>
        <w:tc>
          <w:tcPr>
            <w:tcW w:w="1300" w:type="dxa"/>
            <w:vAlign w:val="bottom"/>
            <w:gridSpan w:val="3"/>
          </w:tcPr>
          <w:p>
            <w:pPr>
              <w:jc w:val="right"/>
              <w:ind w:right="240"/>
              <w:spacing w:after="0"/>
              <w:rPr>
                <w:sz w:val="20"/>
                <w:szCs w:val="20"/>
                <w:color w:val="auto"/>
              </w:rPr>
            </w:pPr>
            <w:r>
              <w:rPr>
                <w:rFonts w:ascii="Arial" w:cs="Arial" w:eastAsia="Arial" w:hAnsi="Arial"/>
                <w:sz w:val="17"/>
                <w:szCs w:val="17"/>
                <w:color w:val="0000FF"/>
              </w:rPr>
              <w:t>1,371,124</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vMerge w:val="restart"/>
          </w:tcPr>
          <w:p>
            <w:pPr>
              <w:jc w:val="center"/>
              <w:spacing w:after="0"/>
              <w:rPr>
                <w:sz w:val="20"/>
                <w:szCs w:val="20"/>
                <w:color w:val="auto"/>
              </w:rPr>
            </w:pPr>
            <w:r>
              <w:rPr>
                <w:rFonts w:ascii="Arial" w:cs="Arial" w:eastAsia="Arial" w:hAnsi="Arial"/>
                <w:sz w:val="26"/>
                <w:szCs w:val="26"/>
                <w:color w:val="0000FF"/>
                <w:w w:val="81"/>
                <w:vertAlign w:val="subscript"/>
              </w:rPr>
              <w:t>G</w:t>
            </w:r>
            <w:r>
              <w:rPr>
                <w:rFonts w:ascii="Arial" w:cs="Arial" w:eastAsia="Arial" w:hAnsi="Arial"/>
                <w:sz w:val="11"/>
                <w:szCs w:val="11"/>
                <w:color w:val="008000"/>
                <w:w w:val="81"/>
              </w:rPr>
              <w:t>(1)</w:t>
            </w: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jc w:val="right"/>
              <w:ind w:right="293"/>
              <w:spacing w:after="0"/>
              <w:rPr>
                <w:sz w:val="20"/>
                <w:szCs w:val="20"/>
                <w:color w:val="auto"/>
              </w:rPr>
            </w:pPr>
            <w:r>
              <w:rPr>
                <w:rFonts w:ascii="Arial" w:cs="Arial" w:eastAsia="Arial" w:hAnsi="Arial"/>
                <w:sz w:val="11"/>
                <w:szCs w:val="11"/>
                <w:color w:val="008000"/>
              </w:rPr>
              <w:t>(2)</w:t>
            </w:r>
          </w:p>
        </w:tc>
        <w:tc>
          <w:tcPr>
            <w:tcW w:w="640" w:type="dxa"/>
            <w:vAlign w:val="bottom"/>
          </w:tcPr>
          <w:p>
            <w:pPr>
              <w:jc w:val="center"/>
              <w:ind w:right="75"/>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200,000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rPr>
              <w:t>OP Units</w:t>
            </w:r>
          </w:p>
        </w:tc>
        <w:tc>
          <w:tcPr>
            <w:tcW w:w="800" w:type="dxa"/>
            <w:vAlign w:val="bottom"/>
            <w:vMerge w:val="continue"/>
          </w:tcPr>
          <w:p>
            <w:pPr>
              <w:spacing w:after="0"/>
              <w:rPr>
                <w:sz w:val="4"/>
                <w:szCs w:val="4"/>
                <w:color w:val="auto"/>
              </w:rPr>
            </w:pPr>
          </w:p>
        </w:tc>
        <w:tc>
          <w:tcPr>
            <w:tcW w:w="1100" w:type="dxa"/>
            <w:vAlign w:val="bottom"/>
            <w:vMerge w:val="restart"/>
          </w:tcPr>
          <w:p>
            <w:pPr>
              <w:jc w:val="right"/>
              <w:ind w:right="179"/>
              <w:spacing w:after="0" w:line="128" w:lineRule="exact"/>
              <w:rPr>
                <w:sz w:val="20"/>
                <w:szCs w:val="20"/>
                <w:color w:val="auto"/>
              </w:rPr>
            </w:pPr>
            <w:r>
              <w:rPr>
                <w:rFonts w:ascii="Arial" w:cs="Arial" w:eastAsia="Arial" w:hAnsi="Arial"/>
                <w:sz w:val="13"/>
                <w:szCs w:val="13"/>
                <w:color w:val="0000FF"/>
              </w:rPr>
              <w:t>11/15/2017</w:t>
            </w:r>
          </w:p>
        </w:tc>
        <w:tc>
          <w:tcPr>
            <w:tcW w:w="11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60" w:type="dxa"/>
            <w:vAlign w:val="bottom"/>
            <w:vMerge w:val="restart"/>
          </w:tcPr>
          <w:p>
            <w:pPr>
              <w:ind w:left="160"/>
              <w:spacing w:after="0" w:line="128" w:lineRule="exact"/>
              <w:rPr>
                <w:sz w:val="20"/>
                <w:szCs w:val="20"/>
                <w:color w:val="auto"/>
              </w:rPr>
            </w:pPr>
            <w:r>
              <w:rPr>
                <w:rFonts w:ascii="Arial" w:cs="Arial" w:eastAsia="Arial" w:hAnsi="Arial"/>
                <w:sz w:val="13"/>
                <w:szCs w:val="13"/>
                <w:color w:val="0000FF"/>
              </w:rPr>
              <w:t>V</w:t>
            </w:r>
          </w:p>
        </w:tc>
        <w:tc>
          <w:tcPr>
            <w:tcW w:w="680" w:type="dxa"/>
            <w:vAlign w:val="bottom"/>
            <w:vMerge w:val="restart"/>
          </w:tcPr>
          <w:p>
            <w:pPr>
              <w:ind w:left="120"/>
              <w:spacing w:after="0" w:line="128" w:lineRule="exact"/>
              <w:rPr>
                <w:sz w:val="20"/>
                <w:szCs w:val="20"/>
                <w:color w:val="auto"/>
              </w:rPr>
            </w:pPr>
            <w:r>
              <w:rPr>
                <w:rFonts w:ascii="Arial" w:cs="Arial" w:eastAsia="Arial" w:hAnsi="Arial"/>
                <w:sz w:val="13"/>
                <w:szCs w:val="13"/>
                <w:color w:val="0000FF"/>
              </w:rPr>
              <w:t>200,000</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40" w:type="dxa"/>
            <w:vAlign w:val="bottom"/>
            <w:vMerge w:val="restart"/>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restart"/>
          </w:tcPr>
          <w:p>
            <w:pPr>
              <w:ind w:left="140"/>
              <w:spacing w:after="0" w:line="128" w:lineRule="exact"/>
              <w:rPr>
                <w:sz w:val="20"/>
                <w:szCs w:val="20"/>
                <w:color w:val="auto"/>
              </w:rPr>
            </w:pPr>
            <w:r>
              <w:rPr>
                <w:rFonts w:ascii="Arial" w:cs="Arial" w:eastAsia="Arial" w:hAnsi="Arial"/>
                <w:sz w:val="13"/>
                <w:szCs w:val="13"/>
                <w:color w:val="0000FF"/>
              </w:rPr>
              <w:t>26,136,586</w:t>
            </w:r>
          </w:p>
        </w:tc>
        <w:tc>
          <w:tcPr>
            <w:tcW w:w="680" w:type="dxa"/>
            <w:vAlign w:val="bottom"/>
            <w:vMerge w:val="restart"/>
          </w:tcPr>
          <w:p>
            <w:pPr>
              <w:ind w:left="360"/>
              <w:spacing w:after="0" w:line="128"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ind w:left="580"/>
              <w:spacing w:after="0" w:line="80" w:lineRule="exact"/>
              <w:rPr>
                <w:sz w:val="20"/>
                <w:szCs w:val="20"/>
                <w:color w:val="auto"/>
              </w:rPr>
            </w:pPr>
            <w:r>
              <w:rPr>
                <w:rFonts w:ascii="Arial" w:cs="Arial" w:eastAsia="Arial" w:hAnsi="Arial"/>
                <w:sz w:val="9"/>
                <w:szCs w:val="9"/>
                <w:color w:val="008000"/>
              </w:rPr>
              <w:t>(3)</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vMerge w:val="restart"/>
          </w:tcPr>
          <w:p>
            <w:pPr>
              <w:jc w:val="center"/>
              <w:ind w:right="75"/>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3"/>
          </w:tcPr>
          <w:p>
            <w:pPr>
              <w:ind w:left="140"/>
              <w:spacing w:after="0" w:line="146"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6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a charitable donation of 200,000 OP Units owned indirectly by Mr. Jonathan Grunzweig, in accordance with the terms of the Class B common stock owned by Mr. Barrack, 5,634 shares of Class B common stock were required to be converted to Class A common stock.</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 Units are redeemable for shares of Class A Common Stock or cash at the discretion of the Issuer. The OP Units do not have expiration dates.</w:t>
      </w:r>
    </w:p>
    <w:p>
      <w:pPr>
        <w:spacing w:after="0" w:line="49" w:lineRule="exact"/>
        <w:rPr>
          <w:rFonts w:ascii="Arial" w:cs="Arial" w:eastAsia="Arial" w:hAnsi="Arial"/>
          <w:sz w:val="13"/>
          <w:szCs w:val="13"/>
          <w:color w:val="008000"/>
        </w:rPr>
      </w:pPr>
    </w:p>
    <w:p>
      <w:pPr>
        <w:ind w:left="40" w:right="38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 Units are held by limited liability companies controlled by the reporting person. The reporting person disclaims beneficial ownership of the securities disposed of except to the extent of his pecuniary interest therein.</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David A. Palame,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11/17/2017</w:t>
            </w:r>
          </w:p>
        </w:tc>
        <w:tc>
          <w:tcPr>
            <w:tcW w:w="0" w:type="dxa"/>
            <w:vAlign w:val="bottom"/>
          </w:tcPr>
          <w:p>
            <w:pPr>
              <w:spacing w:after="0"/>
              <w:rPr>
                <w:sz w:val="1"/>
                <w:szCs w:val="1"/>
                <w:color w:val="auto"/>
              </w:rPr>
            </w:pPr>
          </w:p>
        </w:tc>
      </w:tr>
      <w:tr>
        <w:trPr>
          <w:trHeight w:val="91"/>
        </w:trPr>
        <w:tc>
          <w:tcPr>
            <w:tcW w:w="1620" w:type="dxa"/>
            <w:vAlign w:val="bottom"/>
            <w:tcBorders>
              <w:top w:val="single" w:sz="8" w:color="auto"/>
              <w:bottom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Attorney-in-fact</w:t>
            </w:r>
          </w:p>
        </w:tc>
        <w:tc>
          <w:tcPr>
            <w:tcW w:w="6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76343" TargetMode="External"/><Relationship Id="rId13"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2019-12-23T15:52:58Z</dcterms:created>
  <dcterms:modified xsi:type="dcterms:W3CDTF">2019-12-23T15:52:58Z</dcterms:modified>
</cp:coreProperties>
</file>