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8453.xml.htm"/>
      <w:bookmarkStart w:id="1" w:name="kswkform4_17909784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Rasheed Shaka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DIGITALBRIDGE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 PARK OF COMMERCE DRIVE,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DigitalBridge Group, Inc.</w:t>
              </w:r>
            </w:hyperlink>
            <w:r>
              <w:rPr/>
              <w:t xml:space="preserve"> [ </w:t>
            </w:r>
            <w:r>
              <w:rPr>
                <w:rFonts w:ascii="Times;serif" w:hAnsi="Times;serif"/>
                <w:color w:val="0000FF"/>
                <w:sz w:val="24"/>
                <w:shd w:fill="FFFFFF" w:val="clear"/>
              </w:rPr>
              <w:t>DBRG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9"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66,222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66,222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w:t>
            </w: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30, 2026, pursuant to an Agreement and Plan of Merger, dated as of December 29, 2025 (the "Merger Agreement"), by and among DigitalBridge Group, Inc. (the "Issuer"), Duncan Holdco LLC, Duncan Sub I Inc. ("Merger Sub I"), Duncan Sub II LLC and DigitalBridge Operating Company, LLC, among other things, Merger Sub I merged with and into the Issuer (the "Merger") with the Issuer surviving the Merger. At the effective time of the Merger (the "Effective Time"), each issued and outstanding share of the Issuer's common stock, par value $0.01 per share, (other than certain excluded shares) automatically converted into the right to receive $16.00 per share in cash, without interest and less any applicable withholding tax (the "Per Share Merger Consideration"). Pursuant to the Merger Agreement, as of the Effective Time, each deferred stock unit outstanding became fully vested, was cancelled and converted into the right to receive the Per Share Merger Consideration.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Blake Clardy,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1225" TargetMode="External"/><Relationship Id="rId5" Type="http://schemas.openxmlformats.org/officeDocument/2006/relationships/hyperlink" Target="http://www.sec.gov/cgi-bin/browse-edgar?action=getcompany&amp;CIK=00016796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732</Words>
  <Characters>3961</Characters>
  <CharactersWithSpaces>4621</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