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8409.xml.htm"/>
      <w:bookmarkStart w:id="1" w:name="kswkform4_17909784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REISS DALE 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DIGITALBRIDGE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PARK OF COMMERCE DRIVE,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DigitalBridge Group, Inc.</w:t>
              </w:r>
            </w:hyperlink>
            <w:r>
              <w:rPr/>
              <w:t xml:space="preserve"> [ </w:t>
            </w:r>
            <w:r>
              <w:rPr>
                <w:rFonts w:ascii="Times;serif" w:hAnsi="Times;serif"/>
                <w:color w:val="0000FF"/>
                <w:sz w:val="24"/>
                <w:shd w:fill="FFFFFF" w:val="clear"/>
              </w:rPr>
              <w:t>DBRG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92,826</w:t>
            </w:r>
            <w:r>
              <w:rPr>
                <w:rFonts w:ascii="Times;serif" w:hAnsi="Times;serif"/>
                <w:color w:val="008000"/>
                <w:position w:val="7"/>
                <w:sz w:val="16"/>
                <w:sz w:val="20"/>
                <w:shd w:fill="FFFFFF" w:val="clear"/>
              </w:rPr>
              <w:t>(2)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r>
              <w:rPr>
                <w:rFonts w:ascii="Times;serif" w:hAnsi="Times;serif"/>
                <w:color w:val="008000"/>
                <w:position w:val="7"/>
                <w:sz w:val="16"/>
                <w:sz w:val="20"/>
                <w:shd w:fill="FFFFFF" w:val="clear"/>
              </w:rPr>
              <w:t>(1)(2)</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pursuant to an Agreement and Plan of Merger, dated as of December 29, 2025 (the "Merger Agreement"), by and among DigitalBridge Group, Inc. (the "Issuer"), Duncan Holdco LLC, Duncan Sub I Inc. ("Merger Sub I"), Duncan Sub II LLC and DigitalBridge Operating Company, LLC, among other things, Merger Sub I merged with and into the Issuer (the "Merger") with the Issuer surviving the Merger. At the effective time of the Merger (the "Effective Time"), each issued and outstanding share of the Issuer's common stock, par value $0.01 per share, (other than certain excluded shares) automatically converted into the right to receive $16.00 per share in cash, without interest and less any applicable withholding tax (the "Per Share Merger Consideration"). Pursuant to the Merger Agreement, as of the Effective Time, each deferred stock unit outstanding became fully vested, was cancelled and converted into the right to receive the Per Share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11,190 shares of restricted Class A Common Stock. As of immediately prior to the Effective Time, each outstanding share of restricted Class A Common Stock granted to the reporting person by the Issuer became fully vested, and as of the Effective Time, automatically converted into the right to receive the Per Share Merger Consideration plus a cash payment equal to the accumulated dividend equivalents as of immediately prior to the Effective Time (if any) in respect of such share of restricted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Blake Clardy,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8802" TargetMode="External"/><Relationship Id="rId5" Type="http://schemas.openxmlformats.org/officeDocument/2006/relationships/hyperlink" Target="http://www.sec.gov/cgi-bin/browse-edgar?action=getcompany&amp;CIK=0001679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815</Words>
  <Characters>4386</Characters>
  <CharactersWithSpaces>5132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