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480"/>
          </w:cols>
          <w:pgMar w:left="460" w:top="217"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Curtin Nancy Ann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DigitalBridge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DBRG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7" w:right="37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33487</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00"/>
          </w:cols>
          <w:pgMar w:left="460" w:top="217"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jc w:val="center"/>
              <w:ind w:right="535"/>
              <w:spacing w:after="0"/>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6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11,190</w:t>
            </w:r>
          </w:p>
        </w:tc>
        <w:tc>
          <w:tcPr>
            <w:tcW w:w="7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1440" w:type="dxa"/>
            <w:vAlign w:val="bottom"/>
            <w:vMerge w:val="restart"/>
          </w:tcPr>
          <w:p>
            <w:pPr>
              <w:ind w:left="180"/>
              <w:spacing w:after="0" w:line="169"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11,190</w:t>
            </w:r>
          </w:p>
        </w:tc>
        <w:tc>
          <w:tcPr>
            <w:tcW w:w="5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color w:val="0000FF"/>
              </w:rPr>
              <w:t>132,983</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88"/>
        </w:trPr>
        <w:tc>
          <w:tcPr>
            <w:tcW w:w="700" w:type="dxa"/>
            <w:vAlign w:val="bottom"/>
            <w:vMerge w:val="restart"/>
          </w:tcPr>
          <w:p>
            <w:pPr>
              <w:spacing w:after="0" w:line="109" w:lineRule="exact"/>
              <w:rPr>
                <w:sz w:val="20"/>
                <w:szCs w:val="20"/>
                <w:color w:val="auto"/>
              </w:rPr>
            </w:pPr>
            <w:r>
              <w:rPr>
                <w:rFonts w:ascii="Times New Roman" w:cs="Times New Roman" w:eastAsia="Times New Roman" w:hAnsi="Times New Roman"/>
                <w:sz w:val="8"/>
                <w:szCs w:val="8"/>
                <w:color w:val="0000FF"/>
              </w:rPr>
              <w:t>Stock</w:t>
            </w:r>
            <w:r>
              <w:rPr>
                <w:rFonts w:ascii="Times New Roman" w:cs="Times New Roman" w:eastAsia="Times New Roman" w:hAnsi="Times New Roman"/>
                <w:sz w:val="12"/>
                <w:szCs w:val="12"/>
                <w:color w:val="008000"/>
                <w:vertAlign w:val="superscript"/>
              </w:rPr>
              <w:t>(1)</w:t>
            </w:r>
          </w:p>
        </w:tc>
        <w:tc>
          <w:tcPr>
            <w:tcW w:w="6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jc w:val="center"/>
              <w:ind w:right="515"/>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deferred stock units ("Deferred Stock") granted by the Issuer in respect of the reporting person's election to defer equity compensation payable in accordance with the Issuer's non-executive director compensation policy in connection with the reporting person's recent election to the Issuer's board of directors.</w:t>
      </w:r>
    </w:p>
    <w:p>
      <w:pPr>
        <w:spacing w:after="0" w:line="1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has no expiration date and is payable in the Issuer's Class A Common Stock, on a one-for-one basis, after the reporting person's separation from service with the Issuer. The Deferred Stock is scheduled to vest on June 1, 2027. The amount of Deferred Stock was determined by dividing the fixed grant value of $175,000 by the closing price of the Issuer's common stock on the New York Stock Exchange on the business day prior to the grant date.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Blake Clardy,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6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5735"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2026-06-03T16:38:13Z</dcterms:created>
  <dcterms:modified xsi:type="dcterms:W3CDTF">2026-06-03T16:38:13Z</dcterms:modified>
</cp:coreProperties>
</file>